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ExhibitExhibit4.320.1</w:t>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496050"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6050" cy="323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401955</wp:posOffset>
            </wp:positionV>
            <wp:extent cx="64960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60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20-F</w:t>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(Mark One)</w:t>
      </w:r>
    </w:p>
    <w:p>
      <w:pPr>
        <w:spacing w:after="0" w:line="92" w:lineRule="exact"/>
        <w:rPr>
          <w:sz w:val="24"/>
          <w:szCs w:val="24"/>
          <w:color w:val="auto"/>
        </w:rPr>
      </w:pPr>
    </w:p>
    <w:p>
      <w:pPr>
        <w:jc w:val="center"/>
        <w:ind w:left="5000" w:right="700" w:hanging="4983"/>
        <w:spacing w:after="0" w:line="360" w:lineRule="auto"/>
        <w:tabs>
          <w:tab w:leader="none" w:pos="337" w:val="left"/>
        </w:tabs>
        <w:numPr>
          <w:ilvl w:val="1"/>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REGISTRATION STATEMENT PURSUANT TO SECTION 12(b) OR (g) OF THE SECURITIES EXCHANGE ACT OF 1934 OR</w:t>
      </w:r>
    </w:p>
    <w:p>
      <w:pPr>
        <w:spacing w:after="0" w:line="35" w:lineRule="exact"/>
        <w:rPr>
          <w:rFonts w:ascii="MS PGothic" w:cs="MS PGothic" w:eastAsia="MS PGothic" w:hAnsi="MS PGothic"/>
          <w:sz w:val="17"/>
          <w:szCs w:val="17"/>
          <w:color w:val="auto"/>
        </w:rPr>
      </w:pPr>
    </w:p>
    <w:p>
      <w:pPr>
        <w:ind w:left="300" w:right="1660" w:hanging="296"/>
        <w:spacing w:after="0" w:line="261" w:lineRule="auto"/>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December 31,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02" w:lineRule="exact"/>
        <w:rPr>
          <w:sz w:val="24"/>
          <w:szCs w:val="24"/>
          <w:color w:val="auto"/>
        </w:rPr>
      </w:pPr>
    </w:p>
    <w:p>
      <w:pPr>
        <w:ind w:left="5000" w:right="1300" w:hanging="4996"/>
        <w:spacing w:after="0" w:line="368" w:lineRule="auto"/>
        <w:tabs>
          <w:tab w:leader="none" w:pos="324"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OR</w:t>
      </w:r>
    </w:p>
    <w:p>
      <w:pPr>
        <w:spacing w:after="0" w:line="35" w:lineRule="exact"/>
        <w:rPr>
          <w:rFonts w:ascii="MS PGothic" w:cs="MS PGothic" w:eastAsia="MS PGothic" w:hAnsi="MS PGothic"/>
          <w:sz w:val="17"/>
          <w:szCs w:val="17"/>
          <w:color w:val="auto"/>
        </w:rPr>
      </w:pPr>
    </w:p>
    <w:p>
      <w:pPr>
        <w:ind w:left="320" w:right="360" w:hanging="316"/>
        <w:spacing w:after="0" w:line="267" w:lineRule="auto"/>
        <w:tabs>
          <w:tab w:leader="none" w:pos="3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 xml:space="preserve">SHELL COMPANY REPORT PURSUANT TO SECTION 13 OR 15(d) OF THE SECURITIES EXCHANGE ACT OF 1934 </w:t>
      </w:r>
      <w:r>
        <w:rPr>
          <w:rFonts w:ascii="Times New Roman" w:cs="Times New Roman" w:eastAsia="Times New Roman" w:hAnsi="Times New Roman"/>
          <w:sz w:val="17"/>
          <w:szCs w:val="17"/>
          <w:color w:val="auto"/>
        </w:rPr>
        <w:t>Date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event requiring this shell company report</w:t>
      </w:r>
    </w:p>
    <w:p>
      <w:pPr>
        <w:spacing w:after="0" w:line="115"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7"/>
          <w:szCs w:val="17"/>
          <w:color w:val="auto"/>
        </w:rPr>
        <w:t>For the transition period from ____________ to ____________</w:t>
      </w:r>
    </w:p>
    <w:p>
      <w:pPr>
        <w:spacing w:after="0" w:line="147"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7"/>
          <w:szCs w:val="17"/>
          <w:color w:val="auto"/>
        </w:rPr>
        <w:t>Commission file number: 001-37891</w:t>
      </w:r>
    </w:p>
    <w:p>
      <w:pPr>
        <w:spacing w:after="0" w:line="92"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7"/>
          <w:szCs w:val="17"/>
          <w:b w:val="1"/>
          <w:bCs w:val="1"/>
          <w:color w:val="auto"/>
        </w:rPr>
        <w:t>AC IMMUNE SA</w:t>
      </w:r>
    </w:p>
    <w:p>
      <w:pPr>
        <w:spacing w:after="0" w:line="27"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7"/>
          <w:szCs w:val="17"/>
          <w:i w:val="1"/>
          <w:iCs w:val="1"/>
          <w:color w:val="auto"/>
        </w:rPr>
        <w:t>(Exact name of Registrant as specified in its charter)</w:t>
      </w:r>
    </w:p>
    <w:p>
      <w:pPr>
        <w:spacing w:after="0" w:line="89"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7"/>
          <w:szCs w:val="17"/>
          <w:b w:val="1"/>
          <w:bCs w:val="1"/>
          <w:color w:val="auto"/>
        </w:rPr>
        <w:t>N/A</w:t>
      </w:r>
    </w:p>
    <w:p>
      <w:pPr>
        <w:spacing w:after="0" w:line="27"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7"/>
          <w:szCs w:val="17"/>
          <w:i w:val="1"/>
          <w:iCs w:val="1"/>
          <w:color w:val="auto"/>
        </w:rPr>
        <w:t>(Translation of Registrant’s name into English)</w:t>
      </w:r>
    </w:p>
    <w:p>
      <w:pPr>
        <w:spacing w:after="0" w:line="89"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7"/>
          <w:szCs w:val="17"/>
          <w:b w:val="1"/>
          <w:bCs w:val="1"/>
          <w:color w:val="auto"/>
        </w:rPr>
        <w:t>Switzerland</w:t>
      </w:r>
    </w:p>
    <w:p>
      <w:pPr>
        <w:spacing w:after="0" w:line="17"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i w:val="1"/>
          <w:iCs w:val="1"/>
          <w:color w:val="auto"/>
        </w:rPr>
        <w:t>(Jurisdiction of incorporation)</w:t>
      </w:r>
    </w:p>
    <w:p>
      <w:pPr>
        <w:spacing w:after="0" w:line="8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7"/>
          <w:szCs w:val="17"/>
          <w:b w:val="1"/>
          <w:bCs w:val="1"/>
          <w:color w:val="auto"/>
        </w:rPr>
        <w:t>EPFL INNOVATION PARK</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Building B</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1015 Lausanne</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Switzerland</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Andrea Pfeifer</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Tel: +41 21 345 91 21</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EPFL INNOVATION PARK</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Building B</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1015 Lausanne</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Switzerland</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(Name, Telephone, E-mail and/or Facsimile number and Address of Company Contact Person)</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Copies to:</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Derek J. Dostal</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Davis Polk &amp; Wardwell LLP</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450 Lexington Avenue</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New York, NY 10017</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(212) 450-4000</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or to be registered pursuant to Section 12(b) of the Act:</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19"/>
        </w:trPr>
        <w:tc>
          <w:tcPr>
            <w:tcW w:w="32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Title of each class</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700" w:type="dxa"/>
            <w:vAlign w:val="bottom"/>
          </w:tcPr>
          <w:p>
            <w:pPr>
              <w:jc w:val="center"/>
              <w:ind w:right="475"/>
              <w:spacing w:after="0"/>
              <w:rPr>
                <w:sz w:val="20"/>
                <w:szCs w:val="20"/>
                <w:color w:val="auto"/>
              </w:rPr>
            </w:pPr>
            <w:r>
              <w:rPr>
                <w:rFonts w:ascii="Times New Roman" w:cs="Times New Roman" w:eastAsia="Times New Roman" w:hAnsi="Times New Roman"/>
                <w:sz w:val="17"/>
                <w:szCs w:val="17"/>
                <w:color w:val="auto"/>
                <w:w w:val="99"/>
              </w:rPr>
              <w:t>Trading Symbol</w:t>
            </w:r>
          </w:p>
        </w:tc>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  Name of each exchange on which registered</w:t>
            </w:r>
          </w:p>
        </w:tc>
      </w:tr>
      <w:tr>
        <w:trPr>
          <w:trHeight w:val="180"/>
        </w:trPr>
        <w:tc>
          <w:tcPr>
            <w:tcW w:w="3280" w:type="dxa"/>
            <w:vAlign w:val="bottom"/>
            <w:tcBorders>
              <w:top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color w:val="auto"/>
                <w:w w:val="98"/>
              </w:rPr>
              <w:t>Common Shares, nominal value CHF 0.02 per</w:t>
            </w:r>
          </w:p>
        </w:tc>
        <w:tc>
          <w:tcPr>
            <w:tcW w:w="2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700" w:type="dxa"/>
            <w:vAlign w:val="bottom"/>
            <w:tcBorders>
              <w:top w:val="single" w:sz="8" w:color="auto"/>
            </w:tcBorders>
          </w:tcPr>
          <w:p>
            <w:pPr>
              <w:jc w:val="center"/>
              <w:ind w:right="475"/>
              <w:spacing w:after="0" w:line="180" w:lineRule="exact"/>
              <w:rPr>
                <w:sz w:val="20"/>
                <w:szCs w:val="20"/>
                <w:color w:val="auto"/>
              </w:rPr>
            </w:pPr>
            <w:r>
              <w:rPr>
                <w:rFonts w:ascii="Times New Roman" w:cs="Times New Roman" w:eastAsia="Times New Roman" w:hAnsi="Times New Roman"/>
                <w:sz w:val="17"/>
                <w:szCs w:val="17"/>
                <w:color w:val="auto"/>
              </w:rPr>
              <w:t>ACIU</w:t>
            </w:r>
          </w:p>
        </w:tc>
        <w:tc>
          <w:tcPr>
            <w:tcW w:w="220" w:type="dxa"/>
            <w:vAlign w:val="bottom"/>
          </w:tcPr>
          <w:p>
            <w:pPr>
              <w:spacing w:after="0"/>
              <w:rPr>
                <w:sz w:val="15"/>
                <w:szCs w:val="15"/>
                <w:color w:val="auto"/>
              </w:rPr>
            </w:pPr>
          </w:p>
        </w:tc>
        <w:tc>
          <w:tcPr>
            <w:tcW w:w="3280" w:type="dxa"/>
            <w:vAlign w:val="bottom"/>
            <w:tcBorders>
              <w:top w:val="single" w:sz="8" w:color="auto"/>
            </w:tcBorders>
          </w:tcPr>
          <w:p>
            <w:pPr>
              <w:ind w:left="560"/>
              <w:spacing w:after="0" w:line="180" w:lineRule="exact"/>
              <w:rPr>
                <w:sz w:val="20"/>
                <w:szCs w:val="20"/>
                <w:color w:val="auto"/>
              </w:rPr>
            </w:pPr>
            <w:r>
              <w:rPr>
                <w:rFonts w:ascii="Times New Roman" w:cs="Times New Roman" w:eastAsia="Times New Roman" w:hAnsi="Times New Roman"/>
                <w:sz w:val="17"/>
                <w:szCs w:val="17"/>
                <w:color w:val="auto"/>
              </w:rPr>
              <w:t>The Nasdaq Stock Market LLC</w:t>
            </w:r>
          </w:p>
        </w:tc>
      </w:tr>
      <w:tr>
        <w:trPr>
          <w:trHeight w:val="219"/>
        </w:trPr>
        <w:tc>
          <w:tcPr>
            <w:tcW w:w="32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share</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80" w:type="dxa"/>
            <w:vAlign w:val="bottom"/>
          </w:tcPr>
          <w:p>
            <w:pPr>
              <w:spacing w:after="0"/>
              <w:rPr>
                <w:sz w:val="19"/>
                <w:szCs w:val="19"/>
                <w:color w:val="auto"/>
              </w:rPr>
            </w:pPr>
          </w:p>
        </w:tc>
      </w:tr>
      <w:tr>
        <w:trPr>
          <w:trHeight w:val="844"/>
        </w:trPr>
        <w:tc>
          <w:tcPr>
            <w:tcW w:w="3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335" w:right="8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registered or to be registered pursuant to Section 12(g) of the Act:</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None</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for which there is a reporting obligation pursuant to Section 15(d) of the Act: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None</w:t>
      </w:r>
    </w:p>
    <w:p>
      <w:pPr>
        <w:spacing w:after="0" w:line="10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Indicate the number of outstanding shares of each of the issuer’s classes of capital stock or common stock as of the close of the period covered by the annual report.</w:t>
      </w:r>
    </w:p>
    <w:p>
      <w:pPr>
        <w:spacing w:after="0" w:line="6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color w:val="auto"/>
        </w:rPr>
        <w:t>Common shares: 101,742,231</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 issuer, as defined in Rule 405 of the Securities Act.</w:t>
      </w:r>
    </w:p>
    <w:p>
      <w:pPr>
        <w:spacing w:after="0" w:line="71" w:lineRule="exact"/>
        <w:rPr>
          <w:sz w:val="20"/>
          <w:szCs w:val="20"/>
          <w:color w:val="auto"/>
        </w:rPr>
      </w:pPr>
    </w:p>
    <w:p>
      <w:pPr>
        <w:ind w:left="4880" w:hanging="198"/>
        <w:spacing w:after="0" w:line="196" w:lineRule="exact"/>
        <w:tabs>
          <w:tab w:leader="none" w:pos="488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147"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7"/>
          <w:szCs w:val="17"/>
          <w:color w:val="auto"/>
        </w:rPr>
        <w:t>If this report is an annual or transition report, indicate by check mark if the registrant is not required to file reports pursuant to Section 13 or 15(d) of the Securities Exchange Act of 1934.</w:t>
      </w:r>
    </w:p>
    <w:p>
      <w:pPr>
        <w:spacing w:after="0" w:line="30" w:lineRule="exact"/>
        <w:rPr>
          <w:sz w:val="20"/>
          <w:szCs w:val="20"/>
          <w:color w:val="auto"/>
        </w:rPr>
      </w:pPr>
    </w:p>
    <w:p>
      <w:pPr>
        <w:ind w:left="4880" w:hanging="198"/>
        <w:spacing w:after="0" w:line="196" w:lineRule="exact"/>
        <w:tabs>
          <w:tab w:leader="none" w:pos="488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147"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Note – Checking the box above will not relieve any registrant required to file reports pursuant to Section 13 or 15(d) of the Securities Exchange Act of 1934 from their obligations under those Sections.</w:t>
      </w:r>
    </w:p>
    <w:p>
      <w:pPr>
        <w:spacing w:after="0" w:line="5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7" w:lineRule="exact"/>
        <w:rPr>
          <w:sz w:val="20"/>
          <w:szCs w:val="20"/>
          <w:color w:val="auto"/>
        </w:rPr>
      </w:pPr>
    </w:p>
    <w:p>
      <w:pPr>
        <w:ind w:left="4880" w:hanging="198"/>
        <w:spacing w:after="0" w:line="196" w:lineRule="exact"/>
        <w:tabs>
          <w:tab w:leader="none" w:pos="488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14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37" w:lineRule="exact"/>
        <w:rPr>
          <w:sz w:val="20"/>
          <w:szCs w:val="20"/>
          <w:color w:val="auto"/>
        </w:rPr>
      </w:pPr>
    </w:p>
    <w:p>
      <w:pPr>
        <w:ind w:left="4880" w:hanging="198"/>
        <w:spacing w:after="0" w:line="196" w:lineRule="exact"/>
        <w:tabs>
          <w:tab w:leader="none" w:pos="4880" w:val="left"/>
        </w:tabs>
        <w:numPr>
          <w:ilvl w:val="0"/>
          <w:numId w:val="6"/>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an emerging growth company.</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definition of “large accelerated filer,” “accelerated filer,” and “emerging growth company” in Rule 12b-2 of the Exchange Act.</w:t>
      </w:r>
    </w:p>
    <w:p>
      <w:pPr>
        <w:sectPr>
          <w:pgSz w:w="11900" w:h="16838" w:orient="portrait"/>
          <w:cols w:equalWidth="0" w:num="1">
            <w:col w:w="10220"/>
          </w:cols>
          <w:pgMar w:left="820" w:top="491" w:right="859" w:bottom="1440" w:gutter="0" w:footer="0" w:header="0"/>
        </w:sectPr>
      </w:pPr>
    </w:p>
    <w:p>
      <w:pPr>
        <w:spacing w:after="0" w:line="68" w:lineRule="exact"/>
        <w:rPr>
          <w:sz w:val="20"/>
          <w:szCs w:val="20"/>
          <w:color w:val="auto"/>
        </w:rPr>
      </w:pPr>
    </w:p>
    <w:p>
      <w:pPr>
        <w:ind w:left="90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center"/>
        <w:ind w:right="66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64" w:lineRule="exact"/>
        <w:rPr>
          <w:sz w:val="20"/>
          <w:szCs w:val="20"/>
          <w:color w:val="auto"/>
        </w:rPr>
      </w:pPr>
    </w:p>
    <w:p>
      <w:pPr>
        <w:jc w:val="center"/>
        <w:ind w:right="66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3">
            <w:col w:w="3800" w:space="720"/>
            <w:col w:w="2280" w:space="720"/>
            <w:col w:w="2700"/>
          </w:cols>
          <w:pgMar w:left="820" w:top="491" w:right="859" w:bottom="1440" w:gutter="0" w:footer="0" w:header="0"/>
          <w:type w:val="continuous"/>
        </w:sectPr>
      </w:pPr>
    </w:p>
    <w:p>
      <w:pPr>
        <w:spacing w:after="0" w:line="169" w:lineRule="exact"/>
        <w:rPr>
          <w:sz w:val="20"/>
          <w:szCs w:val="20"/>
          <w:color w:val="auto"/>
        </w:rPr>
      </w:pPr>
    </w:p>
    <w:p>
      <w:pPr>
        <w:ind w:right="420"/>
        <w:spacing w:after="0" w:line="254" w:lineRule="auto"/>
        <w:rPr>
          <w:sz w:val="20"/>
          <w:szCs w:val="20"/>
          <w:color w:val="auto"/>
        </w:rPr>
      </w:pPr>
      <w:r>
        <w:rPr>
          <w:rFonts w:ascii="Times New Roman" w:cs="Times New Roman" w:eastAsia="Times New Roman" w:hAnsi="Times New Roman"/>
          <w:sz w:val="17"/>
          <w:szCs w:val="17"/>
          <w:color w:val="auto"/>
        </w:rPr>
        <w:t>If an emerging growth company that prepares its financial statements in accordance with U.S. GAAP, indicate by checkmark if the registrant has elected not to use the extended transition period for complying with any new or revised financial accounting standards provided pursuant to Section 13(a) of the Exchange Act.</w:t>
      </w:r>
    </w:p>
    <w:p>
      <w:pPr>
        <w:jc w:val="center"/>
        <w:ind w:right="-19"/>
        <w:spacing w:after="0" w:line="171" w:lineRule="exact"/>
        <w:rPr>
          <w:sz w:val="20"/>
          <w:szCs w:val="20"/>
          <w:color w:val="auto"/>
        </w:rPr>
      </w:pPr>
      <w:r>
        <w:rPr>
          <w:rFonts w:ascii="MS PGothic" w:cs="MS PGothic" w:eastAsia="MS PGothic" w:hAnsi="MS PGothic"/>
          <w:sz w:val="17"/>
          <w:szCs w:val="17"/>
          <w:color w:val="auto"/>
        </w:rPr>
        <w:t>☐</w:t>
      </w:r>
    </w:p>
    <w:p>
      <w:pPr>
        <w:spacing w:after="0" w:line="110"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7"/>
          <w:szCs w:val="17"/>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30" w:lineRule="exact"/>
        <w:rPr>
          <w:sz w:val="20"/>
          <w:szCs w:val="20"/>
          <w:color w:val="auto"/>
        </w:rPr>
      </w:pPr>
    </w:p>
    <w:p>
      <w:pPr>
        <w:ind w:left="4880" w:hanging="198"/>
        <w:spacing w:after="0" w:line="196" w:lineRule="exact"/>
        <w:tabs>
          <w:tab w:leader="none" w:pos="4880" w:val="left"/>
        </w:tabs>
        <w:numPr>
          <w:ilvl w:val="0"/>
          <w:numId w:val="7"/>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147"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7"/>
          <w:szCs w:val="17"/>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5" w:lineRule="exact"/>
        <w:rPr>
          <w:sz w:val="20"/>
          <w:szCs w:val="20"/>
          <w:color w:val="auto"/>
        </w:rPr>
      </w:pPr>
    </w:p>
    <w:p>
      <w:pPr>
        <w:jc w:val="center"/>
        <w:ind w:right="-19"/>
        <w:spacing w:after="0" w:line="171" w:lineRule="exact"/>
        <w:rPr>
          <w:sz w:val="20"/>
          <w:szCs w:val="20"/>
          <w:color w:val="auto"/>
        </w:rPr>
      </w:pPr>
      <w:r>
        <w:rPr>
          <w:rFonts w:ascii="MS PGothic" w:cs="MS PGothic" w:eastAsia="MS PGothic" w:hAnsi="MS PGothic"/>
          <w:sz w:val="17"/>
          <w:szCs w:val="17"/>
          <w:color w:val="auto"/>
        </w:rPr>
        <w:t>☐</w:t>
      </w:r>
    </w:p>
    <w:p>
      <w:pPr>
        <w:spacing w:after="0" w:line="173"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17"/>
          <w:szCs w:val="17"/>
          <w:color w:val="auto"/>
        </w:rPr>
        <w:t>Indicate by check mark whether any of those error corrections are restatements that required a recovery analysis of incentive-based compensation received by any of the registrant’s executive officers during the relevant recovery period pursuant to § 240.10D-1(b).</w:t>
      </w:r>
    </w:p>
    <w:p>
      <w:pPr>
        <w:spacing w:after="0" w:line="18" w:lineRule="exact"/>
        <w:rPr>
          <w:sz w:val="20"/>
          <w:szCs w:val="20"/>
          <w:color w:val="auto"/>
        </w:rPr>
      </w:pPr>
    </w:p>
    <w:p>
      <w:pPr>
        <w:jc w:val="center"/>
        <w:ind w:right="-19"/>
        <w:spacing w:after="0" w:line="171" w:lineRule="exact"/>
        <w:rPr>
          <w:sz w:val="20"/>
          <w:szCs w:val="20"/>
          <w:color w:val="auto"/>
        </w:rPr>
      </w:pP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514985</wp:posOffset>
            </wp:positionV>
            <wp:extent cx="6496050" cy="24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6050" cy="24130"/>
                    </a:xfrm>
                    <a:prstGeom prst="rect">
                      <a:avLst/>
                    </a:prstGeom>
                    <a:noFill/>
                  </pic:spPr>
                </pic:pic>
              </a:graphicData>
            </a:graphic>
          </wp:anchor>
        </w:drawing>
      </w:r>
    </w:p>
    <w:p>
      <w:pPr>
        <w:sectPr>
          <w:pgSz w:w="11900" w:h="16838" w:orient="portrait"/>
          <w:cols w:equalWidth="0" w:num="1">
            <w:col w:w="10220"/>
          </w:cols>
          <w:pgMar w:left="820" w:top="491" w:right="85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which basis of accounting the registrant has used to prepare the financial statements included in this filing:</w:t>
      </w:r>
    </w:p>
    <w:p>
      <w:pPr>
        <w:sectPr>
          <w:pgSz w:w="11900" w:h="16838" w:orient="portrait"/>
          <w:cols w:equalWidth="0" w:num="1">
            <w:col w:w="10020"/>
          </w:cols>
          <w:pgMar w:left="820" w:top="491" w:right="1059" w:bottom="1440" w:gutter="0" w:footer="0" w:header="0"/>
        </w:sectPr>
      </w:pPr>
    </w:p>
    <w:p>
      <w:pPr>
        <w:spacing w:after="0" w:line="82" w:lineRule="exact"/>
        <w:rPr>
          <w:sz w:val="20"/>
          <w:szCs w:val="20"/>
          <w:color w:val="auto"/>
        </w:rPr>
      </w:pPr>
    </w:p>
    <w:p>
      <w:pPr>
        <w:jc w:val="center"/>
        <w:ind w:left="700"/>
        <w:spacing w:after="0" w:line="184" w:lineRule="exact"/>
        <w:rPr>
          <w:sz w:val="20"/>
          <w:szCs w:val="20"/>
          <w:color w:val="auto"/>
        </w:rPr>
      </w:pPr>
      <w:r>
        <w:rPr>
          <w:rFonts w:ascii="Times New Roman" w:cs="Times New Roman" w:eastAsia="Times New Roman" w:hAnsi="Times New Roman"/>
          <w:sz w:val="16"/>
          <w:szCs w:val="16"/>
          <w:color w:val="auto"/>
        </w:rPr>
        <w:t xml:space="preserve">U.S. GAAP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ind w:right="700"/>
        <w:spacing w:after="0" w:line="218" w:lineRule="exact"/>
        <w:rPr>
          <w:sz w:val="20"/>
          <w:szCs w:val="20"/>
          <w:color w:val="auto"/>
        </w:rPr>
      </w:pPr>
      <w:r>
        <w:rPr>
          <w:rFonts w:ascii="Times New Roman" w:cs="Times New Roman" w:eastAsia="Times New Roman" w:hAnsi="Times New Roman"/>
          <w:sz w:val="17"/>
          <w:szCs w:val="17"/>
          <w:color w:val="auto"/>
        </w:rPr>
        <w:t xml:space="preserve">International Financial Reporting Standards as issued by the International Accounting Standards Board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Other </w:t>
      </w:r>
      <w:r>
        <w:rPr>
          <w:rFonts w:ascii="MS PGothic" w:cs="MS PGothic" w:eastAsia="MS PGothic" w:hAnsi="MS PGothic"/>
          <w:sz w:val="16"/>
          <w:szCs w:val="16"/>
          <w:color w:val="auto"/>
        </w:rPr>
        <w:t>☐</w:t>
      </w:r>
    </w:p>
    <w:p>
      <w:pPr>
        <w:spacing w:after="0" w:line="666" w:lineRule="exact"/>
        <w:rPr>
          <w:sz w:val="20"/>
          <w:szCs w:val="20"/>
          <w:color w:val="auto"/>
        </w:rPr>
      </w:pPr>
    </w:p>
    <w:p>
      <w:pPr>
        <w:sectPr>
          <w:pgSz w:w="11900" w:h="16838" w:orient="portrait"/>
          <w:cols w:equalWidth="0" w:num="3">
            <w:col w:w="2780" w:space="720"/>
            <w:col w:w="4040" w:space="720"/>
            <w:col w:w="1760"/>
          </w:cols>
          <w:pgMar w:left="820" w:top="491" w:right="1059" w:bottom="1440" w:gutter="0" w:footer="0" w:header="0"/>
          <w:type w:val="continuous"/>
        </w:sectPr>
      </w:pPr>
    </w:p>
    <w:p>
      <w:pPr>
        <w:spacing w:after="0" w:line="277" w:lineRule="auto"/>
        <w:rPr>
          <w:sz w:val="20"/>
          <w:szCs w:val="20"/>
          <w:color w:val="auto"/>
        </w:rPr>
      </w:pPr>
      <w:r>
        <w:rPr>
          <w:rFonts w:ascii="Times New Roman" w:cs="Times New Roman" w:eastAsia="Times New Roman" w:hAnsi="Times New Roman"/>
          <w:sz w:val="17"/>
          <w:szCs w:val="17"/>
          <w:color w:val="auto"/>
        </w:rPr>
        <w:t>If “Other” has been checked in response to the previous question indicate by check mark which financial statement item the registrant has elected to follow.</w:t>
      </w:r>
    </w:p>
    <w:p>
      <w:pPr>
        <w:spacing w:after="0" w:line="18" w:lineRule="exact"/>
        <w:rPr>
          <w:sz w:val="20"/>
          <w:szCs w:val="20"/>
          <w:color w:val="auto"/>
        </w:rPr>
      </w:pPr>
    </w:p>
    <w:p>
      <w:pPr>
        <w:ind w:left="4580" w:hanging="193"/>
        <w:spacing w:after="0" w:line="196" w:lineRule="exact"/>
        <w:tabs>
          <w:tab w:leader="none" w:pos="4580" w:val="left"/>
        </w:tabs>
        <w:numPr>
          <w:ilvl w:val="0"/>
          <w:numId w:val="8"/>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Item 17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Item 18</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this is an annual report, indicate by check mark whether the registrant is a shell company (as defined in Rule 12b-2 of the Exchange Act).</w:t>
      </w:r>
    </w:p>
    <w:p>
      <w:pPr>
        <w:spacing w:after="0" w:line="58" w:lineRule="exact"/>
        <w:rPr>
          <w:sz w:val="20"/>
          <w:szCs w:val="20"/>
          <w:color w:val="auto"/>
        </w:rPr>
      </w:pPr>
    </w:p>
    <w:p>
      <w:pPr>
        <w:ind w:left="5020" w:hanging="186"/>
        <w:spacing w:after="0" w:line="196" w:lineRule="exact"/>
        <w:tabs>
          <w:tab w:leader="none" w:pos="5020" w:val="left"/>
        </w:tabs>
        <w:numPr>
          <w:ilvl w:val="0"/>
          <w:numId w:val="9"/>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796925</wp:posOffset>
            </wp:positionV>
            <wp:extent cx="6496050" cy="24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6050" cy="241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104140</wp:posOffset>
            </wp:positionV>
            <wp:extent cx="64960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605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152400</wp:posOffset>
            </wp:positionV>
            <wp:extent cx="6496050" cy="32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6050" cy="32385"/>
                    </a:xfrm>
                    <a:prstGeom prst="rect">
                      <a:avLst/>
                    </a:prstGeom>
                    <a:noFill/>
                  </pic:spPr>
                </pic:pic>
              </a:graphicData>
            </a:graphic>
          </wp:anchor>
        </w:drawing>
      </w:r>
    </w:p>
    <w:p>
      <w:pPr>
        <w:sectPr>
          <w:pgSz w:w="11900" w:h="16838" w:orient="portrait"/>
          <w:cols w:equalWidth="0" w:num="1">
            <w:col w:w="10020"/>
          </w:cols>
          <w:pgMar w:left="820" w:top="491" w:right="1059" w:bottom="1440" w:gutter="0" w:footer="0" w:header="0"/>
          <w:type w:val="continuous"/>
        </w:sectPr>
      </w:pPr>
    </w:p>
    <w:bookmarkStart w:id="3" w:name="page4"/>
    <w:bookmarkEnd w:id="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AC IMMUNE SA</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748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7"/>
                <w:szCs w:val="17"/>
                <w:color w:val="0000EE"/>
              </w:rPr>
              <w:t>FORWARD-LOOKING STATEMENTS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00" w:type="dxa"/>
            <w:vAlign w:val="bottom"/>
            <w:tcBorders>
              <w:top w:val="single" w:sz="8" w:color="0000EE"/>
              <w:bottom w:val="single" w:sz="8" w:color="0000EE"/>
            </w:tcBorders>
            <w:gridSpan w:val="2"/>
          </w:tcPr>
          <w:p>
            <w:pPr>
              <w:spacing w:after="0" w:line="178" w:lineRule="exact"/>
              <w:rPr>
                <w:sz w:val="20"/>
                <w:szCs w:val="20"/>
                <w:color w:val="auto"/>
              </w:rPr>
            </w:pPr>
            <w:r>
              <w:rPr>
                <w:rFonts w:ascii="Times New Roman" w:cs="Times New Roman" w:eastAsia="Times New Roman" w:hAnsi="Times New Roman"/>
                <w:sz w:val="17"/>
                <w:szCs w:val="17"/>
                <w:color w:val="0000EE"/>
                <w:w w:val="86"/>
              </w:rPr>
              <w:t>PART I</w:t>
            </w:r>
          </w:p>
        </w:tc>
        <w:tc>
          <w:tcPr>
            <w:tcW w:w="18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1200" w:type="dxa"/>
            <w:vAlign w:val="bottom"/>
            <w:tcBorders>
              <w:top w:val="single" w:sz="8" w:color="CCEEFF"/>
            </w:tcBorders>
          </w:tcPr>
          <w:p>
            <w:pPr>
              <w:spacing w:after="0"/>
              <w:rPr>
                <w:sz w:val="15"/>
                <w:szCs w:val="15"/>
                <w:color w:val="auto"/>
              </w:rPr>
            </w:pPr>
          </w:p>
        </w:tc>
        <w:tc>
          <w:tcPr>
            <w:tcW w:w="1440" w:type="dxa"/>
            <w:vAlign w:val="bottom"/>
            <w:tcBorders>
              <w:top w:val="single" w:sz="8" w:color="CCEEFF"/>
            </w:tcBorders>
          </w:tcPr>
          <w:p>
            <w:pPr>
              <w:jc w:val="right"/>
              <w:spacing w:after="0" w:line="178" w:lineRule="exact"/>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5900" w:type="dxa"/>
            <w:vAlign w:val="bottom"/>
            <w:tcBorders>
              <w:bottom w:val="single" w:sz="8" w:color="0000EE"/>
            </w:tcBorders>
            <w:gridSpan w:val="25"/>
            <w:shd w:val="clear" w:color="auto" w:fill="CCEEFF"/>
          </w:tcPr>
          <w:p>
            <w:pPr>
              <w:spacing w:after="0"/>
              <w:rPr>
                <w:sz w:val="20"/>
                <w:szCs w:val="20"/>
                <w:color w:val="auto"/>
              </w:rPr>
            </w:pPr>
            <w:r>
              <w:rPr>
                <w:rFonts w:ascii="Times New Roman" w:cs="Times New Roman" w:eastAsia="Times New Roman" w:hAnsi="Times New Roman"/>
                <w:sz w:val="17"/>
                <w:szCs w:val="17"/>
                <w:color w:val="0000EE"/>
                <w:w w:val="99"/>
              </w:rPr>
              <w:t>ITEM 1. IDENTITY OF DIRECTORS, SENIOR MANAGEMENT AND ADVISERS</w:t>
            </w:r>
          </w:p>
        </w:tc>
        <w:tc>
          <w:tcPr>
            <w:tcW w:w="1580" w:type="dxa"/>
            <w:vAlign w:val="bottom"/>
            <w:tcBorders>
              <w:bottom w:val="single" w:sz="8" w:color="CCEEFF"/>
            </w:tcBorders>
            <w:gridSpan w:val="2"/>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6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0000EE"/>
                <w:w w:val="73"/>
              </w:rPr>
              <w:t>A.</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40" w:type="dxa"/>
            <w:vAlign w:val="bottom"/>
            <w:gridSpan w:val="23"/>
          </w:tcPr>
          <w:p>
            <w:pPr>
              <w:spacing w:after="0" w:line="178" w:lineRule="exact"/>
              <w:rPr>
                <w:sz w:val="20"/>
                <w:szCs w:val="20"/>
                <w:color w:val="auto"/>
              </w:rPr>
            </w:pPr>
            <w:r>
              <w:rPr>
                <w:rFonts w:ascii="Times New Roman" w:cs="Times New Roman" w:eastAsia="Times New Roman" w:hAnsi="Times New Roman"/>
                <w:sz w:val="17"/>
                <w:szCs w:val="17"/>
                <w:color w:val="0000EE"/>
              </w:rPr>
              <w:t>Directors and senior management</w:t>
            </w:r>
          </w:p>
        </w:tc>
        <w:tc>
          <w:tcPr>
            <w:tcW w:w="14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top w:val="single" w:sz="8" w:color="0000EE"/>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0000EE"/>
                <w:w w:val="72"/>
              </w:rPr>
              <w:t>B.</w:t>
            </w:r>
          </w:p>
        </w:tc>
        <w:tc>
          <w:tcPr>
            <w:tcW w:w="18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80" w:type="dxa"/>
            <w:vAlign w:val="bottom"/>
            <w:tcBorders>
              <w:top w:val="single" w:sz="8" w:color="0000EE"/>
            </w:tcBorders>
            <w:gridSpan w:val="12"/>
            <w:shd w:val="clear" w:color="auto" w:fill="CCEEFF"/>
          </w:tcPr>
          <w:p>
            <w:pPr>
              <w:spacing w:after="0"/>
              <w:rPr>
                <w:sz w:val="20"/>
                <w:szCs w:val="20"/>
                <w:color w:val="auto"/>
              </w:rPr>
            </w:pPr>
            <w:r>
              <w:rPr>
                <w:rFonts w:ascii="Times New Roman" w:cs="Times New Roman" w:eastAsia="Times New Roman" w:hAnsi="Times New Roman"/>
                <w:sz w:val="17"/>
                <w:szCs w:val="17"/>
                <w:color w:val="0000EE"/>
              </w:rPr>
              <w:t>Advisers</w:t>
            </w:r>
          </w:p>
        </w:tc>
        <w:tc>
          <w:tcPr>
            <w:tcW w:w="4360" w:type="dxa"/>
            <w:vAlign w:val="bottom"/>
            <w:gridSpan w:val="11"/>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36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260" w:type="dxa"/>
            <w:vAlign w:val="bottom"/>
            <w:tcBorders>
              <w:left w:val="single" w:sz="8" w:color="0000EE"/>
              <w:righ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tcBorders>
              <w:left w:val="single" w:sz="8" w:color="CCEEFF"/>
              <w:right w:val="single" w:sz="8" w:color="CCEEFF"/>
            </w:tcBorders>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tcBorders>
              <w:left w:val="single" w:sz="8" w:color="CCEEFF"/>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360" w:type="dxa"/>
            <w:vAlign w:val="bottom"/>
          </w:tcPr>
          <w:p>
            <w:pPr>
              <w:spacing w:after="0"/>
              <w:rPr>
                <w:sz w:val="15"/>
                <w:szCs w:val="15"/>
                <w:color w:val="auto"/>
              </w:rPr>
            </w:pPr>
          </w:p>
        </w:tc>
        <w:tc>
          <w:tcPr>
            <w:tcW w:w="320" w:type="dxa"/>
            <w:vAlign w:val="bottom"/>
            <w:gridSpan w:val="2"/>
          </w:tcPr>
          <w:p>
            <w:pPr>
              <w:spacing w:after="0" w:line="178" w:lineRule="exact"/>
              <w:rPr>
                <w:sz w:val="20"/>
                <w:szCs w:val="20"/>
                <w:color w:val="auto"/>
              </w:rPr>
            </w:pPr>
            <w:r>
              <w:rPr>
                <w:rFonts w:ascii="Times New Roman" w:cs="Times New Roman" w:eastAsia="Times New Roman" w:hAnsi="Times New Roman"/>
                <w:sz w:val="17"/>
                <w:szCs w:val="17"/>
                <w:color w:val="0000EE"/>
              </w:rPr>
              <w:t>C.</w:t>
            </w:r>
          </w:p>
        </w:tc>
        <w:tc>
          <w:tcPr>
            <w:tcW w:w="6800" w:type="dxa"/>
            <w:vAlign w:val="bottom"/>
            <w:gridSpan w:val="24"/>
          </w:tcPr>
          <w:p>
            <w:pPr>
              <w:ind w:left="160"/>
              <w:spacing w:after="0" w:line="178" w:lineRule="exact"/>
              <w:rPr>
                <w:sz w:val="20"/>
                <w:szCs w:val="20"/>
                <w:color w:val="auto"/>
              </w:rPr>
            </w:pPr>
            <w:r>
              <w:rPr>
                <w:rFonts w:ascii="Times New Roman" w:cs="Times New Roman" w:eastAsia="Times New Roman" w:hAnsi="Times New Roman"/>
                <w:sz w:val="17"/>
                <w:szCs w:val="17"/>
                <w:color w:val="0000EE"/>
              </w:rPr>
              <w:t>Auditors</w:t>
            </w:r>
          </w:p>
        </w:tc>
        <w:tc>
          <w:tcPr>
            <w:tcW w:w="14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420" w:type="dxa"/>
            <w:vAlign w:val="bottom"/>
            <w:tcBorders>
              <w:bottom w:val="single" w:sz="8" w:color="0000EE"/>
            </w:tcBorders>
            <w:gridSpan w:val="20"/>
            <w:shd w:val="clear" w:color="auto" w:fill="CCEEFF"/>
          </w:tcPr>
          <w:p>
            <w:pPr>
              <w:spacing w:after="0"/>
              <w:rPr>
                <w:sz w:val="20"/>
                <w:szCs w:val="20"/>
                <w:color w:val="auto"/>
              </w:rPr>
            </w:pPr>
            <w:r>
              <w:rPr>
                <w:rFonts w:ascii="Times New Roman" w:cs="Times New Roman" w:eastAsia="Times New Roman" w:hAnsi="Times New Roman"/>
                <w:sz w:val="17"/>
                <w:szCs w:val="17"/>
                <w:color w:val="0000EE"/>
                <w:w w:val="98"/>
              </w:rPr>
              <w:t>ITEM 2. OFFER STATISTICS AND EXPECTED TIMETABLE</w:t>
            </w:r>
          </w:p>
        </w:tc>
        <w:tc>
          <w:tcPr>
            <w:tcW w:w="3060" w:type="dxa"/>
            <w:vAlign w:val="bottom"/>
            <w:tcBorders>
              <w:bottom w:val="single" w:sz="8" w:color="CCEEFF"/>
            </w:tcBorders>
            <w:gridSpan w:val="7"/>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60" w:type="dxa"/>
            <w:vAlign w:val="bottom"/>
          </w:tcPr>
          <w:p>
            <w:pPr>
              <w:spacing w:after="0"/>
              <w:rPr>
                <w:sz w:val="15"/>
                <w:szCs w:val="15"/>
                <w:color w:val="auto"/>
              </w:rPr>
            </w:pPr>
          </w:p>
        </w:tc>
        <w:tc>
          <w:tcPr>
            <w:tcW w:w="1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73"/>
              </w:rPr>
              <w:t>A.</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Borders>
              <w:bottom w:val="single" w:sz="8" w:color="0000EE"/>
            </w:tcBorders>
            <w:gridSpan w:val="3"/>
          </w:tcPr>
          <w:p>
            <w:pPr>
              <w:spacing w:after="0" w:line="178" w:lineRule="exact"/>
              <w:rPr>
                <w:sz w:val="20"/>
                <w:szCs w:val="20"/>
                <w:color w:val="auto"/>
              </w:rPr>
            </w:pPr>
            <w:r>
              <w:rPr>
                <w:rFonts w:ascii="Times New Roman" w:cs="Times New Roman" w:eastAsia="Times New Roman" w:hAnsi="Times New Roman"/>
                <w:sz w:val="17"/>
                <w:szCs w:val="17"/>
                <w:color w:val="0000EE"/>
              </w:rPr>
              <w:t>Offer statistics</w:t>
            </w:r>
          </w:p>
        </w:tc>
        <w:tc>
          <w:tcPr>
            <w:tcW w:w="5580" w:type="dxa"/>
            <w:vAlign w:val="bottom"/>
            <w:gridSpan w:val="20"/>
          </w:tcPr>
          <w:p>
            <w:pPr>
              <w:spacing w:after="0"/>
              <w:rPr>
                <w:sz w:val="15"/>
                <w:szCs w:val="15"/>
                <w:color w:val="auto"/>
              </w:rPr>
            </w:pPr>
          </w:p>
        </w:tc>
        <w:tc>
          <w:tcPr>
            <w:tcW w:w="14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0" w:type="dxa"/>
            <w:vAlign w:val="bottom"/>
            <w:tcBorders>
              <w:right w:val="single" w:sz="8" w:color="CCEEFF"/>
            </w:tcBorders>
            <w:shd w:val="clear" w:color="auto" w:fill="CCEEFF"/>
          </w:tcPr>
          <w:p>
            <w:pPr>
              <w:spacing w:after="0"/>
              <w:rPr>
                <w:sz w:val="17"/>
                <w:szCs w:val="17"/>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0000EE"/>
              </w:rPr>
              <w:t>B.</w:t>
            </w:r>
          </w:p>
        </w:tc>
        <w:tc>
          <w:tcPr>
            <w:tcW w:w="6800" w:type="dxa"/>
            <w:vAlign w:val="bottom"/>
            <w:gridSpan w:val="24"/>
            <w:shd w:val="clear" w:color="auto" w:fill="CCEEFF"/>
          </w:tcPr>
          <w:p>
            <w:pPr>
              <w:ind w:left="160"/>
              <w:spacing w:after="0"/>
              <w:rPr>
                <w:sz w:val="20"/>
                <w:szCs w:val="20"/>
                <w:color w:val="auto"/>
              </w:rPr>
            </w:pPr>
            <w:r>
              <w:rPr>
                <w:rFonts w:ascii="Times New Roman" w:cs="Times New Roman" w:eastAsia="Times New Roman" w:hAnsi="Times New Roman"/>
                <w:sz w:val="17"/>
                <w:szCs w:val="17"/>
                <w:color w:val="0000EE"/>
              </w:rPr>
              <w:t>Method and expected timetable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36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260" w:type="dxa"/>
            <w:vAlign w:val="bottom"/>
            <w:tcBorders>
              <w:left w:val="single" w:sz="8" w:color="0000EE"/>
              <w:right w:val="single" w:sz="8" w:color="0000EE"/>
            </w:tcBorders>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tcBorders>
              <w:left w:val="single" w:sz="8" w:color="0000EE"/>
              <w:right w:val="single" w:sz="8" w:color="CCEEFF"/>
            </w:tcBorders>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7480" w:type="dxa"/>
            <w:vAlign w:val="bottom"/>
            <w:gridSpan w:val="27"/>
          </w:tcPr>
          <w:p>
            <w:pPr>
              <w:spacing w:after="0" w:line="178" w:lineRule="exact"/>
              <w:rPr>
                <w:sz w:val="20"/>
                <w:szCs w:val="20"/>
                <w:color w:val="auto"/>
              </w:rPr>
            </w:pPr>
            <w:r>
              <w:rPr>
                <w:rFonts w:ascii="Times New Roman" w:cs="Times New Roman" w:eastAsia="Times New Roman" w:hAnsi="Times New Roman"/>
                <w:sz w:val="17"/>
                <w:szCs w:val="17"/>
                <w:color w:val="0000EE"/>
              </w:rPr>
              <w:t>ITEM 3. KEY INFORMATION</w:t>
            </w:r>
          </w:p>
        </w:tc>
        <w:tc>
          <w:tcPr>
            <w:tcW w:w="14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right w:val="single" w:sz="8" w:color="CCEEFF"/>
            </w:tcBorders>
            <w:shd w:val="clear" w:color="auto" w:fill="CCEEFF"/>
          </w:tcPr>
          <w:p>
            <w:pPr>
              <w:spacing w:after="0"/>
              <w:rPr>
                <w:sz w:val="17"/>
                <w:szCs w:val="17"/>
                <w:color w:val="auto"/>
              </w:rPr>
            </w:pPr>
          </w:p>
        </w:tc>
        <w:tc>
          <w:tcPr>
            <w:tcW w:w="140" w:type="dxa"/>
            <w:vAlign w:val="bottom"/>
            <w:tcBorders>
              <w:top w:val="single" w:sz="8" w:color="0000EE"/>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0000EE"/>
                <w:w w:val="73"/>
              </w:rPr>
              <w:t>A.</w:t>
            </w:r>
          </w:p>
        </w:tc>
        <w:tc>
          <w:tcPr>
            <w:tcW w:w="180" w:type="dxa"/>
            <w:vAlign w:val="bottom"/>
            <w:tcBorders>
              <w:top w:val="single" w:sz="8" w:color="0000EE"/>
              <w:left w:val="single" w:sz="8" w:color="CCEEFF"/>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1340" w:type="dxa"/>
            <w:vAlign w:val="bottom"/>
            <w:tcBorders>
              <w:top w:val="single" w:sz="8" w:color="0000EE"/>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0000EE"/>
              </w:rPr>
              <w:t>[Reserved]</w:t>
            </w:r>
          </w:p>
        </w:tc>
        <w:tc>
          <w:tcPr>
            <w:tcW w:w="5300" w:type="dxa"/>
            <w:vAlign w:val="bottom"/>
            <w:tcBorders>
              <w:left w:val="single" w:sz="8" w:color="CCEEFF"/>
            </w:tcBorders>
            <w:gridSpan w:val="18"/>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360" w:type="dxa"/>
            <w:vAlign w:val="bottom"/>
            <w:tcBorders>
              <w:right w:val="single" w:sz="8" w:color="0000EE"/>
            </w:tcBorders>
            <w:shd w:val="clear" w:color="auto" w:fill="CCEEFF"/>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260" w:type="dxa"/>
            <w:vAlign w:val="bottom"/>
            <w:tcBorders>
              <w:left w:val="single" w:sz="8" w:color="0000EE"/>
              <w:right w:val="single" w:sz="8" w:color="CCEEFF"/>
            </w:tcBorders>
            <w:shd w:val="clear" w:color="auto" w:fill="0000EE"/>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tcBorders>
              <w:left w:val="single" w:sz="8" w:color="CCEEFF"/>
              <w:right w:val="single" w:sz="8" w:color="CCEEFF"/>
            </w:tcBorders>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tcBorders>
              <w:left w:val="single" w:sz="8" w:color="CCEEFF"/>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36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0000EE"/>
                <w:w w:val="72"/>
              </w:rPr>
              <w:t>B.</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40" w:type="dxa"/>
            <w:vAlign w:val="bottom"/>
            <w:gridSpan w:val="23"/>
          </w:tcPr>
          <w:p>
            <w:pPr>
              <w:spacing w:after="0" w:line="178" w:lineRule="exact"/>
              <w:rPr>
                <w:sz w:val="20"/>
                <w:szCs w:val="20"/>
                <w:color w:val="auto"/>
              </w:rPr>
            </w:pPr>
            <w:r>
              <w:rPr>
                <w:rFonts w:ascii="Times New Roman" w:cs="Times New Roman" w:eastAsia="Times New Roman" w:hAnsi="Times New Roman"/>
                <w:sz w:val="17"/>
                <w:szCs w:val="17"/>
                <w:color w:val="0000EE"/>
              </w:rPr>
              <w:t>Capitalization and indebtedness</w:t>
            </w:r>
          </w:p>
        </w:tc>
        <w:tc>
          <w:tcPr>
            <w:tcW w:w="14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Borders>
              <w:right w:val="single" w:sz="8" w:color="CCEEFF"/>
            </w:tcBorders>
            <w:shd w:val="clear" w:color="auto" w:fill="CCEEFF"/>
          </w:tcPr>
          <w:p>
            <w:pPr>
              <w:spacing w:after="0"/>
              <w:rPr>
                <w:sz w:val="17"/>
                <w:szCs w:val="17"/>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0000EE"/>
              </w:rPr>
              <w:t>C.</w:t>
            </w:r>
          </w:p>
        </w:tc>
        <w:tc>
          <w:tcPr>
            <w:tcW w:w="6800" w:type="dxa"/>
            <w:vAlign w:val="bottom"/>
            <w:gridSpan w:val="24"/>
            <w:shd w:val="clear" w:color="auto" w:fill="CCEEFF"/>
          </w:tcPr>
          <w:p>
            <w:pPr>
              <w:ind w:left="160"/>
              <w:spacing w:after="0"/>
              <w:rPr>
                <w:sz w:val="20"/>
                <w:szCs w:val="20"/>
                <w:color w:val="auto"/>
              </w:rPr>
            </w:pPr>
            <w:r>
              <w:rPr>
                <w:rFonts w:ascii="Times New Roman" w:cs="Times New Roman" w:eastAsia="Times New Roman" w:hAnsi="Times New Roman"/>
                <w:sz w:val="17"/>
                <w:szCs w:val="17"/>
                <w:color w:val="0000EE"/>
              </w:rPr>
              <w:t>Reasons for the offer and use of proceeds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36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260" w:type="dxa"/>
            <w:vAlign w:val="bottom"/>
            <w:tcBorders>
              <w:left w:val="single" w:sz="8" w:color="0000EE"/>
              <w:right w:val="single" w:sz="8" w:color="0000EE"/>
            </w:tcBorders>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60" w:type="dxa"/>
            <w:vAlign w:val="bottom"/>
            <w:tcBorders>
              <w:right w:val="single" w:sz="8" w:color="CCEEFF"/>
            </w:tcBorders>
            <w:shd w:val="clear" w:color="auto" w:fill="0000EE"/>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360" w:type="dxa"/>
            <w:vAlign w:val="bottom"/>
          </w:tcPr>
          <w:p>
            <w:pPr>
              <w:spacing w:after="0"/>
              <w:rPr>
                <w:sz w:val="16"/>
                <w:szCs w:val="16"/>
                <w:color w:val="auto"/>
              </w:rPr>
            </w:pPr>
          </w:p>
        </w:tc>
        <w:tc>
          <w:tcPr>
            <w:tcW w:w="1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73"/>
              </w:rPr>
              <w:t>D.</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Borders>
              <w:bottom w:val="single" w:sz="8" w:color="0000EE"/>
            </w:tcBorders>
            <w:gridSpan w:val="2"/>
          </w:tcPr>
          <w:p>
            <w:pPr>
              <w:spacing w:after="0" w:line="178" w:lineRule="exact"/>
              <w:rPr>
                <w:sz w:val="20"/>
                <w:szCs w:val="20"/>
                <w:color w:val="auto"/>
              </w:rPr>
            </w:pPr>
            <w:r>
              <w:rPr>
                <w:rFonts w:ascii="Times New Roman" w:cs="Times New Roman" w:eastAsia="Times New Roman" w:hAnsi="Times New Roman"/>
                <w:sz w:val="17"/>
                <w:szCs w:val="17"/>
                <w:color w:val="0000EE"/>
                <w:w w:val="95"/>
              </w:rPr>
              <w:t>Risk factors</w:t>
            </w:r>
          </w:p>
        </w:tc>
        <w:tc>
          <w:tcPr>
            <w:tcW w:w="5820" w:type="dxa"/>
            <w:vAlign w:val="bottom"/>
            <w:gridSpan w:val="21"/>
          </w:tcPr>
          <w:p>
            <w:pPr>
              <w:spacing w:after="0"/>
              <w:rPr>
                <w:sz w:val="16"/>
                <w:szCs w:val="16"/>
                <w:color w:val="auto"/>
              </w:rPr>
            </w:pPr>
          </w:p>
        </w:tc>
        <w:tc>
          <w:tcPr>
            <w:tcW w:w="14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480" w:type="dxa"/>
            <w:vAlign w:val="bottom"/>
            <w:gridSpan w:val="27"/>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0000EE"/>
              </w:rPr>
              <w:t>ITEM 4. INFORMATION ON THE COMPANY</w:t>
            </w:r>
          </w:p>
        </w:tc>
        <w:tc>
          <w:tcPr>
            <w:tcW w:w="1440" w:type="dxa"/>
            <w:vAlign w:val="bottom"/>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60" w:type="dxa"/>
            <w:vAlign w:val="bottom"/>
            <w:tcBorders>
              <w:right w:val="single" w:sz="8" w:color="0000EE"/>
            </w:tcBorders>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260" w:type="dxa"/>
            <w:vAlign w:val="bottom"/>
            <w:tcBorders>
              <w:left w:val="single" w:sz="8" w:color="0000EE"/>
              <w:right w:val="single" w:sz="8" w:color="0000EE"/>
            </w:tcBorders>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360" w:type="dxa"/>
            <w:vAlign w:val="bottom"/>
          </w:tcPr>
          <w:p>
            <w:pPr>
              <w:spacing w:after="0"/>
              <w:rPr>
                <w:sz w:val="16"/>
                <w:szCs w:val="16"/>
                <w:color w:val="auto"/>
              </w:rPr>
            </w:pPr>
          </w:p>
        </w:tc>
        <w:tc>
          <w:tcPr>
            <w:tcW w:w="1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73"/>
              </w:rPr>
              <w:t>A.</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tcBorders>
              <w:bottom w:val="single" w:sz="8" w:color="0000EE"/>
            </w:tcBorders>
            <w:gridSpan w:val="15"/>
          </w:tcPr>
          <w:p>
            <w:pPr>
              <w:spacing w:after="0" w:line="178" w:lineRule="exact"/>
              <w:rPr>
                <w:sz w:val="20"/>
                <w:szCs w:val="20"/>
                <w:color w:val="auto"/>
              </w:rPr>
            </w:pPr>
            <w:r>
              <w:rPr>
                <w:rFonts w:ascii="Times New Roman" w:cs="Times New Roman" w:eastAsia="Times New Roman" w:hAnsi="Times New Roman"/>
                <w:sz w:val="17"/>
                <w:szCs w:val="17"/>
                <w:color w:val="0000EE"/>
                <w:w w:val="98"/>
              </w:rPr>
              <w:t>History and development of the company</w:t>
            </w:r>
          </w:p>
        </w:tc>
        <w:tc>
          <w:tcPr>
            <w:tcW w:w="3820" w:type="dxa"/>
            <w:vAlign w:val="bottom"/>
            <w:gridSpan w:val="8"/>
          </w:tcPr>
          <w:p>
            <w:pPr>
              <w:spacing w:after="0"/>
              <w:rPr>
                <w:sz w:val="16"/>
                <w:szCs w:val="16"/>
                <w:color w:val="auto"/>
              </w:rPr>
            </w:pPr>
          </w:p>
        </w:tc>
        <w:tc>
          <w:tcPr>
            <w:tcW w:w="14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0" w:type="dxa"/>
            <w:vAlign w:val="bottom"/>
            <w:tcBorders>
              <w:right w:val="single" w:sz="8" w:color="CCEEFF"/>
            </w:tcBorders>
            <w:shd w:val="clear" w:color="auto" w:fill="CCEEFF"/>
          </w:tcPr>
          <w:p>
            <w:pPr>
              <w:spacing w:after="0"/>
              <w:rPr>
                <w:sz w:val="16"/>
                <w:szCs w:val="16"/>
                <w:color w:val="auto"/>
              </w:rPr>
            </w:pPr>
          </w:p>
        </w:tc>
        <w:tc>
          <w:tcPr>
            <w:tcW w:w="320" w:type="dxa"/>
            <w:vAlign w:val="bottom"/>
            <w:gridSpan w:val="2"/>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0000EE"/>
              </w:rPr>
              <w:t>B.</w:t>
            </w:r>
          </w:p>
        </w:tc>
        <w:tc>
          <w:tcPr>
            <w:tcW w:w="6800" w:type="dxa"/>
            <w:vAlign w:val="bottom"/>
            <w:gridSpan w:val="24"/>
            <w:shd w:val="clear" w:color="auto" w:fill="CCEEFF"/>
          </w:tcPr>
          <w:p>
            <w:pPr>
              <w:ind w:left="160"/>
              <w:spacing w:after="0" w:line="187" w:lineRule="exact"/>
              <w:rPr>
                <w:sz w:val="20"/>
                <w:szCs w:val="20"/>
                <w:color w:val="auto"/>
              </w:rPr>
            </w:pPr>
            <w:r>
              <w:rPr>
                <w:rFonts w:ascii="Times New Roman" w:cs="Times New Roman" w:eastAsia="Times New Roman" w:hAnsi="Times New Roman"/>
                <w:sz w:val="17"/>
                <w:szCs w:val="17"/>
                <w:color w:val="0000EE"/>
              </w:rPr>
              <w:t>Business overview</w:t>
            </w:r>
          </w:p>
        </w:tc>
        <w:tc>
          <w:tcPr>
            <w:tcW w:w="1440" w:type="dxa"/>
            <w:vAlign w:val="bottom"/>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6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260" w:type="dxa"/>
            <w:vAlign w:val="bottom"/>
            <w:tcBorders>
              <w:left w:val="single" w:sz="8" w:color="0000EE"/>
              <w:right w:val="single" w:sz="8" w:color="0000EE"/>
            </w:tcBorders>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tcBorders>
              <w:left w:val="single" w:sz="8" w:color="CCEEFF"/>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360" w:type="dxa"/>
            <w:vAlign w:val="bottom"/>
          </w:tcPr>
          <w:p>
            <w:pPr>
              <w:spacing w:after="0"/>
              <w:rPr>
                <w:sz w:val="15"/>
                <w:szCs w:val="15"/>
                <w:color w:val="auto"/>
              </w:rPr>
            </w:pPr>
          </w:p>
        </w:tc>
        <w:tc>
          <w:tcPr>
            <w:tcW w:w="320" w:type="dxa"/>
            <w:vAlign w:val="bottom"/>
            <w:gridSpan w:val="2"/>
          </w:tcPr>
          <w:p>
            <w:pPr>
              <w:spacing w:after="0" w:line="178" w:lineRule="exact"/>
              <w:rPr>
                <w:sz w:val="20"/>
                <w:szCs w:val="20"/>
                <w:color w:val="auto"/>
              </w:rPr>
            </w:pPr>
            <w:r>
              <w:rPr>
                <w:rFonts w:ascii="Times New Roman" w:cs="Times New Roman" w:eastAsia="Times New Roman" w:hAnsi="Times New Roman"/>
                <w:sz w:val="17"/>
                <w:szCs w:val="17"/>
                <w:color w:val="0000EE"/>
              </w:rPr>
              <w:t>C.</w:t>
            </w:r>
          </w:p>
        </w:tc>
        <w:tc>
          <w:tcPr>
            <w:tcW w:w="6800" w:type="dxa"/>
            <w:vAlign w:val="bottom"/>
            <w:gridSpan w:val="24"/>
          </w:tcPr>
          <w:p>
            <w:pPr>
              <w:ind w:left="160"/>
              <w:spacing w:after="0" w:line="178" w:lineRule="exact"/>
              <w:rPr>
                <w:sz w:val="20"/>
                <w:szCs w:val="20"/>
                <w:color w:val="auto"/>
              </w:rPr>
            </w:pPr>
            <w:r>
              <w:rPr>
                <w:rFonts w:ascii="Times New Roman" w:cs="Times New Roman" w:eastAsia="Times New Roman" w:hAnsi="Times New Roman"/>
                <w:sz w:val="17"/>
                <w:szCs w:val="17"/>
                <w:color w:val="0000EE"/>
              </w:rPr>
              <w:t>Organizational structure</w:t>
            </w:r>
          </w:p>
        </w:tc>
        <w:tc>
          <w:tcPr>
            <w:tcW w:w="14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112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0000EE"/>
                <w:w w:val="73"/>
              </w:rPr>
              <w:t>D.</w:t>
            </w:r>
          </w:p>
        </w:tc>
        <w:tc>
          <w:tcPr>
            <w:tcW w:w="18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4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7"/>
                <w:szCs w:val="17"/>
                <w:color w:val="0000EE"/>
              </w:rPr>
              <w:t>Property, plant and equipment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360" w:type="dxa"/>
            <w:vAlign w:val="bottom"/>
            <w:tcBorders>
              <w:right w:val="single" w:sz="8" w:color="0000EE"/>
            </w:tcBorders>
            <w:shd w:val="clear" w:color="auto" w:fill="CCEEFF"/>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260" w:type="dxa"/>
            <w:vAlign w:val="bottom"/>
            <w:tcBorders>
              <w:left w:val="single" w:sz="8" w:color="0000EE"/>
              <w:right w:val="single" w:sz="8" w:color="0000EE"/>
            </w:tcBorders>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tcBorders>
              <w:left w:val="single" w:sz="8" w:color="CCEEFF"/>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7480" w:type="dxa"/>
            <w:vAlign w:val="bottom"/>
            <w:gridSpan w:val="27"/>
          </w:tcPr>
          <w:p>
            <w:pPr>
              <w:spacing w:after="0" w:line="178" w:lineRule="exact"/>
              <w:rPr>
                <w:sz w:val="20"/>
                <w:szCs w:val="20"/>
                <w:color w:val="auto"/>
              </w:rPr>
            </w:pPr>
            <w:r>
              <w:rPr>
                <w:rFonts w:ascii="Times New Roman" w:cs="Times New Roman" w:eastAsia="Times New Roman" w:hAnsi="Times New Roman"/>
                <w:sz w:val="17"/>
                <w:szCs w:val="17"/>
                <w:color w:val="0000EE"/>
              </w:rPr>
              <w:t>ITEM 4A. UNRESOLVED STAFF COMMENTS</w:t>
            </w:r>
          </w:p>
        </w:tc>
        <w:tc>
          <w:tcPr>
            <w:tcW w:w="14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113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020" w:type="dxa"/>
            <w:vAlign w:val="bottom"/>
            <w:tcBorders>
              <w:bottom w:val="single" w:sz="8" w:color="0000EE"/>
            </w:tcBorders>
            <w:gridSpan w:val="23"/>
            <w:shd w:val="clear" w:color="auto" w:fill="CCEEFF"/>
          </w:tcPr>
          <w:p>
            <w:pPr>
              <w:spacing w:after="0"/>
              <w:rPr>
                <w:sz w:val="20"/>
                <w:szCs w:val="20"/>
                <w:color w:val="auto"/>
              </w:rPr>
            </w:pPr>
            <w:r>
              <w:rPr>
                <w:rFonts w:ascii="Times New Roman" w:cs="Times New Roman" w:eastAsia="Times New Roman" w:hAnsi="Times New Roman"/>
                <w:sz w:val="17"/>
                <w:szCs w:val="17"/>
                <w:color w:val="0000EE"/>
                <w:w w:val="98"/>
              </w:rPr>
              <w:t>ITEM 5. OPERATING AND FINANCIAL REVIEW AND PROSPECTS</w:t>
            </w:r>
          </w:p>
        </w:tc>
        <w:tc>
          <w:tcPr>
            <w:tcW w:w="2460" w:type="dxa"/>
            <w:vAlign w:val="bottom"/>
            <w:tcBorders>
              <w:bottom w:val="single" w:sz="8" w:color="CCEEFF"/>
            </w:tcBorders>
            <w:gridSpan w:val="4"/>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6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0000EE"/>
                <w:w w:val="73"/>
              </w:rPr>
              <w:t>A.</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40" w:type="dxa"/>
            <w:vAlign w:val="bottom"/>
            <w:gridSpan w:val="23"/>
          </w:tcPr>
          <w:p>
            <w:pPr>
              <w:spacing w:after="0" w:line="178" w:lineRule="exact"/>
              <w:rPr>
                <w:sz w:val="20"/>
                <w:szCs w:val="20"/>
                <w:color w:val="auto"/>
              </w:rPr>
            </w:pPr>
            <w:r>
              <w:rPr>
                <w:rFonts w:ascii="Times New Roman" w:cs="Times New Roman" w:eastAsia="Times New Roman" w:hAnsi="Times New Roman"/>
                <w:sz w:val="17"/>
                <w:szCs w:val="17"/>
                <w:color w:val="0000EE"/>
              </w:rPr>
              <w:t>Operating results</w:t>
            </w:r>
          </w:p>
        </w:tc>
        <w:tc>
          <w:tcPr>
            <w:tcW w:w="14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113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0000EE"/>
                <w:w w:val="72"/>
              </w:rPr>
              <w:t>B.</w:t>
            </w:r>
          </w:p>
        </w:tc>
        <w:tc>
          <w:tcPr>
            <w:tcW w:w="18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4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7"/>
                <w:szCs w:val="17"/>
                <w:color w:val="0000EE"/>
              </w:rPr>
              <w:t>Liquidity and capital resources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36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260" w:type="dxa"/>
            <w:vAlign w:val="bottom"/>
            <w:tcBorders>
              <w:left w:val="single" w:sz="8" w:color="0000EE"/>
              <w:right w:val="single" w:sz="8" w:color="0000EE"/>
            </w:tcBorders>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tcBorders>
              <w:left w:val="single" w:sz="8" w:color="0000EE"/>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360" w:type="dxa"/>
            <w:vAlign w:val="bottom"/>
          </w:tcPr>
          <w:p>
            <w:pPr>
              <w:spacing w:after="0"/>
              <w:rPr>
                <w:sz w:val="15"/>
                <w:szCs w:val="15"/>
                <w:color w:val="auto"/>
              </w:rPr>
            </w:pPr>
          </w:p>
        </w:tc>
        <w:tc>
          <w:tcPr>
            <w:tcW w:w="320" w:type="dxa"/>
            <w:vAlign w:val="bottom"/>
            <w:gridSpan w:val="2"/>
          </w:tcPr>
          <w:p>
            <w:pPr>
              <w:spacing w:after="0" w:line="178" w:lineRule="exact"/>
              <w:rPr>
                <w:sz w:val="20"/>
                <w:szCs w:val="20"/>
                <w:color w:val="auto"/>
              </w:rPr>
            </w:pPr>
            <w:r>
              <w:rPr>
                <w:rFonts w:ascii="Times New Roman" w:cs="Times New Roman" w:eastAsia="Times New Roman" w:hAnsi="Times New Roman"/>
                <w:sz w:val="17"/>
                <w:szCs w:val="17"/>
                <w:color w:val="0000EE"/>
              </w:rPr>
              <w:t>C.</w:t>
            </w:r>
          </w:p>
        </w:tc>
        <w:tc>
          <w:tcPr>
            <w:tcW w:w="6800" w:type="dxa"/>
            <w:vAlign w:val="bottom"/>
            <w:gridSpan w:val="24"/>
          </w:tcPr>
          <w:p>
            <w:pPr>
              <w:ind w:left="160"/>
              <w:spacing w:after="0" w:line="178" w:lineRule="exact"/>
              <w:rPr>
                <w:sz w:val="20"/>
                <w:szCs w:val="20"/>
                <w:color w:val="auto"/>
              </w:rPr>
            </w:pPr>
            <w:r>
              <w:rPr>
                <w:rFonts w:ascii="Times New Roman" w:cs="Times New Roman" w:eastAsia="Times New Roman" w:hAnsi="Times New Roman"/>
                <w:sz w:val="17"/>
                <w:szCs w:val="17"/>
                <w:color w:val="0000EE"/>
              </w:rPr>
              <w:t>Research and development, patents and licenses, etc.</w:t>
            </w:r>
          </w:p>
        </w:tc>
        <w:tc>
          <w:tcPr>
            <w:tcW w:w="14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127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0000EE"/>
                <w:w w:val="73"/>
              </w:rPr>
              <w:t>D.</w:t>
            </w:r>
          </w:p>
        </w:tc>
        <w:tc>
          <w:tcPr>
            <w:tcW w:w="18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4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7"/>
                <w:szCs w:val="17"/>
                <w:color w:val="0000EE"/>
              </w:rPr>
              <w:t>Trend information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360" w:type="dxa"/>
            <w:vAlign w:val="bottom"/>
            <w:tcBorders>
              <w:right w:val="single" w:sz="8" w:color="0000EE"/>
            </w:tcBorders>
            <w:shd w:val="clear" w:color="auto" w:fill="CCEEFF"/>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260" w:type="dxa"/>
            <w:vAlign w:val="bottom"/>
            <w:tcBorders>
              <w:left w:val="single" w:sz="8" w:color="0000EE"/>
              <w:right w:val="single" w:sz="8" w:color="0000EE"/>
            </w:tcBorders>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0" w:type="dxa"/>
            <w:vAlign w:val="bottom"/>
            <w:tcBorders>
              <w:left w:val="single" w:sz="8" w:color="0000EE"/>
              <w:right w:val="single" w:sz="8" w:color="CCEEFF"/>
            </w:tcBorders>
            <w:shd w:val="clear" w:color="auto" w:fill="0000EE"/>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tcBorders>
              <w:left w:val="single" w:sz="8" w:color="CCEEFF"/>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360" w:type="dxa"/>
            <w:vAlign w:val="bottom"/>
          </w:tcPr>
          <w:p>
            <w:pPr>
              <w:spacing w:after="0"/>
              <w:rPr>
                <w:sz w:val="15"/>
                <w:szCs w:val="15"/>
                <w:color w:val="auto"/>
              </w:rPr>
            </w:pPr>
          </w:p>
        </w:tc>
        <w:tc>
          <w:tcPr>
            <w:tcW w:w="140" w:type="dxa"/>
            <w:vAlign w:val="bottom"/>
          </w:tcPr>
          <w:p>
            <w:pPr>
              <w:spacing w:after="0" w:line="178" w:lineRule="exact"/>
              <w:rPr>
                <w:sz w:val="20"/>
                <w:szCs w:val="20"/>
                <w:color w:val="auto"/>
              </w:rPr>
            </w:pPr>
            <w:r>
              <w:rPr>
                <w:rFonts w:ascii="Times New Roman" w:cs="Times New Roman" w:eastAsia="Times New Roman" w:hAnsi="Times New Roman"/>
                <w:sz w:val="16"/>
                <w:szCs w:val="16"/>
                <w:color w:val="0000EE"/>
                <w:w w:val="72"/>
              </w:rPr>
              <w:t>E.</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40" w:type="dxa"/>
            <w:vAlign w:val="bottom"/>
            <w:gridSpan w:val="23"/>
          </w:tcPr>
          <w:p>
            <w:pPr>
              <w:spacing w:after="0" w:line="178" w:lineRule="exact"/>
              <w:rPr>
                <w:sz w:val="20"/>
                <w:szCs w:val="20"/>
                <w:color w:val="auto"/>
              </w:rPr>
            </w:pPr>
            <w:r>
              <w:rPr>
                <w:rFonts w:ascii="Times New Roman" w:cs="Times New Roman" w:eastAsia="Times New Roman" w:hAnsi="Times New Roman"/>
                <w:sz w:val="17"/>
                <w:szCs w:val="17"/>
                <w:color w:val="0000EE"/>
              </w:rPr>
              <w:t>Critical Accounting Estimates</w:t>
            </w:r>
          </w:p>
        </w:tc>
        <w:tc>
          <w:tcPr>
            <w:tcW w:w="14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128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980" w:type="dxa"/>
            <w:vAlign w:val="bottom"/>
            <w:tcBorders>
              <w:bottom w:val="single" w:sz="8" w:color="0000EE"/>
            </w:tcBorders>
            <w:gridSpan w:val="22"/>
            <w:shd w:val="clear" w:color="auto" w:fill="CCEEFF"/>
          </w:tcPr>
          <w:p>
            <w:pPr>
              <w:spacing w:after="0"/>
              <w:rPr>
                <w:sz w:val="20"/>
                <w:szCs w:val="20"/>
                <w:color w:val="auto"/>
              </w:rPr>
            </w:pPr>
            <w:r>
              <w:rPr>
                <w:rFonts w:ascii="Times New Roman" w:cs="Times New Roman" w:eastAsia="Times New Roman" w:hAnsi="Times New Roman"/>
                <w:sz w:val="17"/>
                <w:szCs w:val="17"/>
                <w:color w:val="0000EE"/>
                <w:w w:val="99"/>
              </w:rPr>
              <w:t>ITEM 6. DIRECTORS, SENIOR MANAGEMENT AND EMPLOYEES</w:t>
            </w:r>
          </w:p>
        </w:tc>
        <w:tc>
          <w:tcPr>
            <w:tcW w:w="2500" w:type="dxa"/>
            <w:vAlign w:val="bottom"/>
            <w:tcBorders>
              <w:bottom w:val="single" w:sz="8" w:color="CCEEFF"/>
            </w:tcBorders>
            <w:gridSpan w:val="5"/>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6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0000EE"/>
                <w:w w:val="73"/>
              </w:rPr>
              <w:t>A.</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40" w:type="dxa"/>
            <w:vAlign w:val="bottom"/>
            <w:gridSpan w:val="23"/>
          </w:tcPr>
          <w:p>
            <w:pPr>
              <w:spacing w:after="0" w:line="178" w:lineRule="exact"/>
              <w:rPr>
                <w:sz w:val="20"/>
                <w:szCs w:val="20"/>
                <w:color w:val="auto"/>
              </w:rPr>
            </w:pPr>
            <w:r>
              <w:rPr>
                <w:rFonts w:ascii="Times New Roman" w:cs="Times New Roman" w:eastAsia="Times New Roman" w:hAnsi="Times New Roman"/>
                <w:sz w:val="17"/>
                <w:szCs w:val="17"/>
                <w:color w:val="0000EE"/>
              </w:rPr>
              <w:t>Directors and senior management</w:t>
            </w:r>
          </w:p>
        </w:tc>
        <w:tc>
          <w:tcPr>
            <w:tcW w:w="14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128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top w:val="single" w:sz="8" w:color="0000EE"/>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0000EE"/>
                <w:w w:val="72"/>
              </w:rPr>
              <w:t>B.</w:t>
            </w:r>
          </w:p>
        </w:tc>
        <w:tc>
          <w:tcPr>
            <w:tcW w:w="18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80" w:type="dxa"/>
            <w:vAlign w:val="bottom"/>
            <w:tcBorders>
              <w:top w:val="single" w:sz="8" w:color="0000EE"/>
            </w:tcBorders>
            <w:gridSpan w:val="12"/>
            <w:shd w:val="clear" w:color="auto" w:fill="CCEEFF"/>
          </w:tcPr>
          <w:p>
            <w:pPr>
              <w:spacing w:after="0"/>
              <w:rPr>
                <w:sz w:val="20"/>
                <w:szCs w:val="20"/>
                <w:color w:val="auto"/>
              </w:rPr>
            </w:pPr>
            <w:r>
              <w:rPr>
                <w:rFonts w:ascii="Times New Roman" w:cs="Times New Roman" w:eastAsia="Times New Roman" w:hAnsi="Times New Roman"/>
                <w:sz w:val="17"/>
                <w:szCs w:val="17"/>
                <w:color w:val="0000EE"/>
              </w:rPr>
              <w:t>Compensation</w:t>
            </w:r>
          </w:p>
        </w:tc>
        <w:tc>
          <w:tcPr>
            <w:tcW w:w="4360" w:type="dxa"/>
            <w:vAlign w:val="bottom"/>
            <w:gridSpan w:val="11"/>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36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260" w:type="dxa"/>
            <w:vAlign w:val="bottom"/>
            <w:tcBorders>
              <w:left w:val="single" w:sz="8" w:color="0000EE"/>
              <w:right w:val="single" w:sz="8" w:color="0000EE"/>
            </w:tcBorders>
            <w:shd w:val="clear" w:color="auto" w:fill="0000EE"/>
          </w:tcPr>
          <w:p>
            <w:pPr>
              <w:spacing w:after="0"/>
              <w:rPr>
                <w:sz w:val="3"/>
                <w:szCs w:val="3"/>
                <w:color w:val="auto"/>
              </w:rPr>
            </w:pPr>
          </w:p>
        </w:tc>
        <w:tc>
          <w:tcPr>
            <w:tcW w:w="240" w:type="dxa"/>
            <w:vAlign w:val="bottom"/>
            <w:tcBorders>
              <w:right w:val="single" w:sz="8" w:color="CCEEFF"/>
            </w:tcBorders>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tcBorders>
              <w:left w:val="single" w:sz="8" w:color="CCEEFF"/>
              <w:right w:val="single" w:sz="8" w:color="CCEEFF"/>
            </w:tcBorders>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tcBorders>
              <w:left w:val="single" w:sz="8" w:color="CCEEFF"/>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360" w:type="dxa"/>
            <w:vAlign w:val="bottom"/>
          </w:tcPr>
          <w:p>
            <w:pPr>
              <w:spacing w:after="0"/>
              <w:rPr>
                <w:sz w:val="15"/>
                <w:szCs w:val="15"/>
                <w:color w:val="auto"/>
              </w:rPr>
            </w:pPr>
          </w:p>
        </w:tc>
        <w:tc>
          <w:tcPr>
            <w:tcW w:w="320" w:type="dxa"/>
            <w:vAlign w:val="bottom"/>
            <w:gridSpan w:val="2"/>
          </w:tcPr>
          <w:p>
            <w:pPr>
              <w:spacing w:after="0" w:line="178" w:lineRule="exact"/>
              <w:rPr>
                <w:sz w:val="20"/>
                <w:szCs w:val="20"/>
                <w:color w:val="auto"/>
              </w:rPr>
            </w:pPr>
            <w:r>
              <w:rPr>
                <w:rFonts w:ascii="Times New Roman" w:cs="Times New Roman" w:eastAsia="Times New Roman" w:hAnsi="Times New Roman"/>
                <w:sz w:val="17"/>
                <w:szCs w:val="17"/>
                <w:color w:val="0000EE"/>
              </w:rPr>
              <w:t>C.</w:t>
            </w:r>
          </w:p>
        </w:tc>
        <w:tc>
          <w:tcPr>
            <w:tcW w:w="6800" w:type="dxa"/>
            <w:vAlign w:val="bottom"/>
            <w:gridSpan w:val="24"/>
          </w:tcPr>
          <w:p>
            <w:pPr>
              <w:ind w:left="160"/>
              <w:spacing w:after="0" w:line="178" w:lineRule="exact"/>
              <w:rPr>
                <w:sz w:val="20"/>
                <w:szCs w:val="20"/>
                <w:color w:val="auto"/>
              </w:rPr>
            </w:pPr>
            <w:r>
              <w:rPr>
                <w:rFonts w:ascii="Times New Roman" w:cs="Times New Roman" w:eastAsia="Times New Roman" w:hAnsi="Times New Roman"/>
                <w:sz w:val="17"/>
                <w:szCs w:val="17"/>
                <w:color w:val="0000EE"/>
              </w:rPr>
              <w:t>Board practices</w:t>
            </w:r>
          </w:p>
        </w:tc>
        <w:tc>
          <w:tcPr>
            <w:tcW w:w="14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134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6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0000EE"/>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0000EE"/>
                <w:w w:val="73"/>
              </w:rPr>
              <w:t>D.</w:t>
            </w:r>
          </w:p>
        </w:tc>
        <w:tc>
          <w:tcPr>
            <w:tcW w:w="180" w:type="dxa"/>
            <w:vAlign w:val="bottom"/>
            <w:tcBorders>
              <w:left w:val="single" w:sz="8" w:color="CCEEFF"/>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0000EE"/>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0000EE"/>
              </w:rPr>
              <w:t>Employees</w:t>
            </w:r>
          </w:p>
        </w:tc>
        <w:tc>
          <w:tcPr>
            <w:tcW w:w="5820" w:type="dxa"/>
            <w:vAlign w:val="bottom"/>
            <w:tcBorders>
              <w:bottom w:val="single" w:sz="8" w:color="CCEEFF"/>
            </w:tcBorders>
            <w:gridSpan w:val="21"/>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60" w:type="dxa"/>
            <w:vAlign w:val="bottom"/>
          </w:tcPr>
          <w:p>
            <w:pPr>
              <w:spacing w:after="0"/>
              <w:rPr>
                <w:sz w:val="15"/>
                <w:szCs w:val="15"/>
                <w:color w:val="auto"/>
              </w:rPr>
            </w:pPr>
          </w:p>
        </w:tc>
        <w:tc>
          <w:tcPr>
            <w:tcW w:w="320" w:type="dxa"/>
            <w:vAlign w:val="bottom"/>
            <w:gridSpan w:val="2"/>
          </w:tcPr>
          <w:p>
            <w:pPr>
              <w:spacing w:after="0" w:line="178" w:lineRule="exact"/>
              <w:rPr>
                <w:sz w:val="20"/>
                <w:szCs w:val="20"/>
                <w:color w:val="auto"/>
              </w:rPr>
            </w:pPr>
            <w:r>
              <w:rPr>
                <w:rFonts w:ascii="Times New Roman" w:cs="Times New Roman" w:eastAsia="Times New Roman" w:hAnsi="Times New Roman"/>
                <w:sz w:val="17"/>
                <w:szCs w:val="17"/>
                <w:color w:val="0000EE"/>
              </w:rPr>
              <w:t>E.</w:t>
            </w:r>
          </w:p>
        </w:tc>
        <w:tc>
          <w:tcPr>
            <w:tcW w:w="6800" w:type="dxa"/>
            <w:vAlign w:val="bottom"/>
            <w:gridSpan w:val="24"/>
          </w:tcPr>
          <w:p>
            <w:pPr>
              <w:ind w:left="160"/>
              <w:spacing w:after="0" w:line="178" w:lineRule="exact"/>
              <w:rPr>
                <w:sz w:val="20"/>
                <w:szCs w:val="20"/>
                <w:color w:val="auto"/>
              </w:rPr>
            </w:pPr>
            <w:r>
              <w:rPr>
                <w:rFonts w:ascii="Times New Roman" w:cs="Times New Roman" w:eastAsia="Times New Roman" w:hAnsi="Times New Roman"/>
                <w:sz w:val="17"/>
                <w:szCs w:val="17"/>
                <w:color w:val="0000EE"/>
              </w:rPr>
              <w:t>Share ownership</w:t>
            </w:r>
          </w:p>
        </w:tc>
        <w:tc>
          <w:tcPr>
            <w:tcW w:w="14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137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60" w:type="dxa"/>
            <w:vAlign w:val="bottom"/>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60" w:type="dxa"/>
            <w:vAlign w:val="bottom"/>
            <w:tcBorders>
              <w:left w:val="single" w:sz="8" w:color="0000EE"/>
              <w:right w:val="single" w:sz="8" w:color="0000EE"/>
            </w:tcBorders>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36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0000EE"/>
              <w:right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w w:val="72"/>
              </w:rPr>
              <w:t>F.</w:t>
            </w:r>
          </w:p>
        </w:tc>
        <w:tc>
          <w:tcPr>
            <w:tcW w:w="180" w:type="dxa"/>
            <w:vAlign w:val="bottom"/>
            <w:tcBorders>
              <w:left w:val="single" w:sz="8" w:color="CCEEFF"/>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40" w:type="dxa"/>
            <w:vAlign w:val="bottom"/>
            <w:tcBorders>
              <w:bottom w:val="single" w:sz="8" w:color="CCEEFF"/>
            </w:tcBorders>
            <w:gridSpan w:val="23"/>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rPr>
              <w:t>Disclosure of a registrant’s action to recover erroneously awarded compensation</w:t>
            </w:r>
          </w:p>
        </w:tc>
        <w:tc>
          <w:tcPr>
            <w:tcW w:w="1440" w:type="dxa"/>
            <w:vAlign w:val="bottom"/>
            <w:tcBorders>
              <w:bottom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137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left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480" w:type="dxa"/>
            <w:vAlign w:val="bottom"/>
            <w:gridSpan w:val="27"/>
          </w:tcPr>
          <w:p>
            <w:pPr>
              <w:spacing w:after="0" w:line="168" w:lineRule="exact"/>
              <w:rPr>
                <w:sz w:val="20"/>
                <w:szCs w:val="20"/>
                <w:color w:val="auto"/>
              </w:rPr>
            </w:pPr>
            <w:r>
              <w:rPr>
                <w:rFonts w:ascii="Times New Roman" w:cs="Times New Roman" w:eastAsia="Times New Roman" w:hAnsi="Times New Roman"/>
                <w:sz w:val="17"/>
                <w:szCs w:val="17"/>
                <w:color w:val="0000EE"/>
              </w:rPr>
              <w:t>ITEM 7. MAJOR SHAREHOLDERS AND RELATED-PARTY TRANSACTIONS</w:t>
            </w:r>
          </w:p>
        </w:tc>
        <w:tc>
          <w:tcPr>
            <w:tcW w:w="1440" w:type="dxa"/>
            <w:vAlign w:val="bottom"/>
          </w:tcPr>
          <w:p>
            <w:pPr>
              <w:jc w:val="right"/>
              <w:spacing w:after="0" w:line="168" w:lineRule="exact"/>
              <w:rPr>
                <w:sz w:val="20"/>
                <w:szCs w:val="20"/>
                <w:color w:val="auto"/>
              </w:rPr>
            </w:pPr>
            <w:r>
              <w:rPr>
                <w:rFonts w:ascii="Times New Roman" w:cs="Times New Roman" w:eastAsia="Times New Roman" w:hAnsi="Times New Roman"/>
                <w:sz w:val="17"/>
                <w:szCs w:val="17"/>
                <w:color w:val="auto"/>
              </w:rPr>
              <w:t>137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60" w:type="dxa"/>
            <w:vAlign w:val="bottom"/>
            <w:tcBorders>
              <w:top w:val="single" w:sz="8" w:color="0000EE"/>
              <w:bottom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0000EE"/>
              <w:bottom w:val="single" w:sz="8" w:color="0000EE"/>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0000EE"/>
                <w:w w:val="73"/>
              </w:rPr>
              <w:t>A.</w:t>
            </w:r>
          </w:p>
        </w:tc>
        <w:tc>
          <w:tcPr>
            <w:tcW w:w="180" w:type="dxa"/>
            <w:vAlign w:val="bottom"/>
            <w:tcBorders>
              <w:top w:val="single" w:sz="8" w:color="0000EE"/>
              <w:left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0000EE"/>
              <w:bottom w:val="single" w:sz="8" w:color="CCEEFF"/>
            </w:tcBorders>
            <w:shd w:val="clear" w:color="auto" w:fill="CCEEFF"/>
          </w:tcPr>
          <w:p>
            <w:pPr>
              <w:spacing w:after="0"/>
              <w:rPr>
                <w:sz w:val="18"/>
                <w:szCs w:val="18"/>
                <w:color w:val="auto"/>
              </w:rPr>
            </w:pPr>
          </w:p>
        </w:tc>
        <w:tc>
          <w:tcPr>
            <w:tcW w:w="1340" w:type="dxa"/>
            <w:vAlign w:val="bottom"/>
            <w:tcBorders>
              <w:top w:val="single" w:sz="8" w:color="0000EE"/>
              <w:bottom w:val="single" w:sz="8" w:color="0000EE"/>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0000EE"/>
                <w:w w:val="98"/>
              </w:rPr>
              <w:t>Major shareholders</w:t>
            </w:r>
          </w:p>
        </w:tc>
        <w:tc>
          <w:tcPr>
            <w:tcW w:w="3520" w:type="dxa"/>
            <w:vAlign w:val="bottom"/>
            <w:tcBorders>
              <w:top w:val="single" w:sz="8" w:color="0000EE"/>
              <w:left w:val="single" w:sz="8" w:color="CCEEFF"/>
              <w:bottom w:val="single" w:sz="8" w:color="CCEEFF"/>
            </w:tcBorders>
            <w:gridSpan w:val="15"/>
            <w:shd w:val="clear" w:color="auto" w:fill="CCEEFF"/>
          </w:tcPr>
          <w:p>
            <w:pPr>
              <w:spacing w:after="0"/>
              <w:rPr>
                <w:sz w:val="18"/>
                <w:szCs w:val="18"/>
                <w:color w:val="auto"/>
              </w:rPr>
            </w:pPr>
          </w:p>
        </w:tc>
        <w:tc>
          <w:tcPr>
            <w:tcW w:w="1780" w:type="dxa"/>
            <w:vAlign w:val="bottom"/>
            <w:tcBorders>
              <w:bottom w:val="single" w:sz="8" w:color="CCEEFF"/>
            </w:tcBorders>
            <w:gridSpan w:val="3"/>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60" w:type="dxa"/>
            <w:vAlign w:val="bottom"/>
          </w:tcPr>
          <w:p>
            <w:pPr>
              <w:spacing w:after="0"/>
              <w:rPr>
                <w:sz w:val="15"/>
                <w:szCs w:val="15"/>
                <w:color w:val="auto"/>
              </w:rPr>
            </w:pPr>
          </w:p>
        </w:tc>
        <w:tc>
          <w:tcPr>
            <w:tcW w:w="320" w:type="dxa"/>
            <w:vAlign w:val="bottom"/>
            <w:gridSpan w:val="2"/>
          </w:tcPr>
          <w:p>
            <w:pPr>
              <w:spacing w:after="0" w:line="178" w:lineRule="exact"/>
              <w:rPr>
                <w:sz w:val="20"/>
                <w:szCs w:val="20"/>
                <w:color w:val="auto"/>
              </w:rPr>
            </w:pPr>
            <w:r>
              <w:rPr>
                <w:rFonts w:ascii="Times New Roman" w:cs="Times New Roman" w:eastAsia="Times New Roman" w:hAnsi="Times New Roman"/>
                <w:sz w:val="17"/>
                <w:szCs w:val="17"/>
                <w:color w:val="0000EE"/>
              </w:rPr>
              <w:t>B.</w:t>
            </w:r>
          </w:p>
        </w:tc>
        <w:tc>
          <w:tcPr>
            <w:tcW w:w="6800" w:type="dxa"/>
            <w:vAlign w:val="bottom"/>
            <w:gridSpan w:val="24"/>
          </w:tcPr>
          <w:p>
            <w:pPr>
              <w:ind w:left="160"/>
              <w:spacing w:after="0" w:line="178" w:lineRule="exact"/>
              <w:rPr>
                <w:sz w:val="20"/>
                <w:szCs w:val="20"/>
                <w:color w:val="auto"/>
              </w:rPr>
            </w:pPr>
            <w:r>
              <w:rPr>
                <w:rFonts w:ascii="Times New Roman" w:cs="Times New Roman" w:eastAsia="Times New Roman" w:hAnsi="Times New Roman"/>
                <w:sz w:val="17"/>
                <w:szCs w:val="17"/>
                <w:color w:val="0000EE"/>
              </w:rPr>
              <w:t>Related-party transactions</w:t>
            </w:r>
          </w:p>
        </w:tc>
        <w:tc>
          <w:tcPr>
            <w:tcW w:w="14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140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Borders>
              <w:right w:val="single" w:sz="8" w:color="CCEEFF"/>
            </w:tcBorders>
            <w:shd w:val="clear" w:color="auto" w:fill="CCEEFF"/>
          </w:tcPr>
          <w:p>
            <w:pPr>
              <w:spacing w:after="0"/>
              <w:rPr>
                <w:sz w:val="17"/>
                <w:szCs w:val="17"/>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0000EE"/>
              </w:rPr>
              <w:t>C.</w:t>
            </w:r>
          </w:p>
        </w:tc>
        <w:tc>
          <w:tcPr>
            <w:tcW w:w="6800" w:type="dxa"/>
            <w:vAlign w:val="bottom"/>
            <w:gridSpan w:val="24"/>
            <w:shd w:val="clear" w:color="auto" w:fill="CCEEFF"/>
          </w:tcPr>
          <w:p>
            <w:pPr>
              <w:ind w:left="160"/>
              <w:spacing w:after="0"/>
              <w:rPr>
                <w:sz w:val="20"/>
                <w:szCs w:val="20"/>
                <w:color w:val="auto"/>
              </w:rPr>
            </w:pPr>
            <w:r>
              <w:rPr>
                <w:rFonts w:ascii="Times New Roman" w:cs="Times New Roman" w:eastAsia="Times New Roman" w:hAnsi="Times New Roman"/>
                <w:sz w:val="17"/>
                <w:szCs w:val="17"/>
                <w:color w:val="0000EE"/>
              </w:rPr>
              <w:t>Interests of experts and counsel</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36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260" w:type="dxa"/>
            <w:vAlign w:val="bottom"/>
            <w:tcBorders>
              <w:left w:val="single" w:sz="8" w:color="0000EE"/>
              <w:right w:val="single" w:sz="8" w:color="0000EE"/>
            </w:tcBorders>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tcBorders>
              <w:left w:val="single" w:sz="8" w:color="0000EE"/>
              <w:right w:val="single" w:sz="8" w:color="CCEEFF"/>
            </w:tcBorders>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2760" w:type="dxa"/>
            <w:vAlign w:val="bottom"/>
            <w:tcBorders>
              <w:bottom w:val="single" w:sz="8" w:color="0000EE"/>
            </w:tcBorders>
            <w:gridSpan w:val="13"/>
          </w:tcPr>
          <w:p>
            <w:pPr>
              <w:spacing w:after="0" w:line="178" w:lineRule="exact"/>
              <w:rPr>
                <w:sz w:val="20"/>
                <w:szCs w:val="20"/>
                <w:color w:val="auto"/>
              </w:rPr>
            </w:pPr>
            <w:r>
              <w:rPr>
                <w:rFonts w:ascii="Times New Roman" w:cs="Times New Roman" w:eastAsia="Times New Roman" w:hAnsi="Times New Roman"/>
                <w:sz w:val="17"/>
                <w:szCs w:val="17"/>
                <w:color w:val="0000EE"/>
                <w:w w:val="98"/>
              </w:rPr>
              <w:t>ITEM 8. FINANCIAL INFORMATION</w:t>
            </w:r>
          </w:p>
        </w:tc>
        <w:tc>
          <w:tcPr>
            <w:tcW w:w="4720" w:type="dxa"/>
            <w:vAlign w:val="bottom"/>
            <w:gridSpan w:val="14"/>
          </w:tcPr>
          <w:p>
            <w:pPr>
              <w:spacing w:after="0"/>
              <w:rPr>
                <w:sz w:val="15"/>
                <w:szCs w:val="15"/>
                <w:color w:val="auto"/>
              </w:rPr>
            </w:pPr>
          </w:p>
        </w:tc>
        <w:tc>
          <w:tcPr>
            <w:tcW w:w="14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140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0000EE"/>
                <w:w w:val="73"/>
              </w:rPr>
              <w:t>A.</w:t>
            </w:r>
          </w:p>
        </w:tc>
        <w:tc>
          <w:tcPr>
            <w:tcW w:w="1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4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7"/>
                <w:szCs w:val="17"/>
                <w:color w:val="0000EE"/>
              </w:rPr>
              <w:t>Consolidated statements and other financial information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60" w:type="dxa"/>
            <w:vAlign w:val="bottom"/>
            <w:tcBorders>
              <w:top w:val="single" w:sz="8" w:color="CCEEFF"/>
            </w:tcBorders>
          </w:tcPr>
          <w:p>
            <w:pPr>
              <w:spacing w:after="0"/>
              <w:rPr>
                <w:sz w:val="15"/>
                <w:szCs w:val="15"/>
                <w:color w:val="auto"/>
              </w:rPr>
            </w:pPr>
          </w:p>
        </w:tc>
        <w:tc>
          <w:tcPr>
            <w:tcW w:w="1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72"/>
              </w:rPr>
              <w:t>B.</w:t>
            </w:r>
          </w:p>
        </w:tc>
        <w:tc>
          <w:tcPr>
            <w:tcW w:w="1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3800" w:type="dxa"/>
            <w:vAlign w:val="bottom"/>
            <w:tcBorders>
              <w:top w:val="single" w:sz="8" w:color="0000EE"/>
            </w:tcBorders>
            <w:gridSpan w:val="17"/>
          </w:tcPr>
          <w:p>
            <w:pPr>
              <w:spacing w:after="0" w:line="178" w:lineRule="exact"/>
              <w:rPr>
                <w:sz w:val="20"/>
                <w:szCs w:val="20"/>
                <w:color w:val="auto"/>
              </w:rPr>
            </w:pPr>
            <w:r>
              <w:rPr>
                <w:rFonts w:ascii="Times New Roman" w:cs="Times New Roman" w:eastAsia="Times New Roman" w:hAnsi="Times New Roman"/>
                <w:sz w:val="17"/>
                <w:szCs w:val="17"/>
                <w:color w:val="0000EE"/>
              </w:rPr>
              <w:t>Significant changes</w:t>
            </w:r>
          </w:p>
        </w:tc>
        <w:tc>
          <w:tcPr>
            <w:tcW w:w="2840" w:type="dxa"/>
            <w:vAlign w:val="bottom"/>
            <w:tcBorders>
              <w:top w:val="single" w:sz="8" w:color="CCEEFF"/>
            </w:tcBorders>
            <w:gridSpan w:val="6"/>
          </w:tcPr>
          <w:p>
            <w:pPr>
              <w:spacing w:after="0"/>
              <w:rPr>
                <w:sz w:val="15"/>
                <w:szCs w:val="15"/>
                <w:color w:val="auto"/>
              </w:rPr>
            </w:pPr>
          </w:p>
        </w:tc>
        <w:tc>
          <w:tcPr>
            <w:tcW w:w="1440" w:type="dxa"/>
            <w:vAlign w:val="bottom"/>
            <w:tcBorders>
              <w:top w:val="single" w:sz="8" w:color="CCEEFF"/>
            </w:tcBorders>
          </w:tcPr>
          <w:p>
            <w:pPr>
              <w:jc w:val="right"/>
              <w:spacing w:after="0" w:line="178" w:lineRule="exact"/>
              <w:rPr>
                <w:sz w:val="20"/>
                <w:szCs w:val="20"/>
                <w:color w:val="auto"/>
              </w:rPr>
            </w:pPr>
            <w:r>
              <w:rPr>
                <w:rFonts w:ascii="Times New Roman" w:cs="Times New Roman" w:eastAsia="Times New Roman" w:hAnsi="Times New Roman"/>
                <w:sz w:val="17"/>
                <w:szCs w:val="17"/>
                <w:color w:val="auto"/>
              </w:rPr>
              <w:t>141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8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7"/>
                <w:szCs w:val="17"/>
                <w:color w:val="0000EE"/>
              </w:rPr>
              <w:t>ITEM 9. THE OFFER AND LISTING</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360" w:type="dxa"/>
            <w:vAlign w:val="bottom"/>
            <w:tcBorders>
              <w:right w:val="single" w:sz="8" w:color="0000EE"/>
            </w:tcBorders>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260" w:type="dxa"/>
            <w:vAlign w:val="bottom"/>
            <w:tcBorders>
              <w:left w:val="single" w:sz="8" w:color="0000EE"/>
              <w:right w:val="single" w:sz="8" w:color="0000EE"/>
            </w:tcBorders>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tcBorders>
              <w:left w:val="single" w:sz="8" w:color="CCEEFF"/>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36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0000EE"/>
                <w:w w:val="73"/>
              </w:rPr>
              <w:t>A.</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40" w:type="dxa"/>
            <w:vAlign w:val="bottom"/>
            <w:gridSpan w:val="23"/>
          </w:tcPr>
          <w:p>
            <w:pPr>
              <w:spacing w:after="0" w:line="178" w:lineRule="exact"/>
              <w:rPr>
                <w:sz w:val="20"/>
                <w:szCs w:val="20"/>
                <w:color w:val="auto"/>
              </w:rPr>
            </w:pPr>
            <w:r>
              <w:rPr>
                <w:rFonts w:ascii="Times New Roman" w:cs="Times New Roman" w:eastAsia="Times New Roman" w:hAnsi="Times New Roman"/>
                <w:sz w:val="17"/>
                <w:szCs w:val="17"/>
                <w:color w:val="0000EE"/>
              </w:rPr>
              <w:t>Offering and listing details</w:t>
            </w:r>
          </w:p>
        </w:tc>
        <w:tc>
          <w:tcPr>
            <w:tcW w:w="14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141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top w:val="single" w:sz="8" w:color="0000EE"/>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0000EE"/>
                <w:w w:val="72"/>
              </w:rPr>
              <w:t>B.</w:t>
            </w:r>
          </w:p>
        </w:tc>
        <w:tc>
          <w:tcPr>
            <w:tcW w:w="18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tcBorders>
              <w:top w:val="single" w:sz="8" w:color="0000EE"/>
            </w:tcBorders>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0000EE"/>
              </w:rPr>
              <w:t>Plan of distribution</w:t>
            </w:r>
          </w:p>
        </w:tc>
        <w:tc>
          <w:tcPr>
            <w:tcW w:w="4860" w:type="dxa"/>
            <w:vAlign w:val="bottom"/>
            <w:tcBorders>
              <w:left w:val="single" w:sz="8" w:color="CCEEFF"/>
            </w:tcBorders>
            <w:gridSpan w:val="15"/>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36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260" w:type="dxa"/>
            <w:vAlign w:val="bottom"/>
            <w:tcBorders>
              <w:left w:val="single" w:sz="8" w:color="0000EE"/>
              <w:right w:val="single" w:sz="8" w:color="0000EE"/>
            </w:tcBorders>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tcBorders>
              <w:left w:val="single" w:sz="8" w:color="CCEEFF"/>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360" w:type="dxa"/>
            <w:vAlign w:val="bottom"/>
          </w:tcPr>
          <w:p>
            <w:pPr>
              <w:spacing w:after="0"/>
              <w:rPr>
                <w:sz w:val="15"/>
                <w:szCs w:val="15"/>
                <w:color w:val="auto"/>
              </w:rPr>
            </w:pPr>
          </w:p>
        </w:tc>
        <w:tc>
          <w:tcPr>
            <w:tcW w:w="320" w:type="dxa"/>
            <w:vAlign w:val="bottom"/>
            <w:gridSpan w:val="2"/>
          </w:tcPr>
          <w:p>
            <w:pPr>
              <w:spacing w:after="0" w:line="178" w:lineRule="exact"/>
              <w:rPr>
                <w:sz w:val="20"/>
                <w:szCs w:val="20"/>
                <w:color w:val="auto"/>
              </w:rPr>
            </w:pPr>
            <w:r>
              <w:rPr>
                <w:rFonts w:ascii="Times New Roman" w:cs="Times New Roman" w:eastAsia="Times New Roman" w:hAnsi="Times New Roman"/>
                <w:sz w:val="17"/>
                <w:szCs w:val="17"/>
                <w:color w:val="0000EE"/>
              </w:rPr>
              <w:t>C.</w:t>
            </w:r>
          </w:p>
        </w:tc>
        <w:tc>
          <w:tcPr>
            <w:tcW w:w="6800" w:type="dxa"/>
            <w:vAlign w:val="bottom"/>
            <w:gridSpan w:val="24"/>
          </w:tcPr>
          <w:p>
            <w:pPr>
              <w:ind w:left="160"/>
              <w:spacing w:after="0" w:line="178" w:lineRule="exact"/>
              <w:rPr>
                <w:sz w:val="20"/>
                <w:szCs w:val="20"/>
                <w:color w:val="auto"/>
              </w:rPr>
            </w:pPr>
            <w:r>
              <w:rPr>
                <w:rFonts w:ascii="Times New Roman" w:cs="Times New Roman" w:eastAsia="Times New Roman" w:hAnsi="Times New Roman"/>
                <w:sz w:val="17"/>
                <w:szCs w:val="17"/>
                <w:color w:val="0000EE"/>
              </w:rPr>
              <w:t>Markets</w:t>
            </w:r>
          </w:p>
        </w:tc>
        <w:tc>
          <w:tcPr>
            <w:tcW w:w="14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141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0000EE"/>
                <w:w w:val="73"/>
              </w:rPr>
              <w:t>D.</w:t>
            </w:r>
          </w:p>
        </w:tc>
        <w:tc>
          <w:tcPr>
            <w:tcW w:w="1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4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7"/>
                <w:szCs w:val="17"/>
                <w:color w:val="0000EE"/>
              </w:rPr>
              <w:t>Selling shareholders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60" w:type="dxa"/>
            <w:vAlign w:val="bottom"/>
            <w:tcBorders>
              <w:top w:val="single" w:sz="8" w:color="CCEEFF"/>
            </w:tcBorders>
          </w:tcPr>
          <w:p>
            <w:pPr>
              <w:spacing w:after="0"/>
              <w:rPr>
                <w:sz w:val="15"/>
                <w:szCs w:val="15"/>
                <w:color w:val="auto"/>
              </w:rPr>
            </w:pPr>
          </w:p>
        </w:tc>
        <w:tc>
          <w:tcPr>
            <w:tcW w:w="140" w:type="dxa"/>
            <w:vAlign w:val="bottom"/>
            <w:tcBorders>
              <w:top w:val="single" w:sz="8" w:color="0000EE"/>
            </w:tcBorders>
          </w:tcPr>
          <w:p>
            <w:pPr>
              <w:spacing w:after="0" w:line="178" w:lineRule="exact"/>
              <w:rPr>
                <w:sz w:val="20"/>
                <w:szCs w:val="20"/>
                <w:color w:val="auto"/>
              </w:rPr>
            </w:pPr>
            <w:r>
              <w:rPr>
                <w:rFonts w:ascii="Times New Roman" w:cs="Times New Roman" w:eastAsia="Times New Roman" w:hAnsi="Times New Roman"/>
                <w:sz w:val="16"/>
                <w:szCs w:val="16"/>
                <w:color w:val="0000EE"/>
                <w:w w:val="72"/>
              </w:rPr>
              <w:t>E.</w:t>
            </w:r>
          </w:p>
        </w:tc>
        <w:tc>
          <w:tcPr>
            <w:tcW w:w="1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340" w:type="dxa"/>
            <w:vAlign w:val="bottom"/>
            <w:tcBorders>
              <w:top w:val="single" w:sz="8" w:color="0000EE"/>
            </w:tcBorders>
            <w:gridSpan w:val="5"/>
          </w:tcPr>
          <w:p>
            <w:pPr>
              <w:spacing w:after="0" w:line="178" w:lineRule="exact"/>
              <w:rPr>
                <w:sz w:val="20"/>
                <w:szCs w:val="20"/>
                <w:color w:val="auto"/>
              </w:rPr>
            </w:pPr>
            <w:r>
              <w:rPr>
                <w:rFonts w:ascii="Times New Roman" w:cs="Times New Roman" w:eastAsia="Times New Roman" w:hAnsi="Times New Roman"/>
                <w:sz w:val="17"/>
                <w:szCs w:val="17"/>
                <w:color w:val="0000EE"/>
              </w:rPr>
              <w:t>Dilution</w:t>
            </w:r>
          </w:p>
        </w:tc>
        <w:tc>
          <w:tcPr>
            <w:tcW w:w="5300" w:type="dxa"/>
            <w:vAlign w:val="bottom"/>
            <w:tcBorders>
              <w:top w:val="single" w:sz="8" w:color="CCEEFF"/>
            </w:tcBorders>
            <w:gridSpan w:val="18"/>
          </w:tcPr>
          <w:p>
            <w:pPr>
              <w:spacing w:after="0"/>
              <w:rPr>
                <w:sz w:val="15"/>
                <w:szCs w:val="15"/>
                <w:color w:val="auto"/>
              </w:rPr>
            </w:pPr>
          </w:p>
        </w:tc>
        <w:tc>
          <w:tcPr>
            <w:tcW w:w="1440" w:type="dxa"/>
            <w:vAlign w:val="bottom"/>
            <w:tcBorders>
              <w:top w:val="single" w:sz="8" w:color="CCEEFF"/>
            </w:tcBorders>
          </w:tcPr>
          <w:p>
            <w:pPr>
              <w:jc w:val="right"/>
              <w:spacing w:after="0" w:line="178" w:lineRule="exact"/>
              <w:rPr>
                <w:sz w:val="20"/>
                <w:szCs w:val="20"/>
                <w:color w:val="auto"/>
              </w:rPr>
            </w:pPr>
            <w:r>
              <w:rPr>
                <w:rFonts w:ascii="Times New Roman" w:cs="Times New Roman" w:eastAsia="Times New Roman" w:hAnsi="Times New Roman"/>
                <w:sz w:val="17"/>
                <w:szCs w:val="17"/>
                <w:color w:val="auto"/>
              </w:rPr>
              <w:t>141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0000EE"/>
                <w:w w:val="72"/>
              </w:rPr>
              <w:t>F.</w:t>
            </w:r>
          </w:p>
        </w:tc>
        <w:tc>
          <w:tcPr>
            <w:tcW w:w="18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4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7"/>
                <w:szCs w:val="17"/>
                <w:color w:val="0000EE"/>
              </w:rPr>
              <w:t>Expenses of the issue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36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0000EE"/>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260" w:type="dxa"/>
            <w:vAlign w:val="bottom"/>
            <w:tcBorders>
              <w:left w:val="single" w:sz="8" w:color="0000EE"/>
              <w:right w:val="single" w:sz="8" w:color="0000EE"/>
            </w:tcBorders>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tcBorders>
              <w:left w:val="single" w:sz="8" w:color="CCEEFF"/>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98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7"/>
                <w:szCs w:val="17"/>
                <w:color w:val="0000EE"/>
                <w:w w:val="98"/>
              </w:rPr>
              <w:t>ITEM 10. ADDITIONAL INFORMATION</w:t>
            </w:r>
          </w:p>
        </w:tc>
        <w:tc>
          <w:tcPr>
            <w:tcW w:w="5400" w:type="dxa"/>
            <w:vAlign w:val="bottom"/>
            <w:gridSpan w:val="16"/>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r>
      <w:tr>
        <w:trPr>
          <w:trHeight w:val="196"/>
        </w:trPr>
        <w:tc>
          <w:tcPr>
            <w:tcW w:w="3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0000EE"/>
                <w:w w:val="84"/>
              </w:rPr>
              <w:t>A.</w:t>
            </w:r>
          </w:p>
        </w:tc>
        <w:tc>
          <w:tcPr>
            <w:tcW w:w="260" w:type="dxa"/>
            <w:vAlign w:val="bottom"/>
            <w:tcBorders>
              <w:left w:val="single" w:sz="8" w:color="CCEEFF"/>
            </w:tcBorders>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54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7"/>
                <w:szCs w:val="17"/>
                <w:color w:val="0000EE"/>
              </w:rPr>
              <w:t>Share capital</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r>
      <w:tr>
        <w:trPr>
          <w:trHeight w:val="38"/>
        </w:trPr>
        <w:tc>
          <w:tcPr>
            <w:tcW w:w="380" w:type="dxa"/>
            <w:vAlign w:val="bottom"/>
            <w:tcBorders>
              <w:right w:val="single" w:sz="8" w:color="0000EE"/>
            </w:tcBorders>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40" w:type="dxa"/>
            <w:vAlign w:val="bottom"/>
            <w:tcBorders>
              <w:left w:val="single" w:sz="8" w:color="0000EE"/>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480" w:type="dxa"/>
            <w:vAlign w:val="bottom"/>
            <w:tcBorders>
              <w:right w:val="single" w:sz="8" w:color="0000EE"/>
            </w:tcBorders>
            <w:shd w:val="clear" w:color="auto" w:fill="0000EE"/>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78"/>
        </w:trPr>
        <w:tc>
          <w:tcPr>
            <w:tcW w:w="380" w:type="dxa"/>
            <w:vAlign w:val="bottom"/>
          </w:tcPr>
          <w:p>
            <w:pPr>
              <w:spacing w:after="0"/>
              <w:rPr>
                <w:sz w:val="15"/>
                <w:szCs w:val="15"/>
                <w:color w:val="auto"/>
              </w:rPr>
            </w:pPr>
          </w:p>
        </w:tc>
        <w:tc>
          <w:tcPr>
            <w:tcW w:w="100" w:type="dxa"/>
            <w:vAlign w:val="bottom"/>
          </w:tcPr>
          <w:p>
            <w:pPr>
              <w:jc w:val="center"/>
              <w:spacing w:after="0" w:line="178" w:lineRule="exact"/>
              <w:rPr>
                <w:sz w:val="20"/>
                <w:szCs w:val="20"/>
                <w:color w:val="auto"/>
              </w:rPr>
            </w:pPr>
            <w:r>
              <w:rPr>
                <w:rFonts w:ascii="Times New Roman" w:cs="Times New Roman" w:eastAsia="Times New Roman" w:hAnsi="Times New Roman"/>
                <w:sz w:val="17"/>
                <w:szCs w:val="17"/>
                <w:color w:val="0000EE"/>
                <w:w w:val="76"/>
              </w:rPr>
              <w:t>B.</w:t>
            </w:r>
          </w:p>
        </w:tc>
        <w:tc>
          <w:tcPr>
            <w:tcW w:w="2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7540" w:type="dxa"/>
            <w:vAlign w:val="bottom"/>
            <w:gridSpan w:val="29"/>
          </w:tcPr>
          <w:p>
            <w:pPr>
              <w:spacing w:after="0" w:line="178" w:lineRule="exact"/>
              <w:rPr>
                <w:sz w:val="20"/>
                <w:szCs w:val="20"/>
                <w:color w:val="auto"/>
              </w:rPr>
            </w:pPr>
            <w:r>
              <w:rPr>
                <w:rFonts w:ascii="Times New Roman" w:cs="Times New Roman" w:eastAsia="Times New Roman" w:hAnsi="Times New Roman"/>
                <w:sz w:val="17"/>
                <w:szCs w:val="17"/>
                <w:color w:val="0000EE"/>
              </w:rPr>
              <w:t>Memorandum and articles of association</w:t>
            </w:r>
          </w:p>
        </w:tc>
        <w:tc>
          <w:tcPr>
            <w:tcW w:w="5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141</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380" w:type="dxa"/>
            <w:vAlign w:val="bottom"/>
            <w:tcBorders>
              <w:right w:val="single" w:sz="8" w:color="CCEEFF"/>
            </w:tcBorders>
            <w:shd w:val="clear" w:color="auto" w:fill="CCEEFF"/>
          </w:tcPr>
          <w:p>
            <w:pPr>
              <w:spacing w:after="0"/>
              <w:rPr>
                <w:sz w:val="17"/>
                <w:szCs w:val="17"/>
                <w:color w:val="auto"/>
              </w:rPr>
            </w:pPr>
          </w:p>
        </w:tc>
        <w:tc>
          <w:tcPr>
            <w:tcW w:w="360" w:type="dxa"/>
            <w:vAlign w:val="bottom"/>
            <w:gridSpan w:val="3"/>
            <w:shd w:val="clear" w:color="auto" w:fill="CCEEFF"/>
          </w:tcPr>
          <w:p>
            <w:pPr>
              <w:jc w:val="center"/>
              <w:ind w:right="240"/>
              <w:spacing w:after="0"/>
              <w:rPr>
                <w:sz w:val="20"/>
                <w:szCs w:val="20"/>
                <w:color w:val="auto"/>
              </w:rPr>
            </w:pPr>
            <w:r>
              <w:rPr>
                <w:rFonts w:ascii="Times New Roman" w:cs="Times New Roman" w:eastAsia="Times New Roman" w:hAnsi="Times New Roman"/>
                <w:sz w:val="17"/>
                <w:szCs w:val="17"/>
                <w:color w:val="0000EE"/>
                <w:w w:val="76"/>
              </w:rPr>
              <w:t>C.</w:t>
            </w:r>
          </w:p>
        </w:tc>
        <w:tc>
          <w:tcPr>
            <w:tcW w:w="7640" w:type="dxa"/>
            <w:vAlign w:val="bottom"/>
            <w:gridSpan w:val="30"/>
            <w:shd w:val="clear" w:color="auto" w:fill="CCEEFF"/>
          </w:tcPr>
          <w:p>
            <w:pPr>
              <w:ind w:left="100"/>
              <w:spacing w:after="0"/>
              <w:rPr>
                <w:sz w:val="20"/>
                <w:szCs w:val="20"/>
                <w:color w:val="auto"/>
              </w:rPr>
            </w:pPr>
            <w:r>
              <w:rPr>
                <w:rFonts w:ascii="Times New Roman" w:cs="Times New Roman" w:eastAsia="Times New Roman" w:hAnsi="Times New Roman"/>
                <w:sz w:val="17"/>
                <w:szCs w:val="17"/>
                <w:color w:val="0000EE"/>
              </w:rPr>
              <w:t>Material contracts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r>
      <w:tr>
        <w:trPr>
          <w:trHeight w:val="38"/>
        </w:trPr>
        <w:tc>
          <w:tcPr>
            <w:tcW w:w="380" w:type="dxa"/>
            <w:vAlign w:val="bottom"/>
            <w:tcBorders>
              <w:right w:val="single" w:sz="8" w:color="0000EE"/>
            </w:tcBorders>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480" w:type="dxa"/>
            <w:vAlign w:val="bottom"/>
            <w:tcBorders>
              <w:right w:val="single" w:sz="8" w:color="0000EE"/>
            </w:tcBorders>
            <w:shd w:val="clear" w:color="auto" w:fill="0000EE"/>
          </w:tcPr>
          <w:p>
            <w:pPr>
              <w:spacing w:after="0"/>
              <w:rPr>
                <w:sz w:val="3"/>
                <w:szCs w:val="3"/>
                <w:color w:val="auto"/>
              </w:rPr>
            </w:pPr>
          </w:p>
        </w:tc>
        <w:tc>
          <w:tcPr>
            <w:tcW w:w="180" w:type="dxa"/>
            <w:vAlign w:val="bottom"/>
            <w:tcBorders>
              <w:right w:val="single" w:sz="8" w:color="CCEEFF"/>
            </w:tcBorders>
            <w:shd w:val="clear" w:color="auto" w:fill="0000EE"/>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78"/>
        </w:trPr>
        <w:tc>
          <w:tcPr>
            <w:tcW w:w="380" w:type="dxa"/>
            <w:vAlign w:val="bottom"/>
          </w:tcPr>
          <w:p>
            <w:pPr>
              <w:spacing w:after="0"/>
              <w:rPr>
                <w:sz w:val="15"/>
                <w:szCs w:val="15"/>
                <w:color w:val="auto"/>
              </w:rPr>
            </w:pPr>
          </w:p>
        </w:tc>
        <w:tc>
          <w:tcPr>
            <w:tcW w:w="100" w:type="dxa"/>
            <w:vAlign w:val="bottom"/>
          </w:tcPr>
          <w:p>
            <w:pPr>
              <w:jc w:val="center"/>
              <w:spacing w:after="0" w:line="178" w:lineRule="exact"/>
              <w:rPr>
                <w:sz w:val="20"/>
                <w:szCs w:val="20"/>
                <w:color w:val="auto"/>
              </w:rPr>
            </w:pPr>
            <w:r>
              <w:rPr>
                <w:rFonts w:ascii="Times New Roman" w:cs="Times New Roman" w:eastAsia="Times New Roman" w:hAnsi="Times New Roman"/>
                <w:sz w:val="17"/>
                <w:szCs w:val="17"/>
                <w:color w:val="0000EE"/>
                <w:w w:val="84"/>
              </w:rPr>
              <w:t>D.</w:t>
            </w:r>
          </w:p>
        </w:tc>
        <w:tc>
          <w:tcPr>
            <w:tcW w:w="2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7540" w:type="dxa"/>
            <w:vAlign w:val="bottom"/>
            <w:gridSpan w:val="29"/>
          </w:tcPr>
          <w:p>
            <w:pPr>
              <w:spacing w:after="0" w:line="178" w:lineRule="exact"/>
              <w:rPr>
                <w:sz w:val="20"/>
                <w:szCs w:val="20"/>
                <w:color w:val="auto"/>
              </w:rPr>
            </w:pPr>
            <w:r>
              <w:rPr>
                <w:rFonts w:ascii="Times New Roman" w:cs="Times New Roman" w:eastAsia="Times New Roman" w:hAnsi="Times New Roman"/>
                <w:sz w:val="17"/>
                <w:szCs w:val="17"/>
                <w:color w:val="0000EE"/>
              </w:rPr>
              <w:t>Exchange controls</w:t>
            </w:r>
          </w:p>
        </w:tc>
        <w:tc>
          <w:tcPr>
            <w:tcW w:w="5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142</w:t>
            </w:r>
          </w:p>
        </w:tc>
      </w:tr>
      <w:tr>
        <w:trPr>
          <w:trHeight w:val="196"/>
        </w:trPr>
        <w:tc>
          <w:tcPr>
            <w:tcW w:w="3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0000EE"/>
                <w:w w:val="81"/>
              </w:rPr>
              <w:t>E.</w:t>
            </w:r>
          </w:p>
        </w:tc>
        <w:tc>
          <w:tcPr>
            <w:tcW w:w="260" w:type="dxa"/>
            <w:vAlign w:val="bottom"/>
            <w:tcBorders>
              <w:left w:val="single" w:sz="8" w:color="CCEEFF"/>
            </w:tcBorders>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tcBorders>
              <w:top w:val="single" w:sz="8" w:color="0000EE"/>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0000EE"/>
              </w:rPr>
              <w:t>Taxation</w:t>
            </w:r>
          </w:p>
        </w:tc>
        <w:tc>
          <w:tcPr>
            <w:tcW w:w="6280" w:type="dxa"/>
            <w:vAlign w:val="bottom"/>
            <w:tcBorders>
              <w:left w:val="single" w:sz="8" w:color="CCEEFF"/>
            </w:tcBorders>
            <w:gridSpan w:val="25"/>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r>
      <w:tr>
        <w:trPr>
          <w:trHeight w:val="38"/>
        </w:trPr>
        <w:tc>
          <w:tcPr>
            <w:tcW w:w="380" w:type="dxa"/>
            <w:vAlign w:val="bottom"/>
            <w:tcBorders>
              <w:right w:val="single" w:sz="8" w:color="0000EE"/>
            </w:tcBorders>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480" w:type="dxa"/>
            <w:vAlign w:val="bottom"/>
            <w:tcBorders>
              <w:right w:val="single" w:sz="8" w:color="CCEEFF"/>
            </w:tcBorders>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78"/>
        </w:trPr>
        <w:tc>
          <w:tcPr>
            <w:tcW w:w="380" w:type="dxa"/>
            <w:vAlign w:val="bottom"/>
          </w:tcPr>
          <w:p>
            <w:pPr>
              <w:spacing w:after="0"/>
              <w:rPr>
                <w:sz w:val="15"/>
                <w:szCs w:val="15"/>
                <w:color w:val="auto"/>
              </w:rPr>
            </w:pPr>
          </w:p>
        </w:tc>
        <w:tc>
          <w:tcPr>
            <w:tcW w:w="100" w:type="dxa"/>
            <w:vAlign w:val="bottom"/>
          </w:tcPr>
          <w:p>
            <w:pPr>
              <w:jc w:val="center"/>
              <w:spacing w:after="0" w:line="178" w:lineRule="exact"/>
              <w:rPr>
                <w:sz w:val="20"/>
                <w:szCs w:val="20"/>
                <w:color w:val="auto"/>
              </w:rPr>
            </w:pPr>
            <w:r>
              <w:rPr>
                <w:rFonts w:ascii="Times New Roman" w:cs="Times New Roman" w:eastAsia="Times New Roman" w:hAnsi="Times New Roman"/>
                <w:sz w:val="17"/>
                <w:szCs w:val="17"/>
                <w:color w:val="0000EE"/>
                <w:w w:val="72"/>
              </w:rPr>
              <w:t>F.</w:t>
            </w:r>
          </w:p>
        </w:tc>
        <w:tc>
          <w:tcPr>
            <w:tcW w:w="2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7540" w:type="dxa"/>
            <w:vAlign w:val="bottom"/>
            <w:gridSpan w:val="29"/>
          </w:tcPr>
          <w:p>
            <w:pPr>
              <w:spacing w:after="0" w:line="178" w:lineRule="exact"/>
              <w:rPr>
                <w:sz w:val="20"/>
                <w:szCs w:val="20"/>
                <w:color w:val="auto"/>
              </w:rPr>
            </w:pPr>
            <w:r>
              <w:rPr>
                <w:rFonts w:ascii="Times New Roman" w:cs="Times New Roman" w:eastAsia="Times New Roman" w:hAnsi="Times New Roman"/>
                <w:sz w:val="17"/>
                <w:szCs w:val="17"/>
                <w:color w:val="0000EE"/>
              </w:rPr>
              <w:t>Dividends and paying agents</w:t>
            </w:r>
          </w:p>
        </w:tc>
        <w:tc>
          <w:tcPr>
            <w:tcW w:w="5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150</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3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0000EE"/>
                <w:w w:val="84"/>
              </w:rPr>
              <w:t>G.</w:t>
            </w:r>
          </w:p>
        </w:tc>
        <w:tc>
          <w:tcPr>
            <w:tcW w:w="260" w:type="dxa"/>
            <w:vAlign w:val="bottom"/>
            <w:tcBorders>
              <w:left w:val="single" w:sz="8" w:color="CCEEFF"/>
            </w:tcBorders>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54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7"/>
                <w:szCs w:val="17"/>
                <w:color w:val="0000EE"/>
              </w:rPr>
              <w:t>Statement by experts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38"/>
        </w:trPr>
        <w:tc>
          <w:tcPr>
            <w:tcW w:w="380" w:type="dxa"/>
            <w:vAlign w:val="bottom"/>
            <w:tcBorders>
              <w:right w:val="single" w:sz="8" w:color="0000EE"/>
            </w:tcBorders>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40" w:type="dxa"/>
            <w:vAlign w:val="bottom"/>
            <w:tcBorders>
              <w:left w:val="single" w:sz="8" w:color="0000EE"/>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480" w:type="dxa"/>
            <w:vAlign w:val="bottom"/>
            <w:tcBorders>
              <w:right w:val="single" w:sz="8" w:color="0000EE"/>
            </w:tcBorders>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78"/>
        </w:trPr>
        <w:tc>
          <w:tcPr>
            <w:tcW w:w="380" w:type="dxa"/>
            <w:vAlign w:val="bottom"/>
          </w:tcPr>
          <w:p>
            <w:pPr>
              <w:spacing w:after="0"/>
              <w:rPr>
                <w:sz w:val="15"/>
                <w:szCs w:val="15"/>
                <w:color w:val="auto"/>
              </w:rPr>
            </w:pPr>
          </w:p>
        </w:tc>
        <w:tc>
          <w:tcPr>
            <w:tcW w:w="100" w:type="dxa"/>
            <w:vAlign w:val="bottom"/>
            <w:tcBorders>
              <w:bottom w:val="single" w:sz="8" w:color="0000EE"/>
            </w:tcBorders>
          </w:tcPr>
          <w:p>
            <w:pPr>
              <w:jc w:val="center"/>
              <w:spacing w:after="0" w:line="178" w:lineRule="exact"/>
              <w:rPr>
                <w:sz w:val="20"/>
                <w:szCs w:val="20"/>
                <w:color w:val="auto"/>
              </w:rPr>
            </w:pPr>
            <w:r>
              <w:rPr>
                <w:rFonts w:ascii="Times New Roman" w:cs="Times New Roman" w:eastAsia="Times New Roman" w:hAnsi="Times New Roman"/>
                <w:sz w:val="17"/>
                <w:szCs w:val="17"/>
                <w:color w:val="0000EE"/>
                <w:w w:val="84"/>
              </w:rPr>
              <w:t>H.</w:t>
            </w:r>
          </w:p>
        </w:tc>
        <w:tc>
          <w:tcPr>
            <w:tcW w:w="2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Borders>
              <w:bottom w:val="single" w:sz="8" w:color="0000EE"/>
            </w:tcBorders>
            <w:gridSpan w:val="7"/>
          </w:tcPr>
          <w:p>
            <w:pPr>
              <w:spacing w:after="0" w:line="178" w:lineRule="exact"/>
              <w:rPr>
                <w:sz w:val="20"/>
                <w:szCs w:val="20"/>
                <w:color w:val="auto"/>
              </w:rPr>
            </w:pPr>
            <w:r>
              <w:rPr>
                <w:rFonts w:ascii="Times New Roman" w:cs="Times New Roman" w:eastAsia="Times New Roman" w:hAnsi="Times New Roman"/>
                <w:sz w:val="17"/>
                <w:szCs w:val="17"/>
                <w:color w:val="0000EE"/>
                <w:w w:val="98"/>
              </w:rPr>
              <w:t>Documents on display</w:t>
            </w:r>
          </w:p>
        </w:tc>
        <w:tc>
          <w:tcPr>
            <w:tcW w:w="6020" w:type="dxa"/>
            <w:vAlign w:val="bottom"/>
            <w:gridSpan w:val="22"/>
          </w:tcPr>
          <w:p>
            <w:pPr>
              <w:spacing w:after="0"/>
              <w:rPr>
                <w:sz w:val="15"/>
                <w:szCs w:val="15"/>
                <w:color w:val="auto"/>
              </w:rPr>
            </w:pPr>
          </w:p>
        </w:tc>
        <w:tc>
          <w:tcPr>
            <w:tcW w:w="5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150</w:t>
            </w:r>
          </w:p>
        </w:tc>
      </w:tr>
      <w:tr>
        <w:trPr>
          <w:trHeight w:val="214"/>
        </w:trPr>
        <w:tc>
          <w:tcPr>
            <w:tcW w:w="3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0000EE"/>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0000EE"/>
              </w:rPr>
              <w:t>I.</w:t>
            </w:r>
          </w:p>
        </w:tc>
        <w:tc>
          <w:tcPr>
            <w:tcW w:w="260" w:type="dxa"/>
            <w:vAlign w:val="bottom"/>
            <w:tcBorders>
              <w:left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0000EE"/>
            </w:tcBorders>
            <w:gridSpan w:val="9"/>
            <w:shd w:val="clear" w:color="auto" w:fill="CCEEFF"/>
          </w:tcPr>
          <w:p>
            <w:pPr>
              <w:spacing w:after="0"/>
              <w:rPr>
                <w:sz w:val="20"/>
                <w:szCs w:val="20"/>
                <w:color w:val="auto"/>
              </w:rPr>
            </w:pPr>
            <w:r>
              <w:rPr>
                <w:rFonts w:ascii="Times New Roman" w:cs="Times New Roman" w:eastAsia="Times New Roman" w:hAnsi="Times New Roman"/>
                <w:sz w:val="17"/>
                <w:szCs w:val="17"/>
                <w:color w:val="0000EE"/>
                <w:w w:val="99"/>
              </w:rPr>
              <w:t>Subsidiary information</w:t>
            </w:r>
          </w:p>
        </w:tc>
        <w:tc>
          <w:tcPr>
            <w:tcW w:w="5960" w:type="dxa"/>
            <w:vAlign w:val="bottom"/>
            <w:tcBorders>
              <w:bottom w:val="single" w:sz="8" w:color="CCEEFF"/>
            </w:tcBorders>
            <w:gridSpan w:val="20"/>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178"/>
        </w:trPr>
        <w:tc>
          <w:tcPr>
            <w:tcW w:w="380" w:type="dxa"/>
            <w:vAlign w:val="bottom"/>
          </w:tcPr>
          <w:p>
            <w:pPr>
              <w:spacing w:after="0"/>
              <w:rPr>
                <w:sz w:val="15"/>
                <w:szCs w:val="15"/>
                <w:color w:val="auto"/>
              </w:rPr>
            </w:pPr>
          </w:p>
        </w:tc>
        <w:tc>
          <w:tcPr>
            <w:tcW w:w="360" w:type="dxa"/>
            <w:vAlign w:val="bottom"/>
            <w:gridSpan w:val="3"/>
          </w:tcPr>
          <w:p>
            <w:pPr>
              <w:jc w:val="center"/>
              <w:ind w:right="260"/>
              <w:spacing w:after="0" w:line="178" w:lineRule="exact"/>
              <w:rPr>
                <w:sz w:val="20"/>
                <w:szCs w:val="20"/>
                <w:color w:val="auto"/>
              </w:rPr>
            </w:pPr>
            <w:r>
              <w:rPr>
                <w:rFonts w:ascii="Times New Roman" w:cs="Times New Roman" w:eastAsia="Times New Roman" w:hAnsi="Times New Roman"/>
                <w:sz w:val="17"/>
                <w:szCs w:val="17"/>
                <w:color w:val="0000EE"/>
                <w:w w:val="91"/>
              </w:rPr>
              <w:t>J.</w:t>
            </w:r>
          </w:p>
        </w:tc>
        <w:tc>
          <w:tcPr>
            <w:tcW w:w="7640" w:type="dxa"/>
            <w:vAlign w:val="bottom"/>
            <w:gridSpan w:val="30"/>
          </w:tcPr>
          <w:p>
            <w:pPr>
              <w:ind w:left="100"/>
              <w:spacing w:after="0" w:line="178" w:lineRule="exact"/>
              <w:rPr>
                <w:sz w:val="20"/>
                <w:szCs w:val="20"/>
                <w:color w:val="auto"/>
              </w:rPr>
            </w:pPr>
            <w:r>
              <w:rPr>
                <w:rFonts w:ascii="Times New Roman" w:cs="Times New Roman" w:eastAsia="Times New Roman" w:hAnsi="Times New Roman"/>
                <w:sz w:val="17"/>
                <w:szCs w:val="17"/>
                <w:color w:val="0000EE"/>
              </w:rPr>
              <w:t>Annual report to security holders</w:t>
            </w:r>
          </w:p>
        </w:tc>
        <w:tc>
          <w:tcPr>
            <w:tcW w:w="5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150</w:t>
            </w:r>
          </w:p>
        </w:tc>
      </w:tr>
      <w:tr>
        <w:trPr>
          <w:trHeight w:val="20"/>
        </w:trPr>
        <w:tc>
          <w:tcPr>
            <w:tcW w:w="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4"/>
        </w:trPr>
        <w:tc>
          <w:tcPr>
            <w:tcW w:w="838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7"/>
                <w:szCs w:val="17"/>
                <w:color w:val="0000EE"/>
              </w:rPr>
              <w:t>ITEM 11. QUANTITATIVE AND QUALITATIVE DISCLOSURES ABOUT MARKET RISK</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178"/>
        </w:trPr>
        <w:tc>
          <w:tcPr>
            <w:tcW w:w="6480" w:type="dxa"/>
            <w:vAlign w:val="bottom"/>
            <w:tcBorders>
              <w:top w:val="single" w:sz="8" w:color="0000EE"/>
            </w:tcBorders>
            <w:gridSpan w:val="32"/>
          </w:tcPr>
          <w:p>
            <w:pPr>
              <w:spacing w:after="0" w:line="178" w:lineRule="exact"/>
              <w:rPr>
                <w:sz w:val="20"/>
                <w:szCs w:val="20"/>
                <w:color w:val="auto"/>
              </w:rPr>
            </w:pPr>
            <w:r>
              <w:rPr>
                <w:rFonts w:ascii="Times New Roman" w:cs="Times New Roman" w:eastAsia="Times New Roman" w:hAnsi="Times New Roman"/>
                <w:sz w:val="17"/>
                <w:szCs w:val="17"/>
                <w:color w:val="0000EE"/>
              </w:rPr>
              <w:t>ITEM 12. DESCRIPTION OF SECURITIES OTHER THAN EQUITY SECURITIES</w:t>
            </w:r>
          </w:p>
        </w:tc>
        <w:tc>
          <w:tcPr>
            <w:tcW w:w="1900" w:type="dxa"/>
            <w:vAlign w:val="bottom"/>
            <w:tcBorders>
              <w:top w:val="single" w:sz="8" w:color="CCEEFF"/>
            </w:tcBorders>
            <w:gridSpan w:val="2"/>
          </w:tcPr>
          <w:p>
            <w:pPr>
              <w:spacing w:after="0"/>
              <w:rPr>
                <w:sz w:val="15"/>
                <w:szCs w:val="15"/>
                <w:color w:val="auto"/>
              </w:rPr>
            </w:pPr>
          </w:p>
        </w:tc>
        <w:tc>
          <w:tcPr>
            <w:tcW w:w="540" w:type="dxa"/>
            <w:vAlign w:val="bottom"/>
            <w:tcBorders>
              <w:top w:val="single" w:sz="8" w:color="CCEEFF"/>
            </w:tcBorders>
          </w:tcPr>
          <w:p>
            <w:pPr>
              <w:jc w:val="right"/>
              <w:spacing w:after="0" w:line="178" w:lineRule="exact"/>
              <w:rPr>
                <w:sz w:val="20"/>
                <w:szCs w:val="20"/>
                <w:color w:val="auto"/>
              </w:rPr>
            </w:pPr>
            <w:r>
              <w:rPr>
                <w:rFonts w:ascii="Times New Roman" w:cs="Times New Roman" w:eastAsia="Times New Roman" w:hAnsi="Times New Roman"/>
                <w:sz w:val="17"/>
                <w:szCs w:val="17"/>
                <w:color w:val="auto"/>
              </w:rPr>
              <w:t>152</w:t>
            </w:r>
          </w:p>
        </w:tc>
      </w:tr>
      <w:tr>
        <w:trPr>
          <w:trHeight w:val="214"/>
        </w:trPr>
        <w:tc>
          <w:tcPr>
            <w:tcW w:w="380" w:type="dxa"/>
            <w:vAlign w:val="bottom"/>
            <w:tcBorders>
              <w:top w:val="single" w:sz="8" w:color="0000EE"/>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0000EE"/>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0000EE"/>
                <w:w w:val="84"/>
              </w:rPr>
              <w:t>A.</w:t>
            </w:r>
          </w:p>
        </w:tc>
        <w:tc>
          <w:tcPr>
            <w:tcW w:w="260" w:type="dxa"/>
            <w:vAlign w:val="bottom"/>
            <w:tcBorders>
              <w:top w:val="single" w:sz="8" w:color="0000EE"/>
              <w:left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1080" w:type="dxa"/>
            <w:vAlign w:val="bottom"/>
            <w:tcBorders>
              <w:top w:val="single" w:sz="8" w:color="0000EE"/>
              <w:bottom w:val="single" w:sz="8" w:color="0000EE"/>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0000EE"/>
              </w:rPr>
              <w:t>Debt securities</w:t>
            </w:r>
          </w:p>
        </w:tc>
        <w:tc>
          <w:tcPr>
            <w:tcW w:w="3940" w:type="dxa"/>
            <w:vAlign w:val="bottom"/>
            <w:tcBorders>
              <w:top w:val="single" w:sz="8" w:color="0000EE"/>
              <w:bottom w:val="single" w:sz="8" w:color="CCEEFF"/>
            </w:tcBorders>
            <w:gridSpan w:val="23"/>
            <w:shd w:val="clear" w:color="auto" w:fill="CCEEFF"/>
          </w:tcPr>
          <w:p>
            <w:pPr>
              <w:spacing w:after="0"/>
              <w:rPr>
                <w:sz w:val="18"/>
                <w:szCs w:val="18"/>
                <w:color w:val="auto"/>
              </w:rPr>
            </w:pPr>
          </w:p>
        </w:tc>
        <w:tc>
          <w:tcPr>
            <w:tcW w:w="2520" w:type="dxa"/>
            <w:vAlign w:val="bottom"/>
            <w:tcBorders>
              <w:bottom w:val="single" w:sz="8" w:color="CCEEFF"/>
            </w:tcBorders>
            <w:gridSpan w:val="3"/>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r>
      <w:tr>
        <w:trPr>
          <w:trHeight w:val="178"/>
        </w:trPr>
        <w:tc>
          <w:tcPr>
            <w:tcW w:w="380" w:type="dxa"/>
            <w:vAlign w:val="bottom"/>
          </w:tcPr>
          <w:p>
            <w:pPr>
              <w:spacing w:after="0"/>
              <w:rPr>
                <w:sz w:val="15"/>
                <w:szCs w:val="15"/>
                <w:color w:val="auto"/>
              </w:rPr>
            </w:pPr>
          </w:p>
        </w:tc>
        <w:tc>
          <w:tcPr>
            <w:tcW w:w="360" w:type="dxa"/>
            <w:vAlign w:val="bottom"/>
            <w:gridSpan w:val="3"/>
          </w:tcPr>
          <w:p>
            <w:pPr>
              <w:jc w:val="center"/>
              <w:ind w:right="240"/>
              <w:spacing w:after="0" w:line="178" w:lineRule="exact"/>
              <w:rPr>
                <w:sz w:val="20"/>
                <w:szCs w:val="20"/>
                <w:color w:val="auto"/>
              </w:rPr>
            </w:pPr>
            <w:r>
              <w:rPr>
                <w:rFonts w:ascii="Times New Roman" w:cs="Times New Roman" w:eastAsia="Times New Roman" w:hAnsi="Times New Roman"/>
                <w:sz w:val="17"/>
                <w:szCs w:val="17"/>
                <w:color w:val="0000EE"/>
                <w:w w:val="76"/>
              </w:rPr>
              <w:t>B.</w:t>
            </w:r>
          </w:p>
        </w:tc>
        <w:tc>
          <w:tcPr>
            <w:tcW w:w="7640" w:type="dxa"/>
            <w:vAlign w:val="bottom"/>
            <w:gridSpan w:val="30"/>
          </w:tcPr>
          <w:p>
            <w:pPr>
              <w:ind w:left="100"/>
              <w:spacing w:after="0" w:line="178" w:lineRule="exact"/>
              <w:rPr>
                <w:sz w:val="20"/>
                <w:szCs w:val="20"/>
                <w:color w:val="auto"/>
              </w:rPr>
            </w:pPr>
            <w:r>
              <w:rPr>
                <w:rFonts w:ascii="Times New Roman" w:cs="Times New Roman" w:eastAsia="Times New Roman" w:hAnsi="Times New Roman"/>
                <w:sz w:val="17"/>
                <w:szCs w:val="17"/>
                <w:color w:val="0000EE"/>
              </w:rPr>
              <w:t>Warrants and rights</w:t>
            </w:r>
          </w:p>
        </w:tc>
        <w:tc>
          <w:tcPr>
            <w:tcW w:w="5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152</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380" w:type="dxa"/>
            <w:vAlign w:val="bottom"/>
            <w:tcBorders>
              <w:right w:val="single" w:sz="8" w:color="CCEEFF"/>
            </w:tcBorders>
            <w:shd w:val="clear" w:color="auto" w:fill="CCEEFF"/>
          </w:tcPr>
          <w:p>
            <w:pPr>
              <w:spacing w:after="0"/>
              <w:rPr>
                <w:sz w:val="17"/>
                <w:szCs w:val="17"/>
                <w:color w:val="auto"/>
              </w:rPr>
            </w:pPr>
          </w:p>
        </w:tc>
        <w:tc>
          <w:tcPr>
            <w:tcW w:w="360" w:type="dxa"/>
            <w:vAlign w:val="bottom"/>
            <w:gridSpan w:val="3"/>
            <w:shd w:val="clear" w:color="auto" w:fill="CCEEFF"/>
          </w:tcPr>
          <w:p>
            <w:pPr>
              <w:jc w:val="center"/>
              <w:ind w:right="240"/>
              <w:spacing w:after="0"/>
              <w:rPr>
                <w:sz w:val="20"/>
                <w:szCs w:val="20"/>
                <w:color w:val="auto"/>
              </w:rPr>
            </w:pPr>
            <w:r>
              <w:rPr>
                <w:rFonts w:ascii="Times New Roman" w:cs="Times New Roman" w:eastAsia="Times New Roman" w:hAnsi="Times New Roman"/>
                <w:sz w:val="17"/>
                <w:szCs w:val="17"/>
                <w:color w:val="0000EE"/>
                <w:w w:val="76"/>
              </w:rPr>
              <w:t>C.</w:t>
            </w:r>
          </w:p>
        </w:tc>
        <w:tc>
          <w:tcPr>
            <w:tcW w:w="7640" w:type="dxa"/>
            <w:vAlign w:val="bottom"/>
            <w:gridSpan w:val="30"/>
            <w:shd w:val="clear" w:color="auto" w:fill="CCEEFF"/>
          </w:tcPr>
          <w:p>
            <w:pPr>
              <w:ind w:left="100"/>
              <w:spacing w:after="0"/>
              <w:rPr>
                <w:sz w:val="20"/>
                <w:szCs w:val="20"/>
                <w:color w:val="auto"/>
              </w:rPr>
            </w:pPr>
            <w:r>
              <w:rPr>
                <w:rFonts w:ascii="Times New Roman" w:cs="Times New Roman" w:eastAsia="Times New Roman" w:hAnsi="Times New Roman"/>
                <w:sz w:val="17"/>
                <w:szCs w:val="17"/>
                <w:color w:val="0000EE"/>
              </w:rPr>
              <w:t>Other securities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r>
      <w:tr>
        <w:trPr>
          <w:trHeight w:val="38"/>
        </w:trPr>
        <w:tc>
          <w:tcPr>
            <w:tcW w:w="380" w:type="dxa"/>
            <w:vAlign w:val="bottom"/>
            <w:tcBorders>
              <w:right w:val="single" w:sz="8" w:color="0000EE"/>
            </w:tcBorders>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480" w:type="dxa"/>
            <w:vAlign w:val="bottom"/>
            <w:tcBorders>
              <w:right w:val="single" w:sz="8" w:color="0000EE"/>
            </w:tcBorders>
            <w:shd w:val="clear" w:color="auto" w:fill="0000EE"/>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78"/>
        </w:trPr>
        <w:tc>
          <w:tcPr>
            <w:tcW w:w="380" w:type="dxa"/>
            <w:vAlign w:val="bottom"/>
          </w:tcPr>
          <w:p>
            <w:pPr>
              <w:spacing w:after="0"/>
              <w:rPr>
                <w:sz w:val="15"/>
                <w:szCs w:val="15"/>
                <w:color w:val="auto"/>
              </w:rPr>
            </w:pPr>
          </w:p>
        </w:tc>
        <w:tc>
          <w:tcPr>
            <w:tcW w:w="100" w:type="dxa"/>
            <w:vAlign w:val="bottom"/>
          </w:tcPr>
          <w:p>
            <w:pPr>
              <w:jc w:val="center"/>
              <w:spacing w:after="0" w:line="178" w:lineRule="exact"/>
              <w:rPr>
                <w:sz w:val="20"/>
                <w:szCs w:val="20"/>
                <w:color w:val="auto"/>
              </w:rPr>
            </w:pPr>
            <w:r>
              <w:rPr>
                <w:rFonts w:ascii="Times New Roman" w:cs="Times New Roman" w:eastAsia="Times New Roman" w:hAnsi="Times New Roman"/>
                <w:sz w:val="17"/>
                <w:szCs w:val="17"/>
                <w:color w:val="0000EE"/>
                <w:w w:val="84"/>
              </w:rPr>
              <w:t>D.</w:t>
            </w:r>
          </w:p>
        </w:tc>
        <w:tc>
          <w:tcPr>
            <w:tcW w:w="2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7540" w:type="dxa"/>
            <w:vAlign w:val="bottom"/>
            <w:gridSpan w:val="29"/>
          </w:tcPr>
          <w:p>
            <w:pPr>
              <w:spacing w:after="0" w:line="178" w:lineRule="exact"/>
              <w:rPr>
                <w:sz w:val="20"/>
                <w:szCs w:val="20"/>
                <w:color w:val="auto"/>
              </w:rPr>
            </w:pPr>
            <w:r>
              <w:rPr>
                <w:rFonts w:ascii="Times New Roman" w:cs="Times New Roman" w:eastAsia="Times New Roman" w:hAnsi="Times New Roman"/>
                <w:sz w:val="17"/>
                <w:szCs w:val="17"/>
                <w:color w:val="0000EE"/>
              </w:rPr>
              <w:t>American depositary shares</w:t>
            </w:r>
          </w:p>
        </w:tc>
        <w:tc>
          <w:tcPr>
            <w:tcW w:w="5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152</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4"/>
        </w:trPr>
        <w:tc>
          <w:tcPr>
            <w:tcW w:w="620" w:type="dxa"/>
            <w:vAlign w:val="bottom"/>
            <w:tcBorders>
              <w:bottom w:val="single" w:sz="8" w:color="0000EE"/>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0000EE"/>
                <w:w w:val="98"/>
              </w:rPr>
              <w:t>PART II</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48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left w:val="single" w:sz="8" w:color="CCEEFF"/>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left w:val="single" w:sz="8" w:color="CCEEFF"/>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r>
      <w:tr>
        <w:trPr>
          <w:trHeight w:val="178"/>
        </w:trPr>
        <w:tc>
          <w:tcPr>
            <w:tcW w:w="5440" w:type="dxa"/>
            <w:vAlign w:val="bottom"/>
            <w:tcBorders>
              <w:bottom w:val="single" w:sz="8" w:color="0000EE"/>
            </w:tcBorders>
            <w:gridSpan w:val="29"/>
          </w:tcPr>
          <w:p>
            <w:pPr>
              <w:spacing w:after="0" w:line="178" w:lineRule="exact"/>
              <w:rPr>
                <w:sz w:val="20"/>
                <w:szCs w:val="20"/>
                <w:color w:val="auto"/>
              </w:rPr>
            </w:pPr>
            <w:r>
              <w:rPr>
                <w:rFonts w:ascii="Times New Roman" w:cs="Times New Roman" w:eastAsia="Times New Roman" w:hAnsi="Times New Roman"/>
                <w:sz w:val="17"/>
                <w:szCs w:val="17"/>
                <w:color w:val="0000EE"/>
                <w:w w:val="98"/>
              </w:rPr>
              <w:t>ITEM 13. DEFAULTS, DIVIDEND ARREARAGES AND DELINQUENCIES</w:t>
            </w:r>
          </w:p>
        </w:tc>
        <w:tc>
          <w:tcPr>
            <w:tcW w:w="2940" w:type="dxa"/>
            <w:vAlign w:val="bottom"/>
            <w:gridSpan w:val="5"/>
          </w:tcPr>
          <w:p>
            <w:pPr>
              <w:spacing w:after="0"/>
              <w:rPr>
                <w:sz w:val="15"/>
                <w:szCs w:val="15"/>
                <w:color w:val="auto"/>
              </w:rPr>
            </w:pPr>
          </w:p>
        </w:tc>
        <w:tc>
          <w:tcPr>
            <w:tcW w:w="5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153</w:t>
            </w:r>
          </w:p>
        </w:tc>
      </w:tr>
      <w:tr>
        <w:trPr>
          <w:trHeight w:val="214"/>
        </w:trPr>
        <w:tc>
          <w:tcPr>
            <w:tcW w:w="3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0000EE"/>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0000EE"/>
                <w:w w:val="84"/>
              </w:rPr>
              <w:t>A.</w:t>
            </w:r>
          </w:p>
        </w:tc>
        <w:tc>
          <w:tcPr>
            <w:tcW w:w="260" w:type="dxa"/>
            <w:vAlign w:val="bottom"/>
            <w:tcBorders>
              <w:left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0000EE"/>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0000EE"/>
                <w:w w:val="97"/>
              </w:rPr>
              <w:t>Defaults</w:t>
            </w:r>
          </w:p>
        </w:tc>
        <w:tc>
          <w:tcPr>
            <w:tcW w:w="6940" w:type="dxa"/>
            <w:vAlign w:val="bottom"/>
            <w:tcBorders>
              <w:bottom w:val="single" w:sz="8" w:color="CCEEFF"/>
            </w:tcBorders>
            <w:gridSpan w:val="27"/>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r>
      <w:tr>
        <w:trPr>
          <w:trHeight w:val="178"/>
        </w:trPr>
        <w:tc>
          <w:tcPr>
            <w:tcW w:w="380" w:type="dxa"/>
            <w:vAlign w:val="bottom"/>
          </w:tcPr>
          <w:p>
            <w:pPr>
              <w:spacing w:after="0"/>
              <w:rPr>
                <w:sz w:val="15"/>
                <w:szCs w:val="15"/>
                <w:color w:val="auto"/>
              </w:rPr>
            </w:pPr>
          </w:p>
        </w:tc>
        <w:tc>
          <w:tcPr>
            <w:tcW w:w="360" w:type="dxa"/>
            <w:vAlign w:val="bottom"/>
            <w:gridSpan w:val="3"/>
          </w:tcPr>
          <w:p>
            <w:pPr>
              <w:jc w:val="center"/>
              <w:ind w:right="240"/>
              <w:spacing w:after="0" w:line="178" w:lineRule="exact"/>
              <w:rPr>
                <w:sz w:val="20"/>
                <w:szCs w:val="20"/>
                <w:color w:val="auto"/>
              </w:rPr>
            </w:pPr>
            <w:r>
              <w:rPr>
                <w:rFonts w:ascii="Times New Roman" w:cs="Times New Roman" w:eastAsia="Times New Roman" w:hAnsi="Times New Roman"/>
                <w:sz w:val="17"/>
                <w:szCs w:val="17"/>
                <w:color w:val="0000EE"/>
                <w:w w:val="76"/>
              </w:rPr>
              <w:t>B.</w:t>
            </w:r>
          </w:p>
        </w:tc>
        <w:tc>
          <w:tcPr>
            <w:tcW w:w="7640" w:type="dxa"/>
            <w:vAlign w:val="bottom"/>
            <w:gridSpan w:val="30"/>
          </w:tcPr>
          <w:p>
            <w:pPr>
              <w:ind w:left="100"/>
              <w:spacing w:after="0" w:line="178" w:lineRule="exact"/>
              <w:rPr>
                <w:sz w:val="20"/>
                <w:szCs w:val="20"/>
                <w:color w:val="auto"/>
              </w:rPr>
            </w:pPr>
            <w:r>
              <w:rPr>
                <w:rFonts w:ascii="Times New Roman" w:cs="Times New Roman" w:eastAsia="Times New Roman" w:hAnsi="Times New Roman"/>
                <w:sz w:val="17"/>
                <w:szCs w:val="17"/>
                <w:color w:val="0000EE"/>
              </w:rPr>
              <w:t>Arrears and delinquencies</w:t>
            </w:r>
          </w:p>
        </w:tc>
        <w:tc>
          <w:tcPr>
            <w:tcW w:w="5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153</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4"/>
        </w:trPr>
        <w:tc>
          <w:tcPr>
            <w:tcW w:w="838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7"/>
                <w:szCs w:val="17"/>
                <w:color w:val="0000EE"/>
              </w:rPr>
              <w:t>ITEM 14. MATERIAL MODIFICATIONS TO THE RIGHTS OF SECURITY HOLDERS AND USE OF PROCEEDS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r>
      <w:tr>
        <w:trPr>
          <w:trHeight w:val="178"/>
        </w:trPr>
        <w:tc>
          <w:tcPr>
            <w:tcW w:w="8100" w:type="dxa"/>
            <w:vAlign w:val="bottom"/>
            <w:tcBorders>
              <w:top w:val="single" w:sz="8" w:color="0000EE"/>
            </w:tcBorders>
            <w:gridSpan w:val="33"/>
          </w:tcPr>
          <w:p>
            <w:pPr>
              <w:spacing w:after="0" w:line="178" w:lineRule="exact"/>
              <w:rPr>
                <w:sz w:val="20"/>
                <w:szCs w:val="20"/>
                <w:color w:val="auto"/>
              </w:rPr>
            </w:pPr>
            <w:r>
              <w:rPr>
                <w:rFonts w:ascii="Times New Roman" w:cs="Times New Roman" w:eastAsia="Times New Roman" w:hAnsi="Times New Roman"/>
                <w:sz w:val="17"/>
                <w:szCs w:val="17"/>
                <w:color w:val="0000EE"/>
              </w:rPr>
              <w:t>ITEM 15. CONTROLS AND PROCEDURES</w:t>
            </w:r>
          </w:p>
        </w:tc>
        <w:tc>
          <w:tcPr>
            <w:tcW w:w="2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jc w:val="right"/>
              <w:spacing w:after="0" w:line="178" w:lineRule="exact"/>
              <w:rPr>
                <w:sz w:val="20"/>
                <w:szCs w:val="20"/>
                <w:color w:val="auto"/>
              </w:rPr>
            </w:pPr>
            <w:r>
              <w:rPr>
                <w:rFonts w:ascii="Times New Roman" w:cs="Times New Roman" w:eastAsia="Times New Roman" w:hAnsi="Times New Roman"/>
                <w:sz w:val="17"/>
                <w:szCs w:val="17"/>
                <w:color w:val="auto"/>
              </w:rPr>
              <w:t>153</w:t>
            </w: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3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0000EE"/>
                <w:w w:val="84"/>
              </w:rPr>
              <w:t>A.</w:t>
            </w:r>
          </w:p>
        </w:tc>
        <w:tc>
          <w:tcPr>
            <w:tcW w:w="260" w:type="dxa"/>
            <w:vAlign w:val="bottom"/>
            <w:tcBorders>
              <w:left w:val="single" w:sz="8" w:color="CCEEFF"/>
            </w:tcBorders>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54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7"/>
                <w:szCs w:val="17"/>
                <w:color w:val="0000EE"/>
              </w:rPr>
              <w:t>Disclosure controls and procedures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r>
      <w:tr>
        <w:trPr>
          <w:trHeight w:val="38"/>
        </w:trPr>
        <w:tc>
          <w:tcPr>
            <w:tcW w:w="380" w:type="dxa"/>
            <w:vAlign w:val="bottom"/>
            <w:tcBorders>
              <w:right w:val="single" w:sz="8" w:color="0000EE"/>
            </w:tcBorders>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40" w:type="dxa"/>
            <w:vAlign w:val="bottom"/>
            <w:tcBorders>
              <w:left w:val="single" w:sz="8" w:color="0000EE"/>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480" w:type="dxa"/>
            <w:vAlign w:val="bottom"/>
            <w:tcBorders>
              <w:right w:val="single" w:sz="8" w:color="0000EE"/>
            </w:tcBorders>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tcBorders>
              <w:left w:val="single" w:sz="8" w:color="0000EE"/>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78"/>
        </w:trPr>
        <w:tc>
          <w:tcPr>
            <w:tcW w:w="380" w:type="dxa"/>
            <w:vAlign w:val="bottom"/>
          </w:tcPr>
          <w:p>
            <w:pPr>
              <w:spacing w:after="0"/>
              <w:rPr>
                <w:sz w:val="15"/>
                <w:szCs w:val="15"/>
                <w:color w:val="auto"/>
              </w:rPr>
            </w:pPr>
          </w:p>
        </w:tc>
        <w:tc>
          <w:tcPr>
            <w:tcW w:w="100" w:type="dxa"/>
            <w:vAlign w:val="bottom"/>
          </w:tcPr>
          <w:p>
            <w:pPr>
              <w:jc w:val="center"/>
              <w:spacing w:after="0" w:line="178" w:lineRule="exact"/>
              <w:rPr>
                <w:sz w:val="20"/>
                <w:szCs w:val="20"/>
                <w:color w:val="auto"/>
              </w:rPr>
            </w:pPr>
            <w:r>
              <w:rPr>
                <w:rFonts w:ascii="Times New Roman" w:cs="Times New Roman" w:eastAsia="Times New Roman" w:hAnsi="Times New Roman"/>
                <w:sz w:val="17"/>
                <w:szCs w:val="17"/>
                <w:color w:val="0000EE"/>
                <w:w w:val="76"/>
              </w:rPr>
              <w:t>B.</w:t>
            </w:r>
          </w:p>
        </w:tc>
        <w:tc>
          <w:tcPr>
            <w:tcW w:w="2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7540" w:type="dxa"/>
            <w:vAlign w:val="bottom"/>
            <w:gridSpan w:val="29"/>
          </w:tcPr>
          <w:p>
            <w:pPr>
              <w:spacing w:after="0" w:line="178" w:lineRule="exact"/>
              <w:rPr>
                <w:sz w:val="20"/>
                <w:szCs w:val="20"/>
                <w:color w:val="auto"/>
              </w:rPr>
            </w:pPr>
            <w:r>
              <w:rPr>
                <w:rFonts w:ascii="Times New Roman" w:cs="Times New Roman" w:eastAsia="Times New Roman" w:hAnsi="Times New Roman"/>
                <w:sz w:val="17"/>
                <w:szCs w:val="17"/>
                <w:color w:val="0000EE"/>
              </w:rPr>
              <w:t>Management’s Annual Report on internal control over financial reporting</w:t>
            </w:r>
          </w:p>
        </w:tc>
        <w:tc>
          <w:tcPr>
            <w:tcW w:w="5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153</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380" w:type="dxa"/>
            <w:vAlign w:val="bottom"/>
            <w:tcBorders>
              <w:right w:val="single" w:sz="8" w:color="CCEEFF"/>
            </w:tcBorders>
            <w:shd w:val="clear" w:color="auto" w:fill="CCEEFF"/>
          </w:tcPr>
          <w:p>
            <w:pPr>
              <w:spacing w:after="0"/>
              <w:rPr>
                <w:sz w:val="17"/>
                <w:szCs w:val="17"/>
                <w:color w:val="auto"/>
              </w:rPr>
            </w:pPr>
          </w:p>
        </w:tc>
        <w:tc>
          <w:tcPr>
            <w:tcW w:w="360" w:type="dxa"/>
            <w:vAlign w:val="bottom"/>
            <w:gridSpan w:val="3"/>
            <w:shd w:val="clear" w:color="auto" w:fill="CCEEFF"/>
          </w:tcPr>
          <w:p>
            <w:pPr>
              <w:jc w:val="center"/>
              <w:ind w:right="240"/>
              <w:spacing w:after="0"/>
              <w:rPr>
                <w:sz w:val="20"/>
                <w:szCs w:val="20"/>
                <w:color w:val="auto"/>
              </w:rPr>
            </w:pPr>
            <w:r>
              <w:rPr>
                <w:rFonts w:ascii="Times New Roman" w:cs="Times New Roman" w:eastAsia="Times New Roman" w:hAnsi="Times New Roman"/>
                <w:sz w:val="17"/>
                <w:szCs w:val="17"/>
                <w:color w:val="0000EE"/>
                <w:w w:val="76"/>
              </w:rPr>
              <w:t>C.</w:t>
            </w:r>
          </w:p>
        </w:tc>
        <w:tc>
          <w:tcPr>
            <w:tcW w:w="7640" w:type="dxa"/>
            <w:vAlign w:val="bottom"/>
            <w:gridSpan w:val="30"/>
            <w:shd w:val="clear" w:color="auto" w:fill="CCEEFF"/>
          </w:tcPr>
          <w:p>
            <w:pPr>
              <w:ind w:left="100"/>
              <w:spacing w:after="0"/>
              <w:rPr>
                <w:sz w:val="20"/>
                <w:szCs w:val="20"/>
                <w:color w:val="auto"/>
              </w:rPr>
            </w:pPr>
            <w:r>
              <w:rPr>
                <w:rFonts w:ascii="Times New Roman" w:cs="Times New Roman" w:eastAsia="Times New Roman" w:hAnsi="Times New Roman"/>
                <w:sz w:val="17"/>
                <w:szCs w:val="17"/>
                <w:color w:val="0000EE"/>
              </w:rPr>
              <w:t>Attestation report of the registered public accounting firm</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r>
      <w:tr>
        <w:trPr>
          <w:trHeight w:val="38"/>
        </w:trPr>
        <w:tc>
          <w:tcPr>
            <w:tcW w:w="380" w:type="dxa"/>
            <w:vAlign w:val="bottom"/>
            <w:tcBorders>
              <w:right w:val="single" w:sz="8" w:color="0000EE"/>
            </w:tcBorders>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480" w:type="dxa"/>
            <w:vAlign w:val="bottom"/>
            <w:tcBorders>
              <w:right w:val="single" w:sz="8" w:color="0000EE"/>
            </w:tcBorders>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tcBorders>
              <w:left w:val="single" w:sz="8" w:color="0000EE"/>
            </w:tcBorders>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78"/>
        </w:trPr>
        <w:tc>
          <w:tcPr>
            <w:tcW w:w="380" w:type="dxa"/>
            <w:vAlign w:val="bottom"/>
          </w:tcPr>
          <w:p>
            <w:pPr>
              <w:spacing w:after="0"/>
              <w:rPr>
                <w:sz w:val="15"/>
                <w:szCs w:val="15"/>
                <w:color w:val="auto"/>
              </w:rPr>
            </w:pPr>
          </w:p>
        </w:tc>
        <w:tc>
          <w:tcPr>
            <w:tcW w:w="100" w:type="dxa"/>
            <w:vAlign w:val="bottom"/>
          </w:tcPr>
          <w:p>
            <w:pPr>
              <w:jc w:val="center"/>
              <w:spacing w:after="0" w:line="178" w:lineRule="exact"/>
              <w:rPr>
                <w:sz w:val="20"/>
                <w:szCs w:val="20"/>
                <w:color w:val="auto"/>
              </w:rPr>
            </w:pPr>
            <w:r>
              <w:rPr>
                <w:rFonts w:ascii="Times New Roman" w:cs="Times New Roman" w:eastAsia="Times New Roman" w:hAnsi="Times New Roman"/>
                <w:sz w:val="17"/>
                <w:szCs w:val="17"/>
                <w:color w:val="0000EE"/>
                <w:w w:val="84"/>
              </w:rPr>
              <w:t>D.</w:t>
            </w:r>
          </w:p>
        </w:tc>
        <w:tc>
          <w:tcPr>
            <w:tcW w:w="2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7540" w:type="dxa"/>
            <w:vAlign w:val="bottom"/>
            <w:gridSpan w:val="29"/>
          </w:tcPr>
          <w:p>
            <w:pPr>
              <w:spacing w:after="0" w:line="178" w:lineRule="exact"/>
              <w:rPr>
                <w:sz w:val="20"/>
                <w:szCs w:val="20"/>
                <w:color w:val="auto"/>
              </w:rPr>
            </w:pPr>
            <w:r>
              <w:rPr>
                <w:rFonts w:ascii="Times New Roman" w:cs="Times New Roman" w:eastAsia="Times New Roman" w:hAnsi="Times New Roman"/>
                <w:sz w:val="17"/>
                <w:szCs w:val="17"/>
                <w:color w:val="0000EE"/>
              </w:rPr>
              <w:t>Changes in internal control over financial reporting</w:t>
            </w:r>
          </w:p>
        </w:tc>
        <w:tc>
          <w:tcPr>
            <w:tcW w:w="5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154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4"/>
        </w:trPr>
        <w:tc>
          <w:tcPr>
            <w:tcW w:w="1920" w:type="dxa"/>
            <w:vAlign w:val="bottom"/>
            <w:tcBorders>
              <w:bottom w:val="single" w:sz="8" w:color="0000EE"/>
              <w:right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0000EE"/>
              </w:rPr>
              <w:t>ITEM 16. [RESERVED]</w:t>
            </w:r>
          </w:p>
        </w:tc>
        <w:tc>
          <w:tcPr>
            <w:tcW w:w="6460" w:type="dxa"/>
            <w:vAlign w:val="bottom"/>
            <w:tcBorders>
              <w:bottom w:val="single" w:sz="8" w:color="CCEEFF"/>
            </w:tcBorders>
            <w:gridSpan w:val="26"/>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r>
      <w:tr>
        <w:trPr>
          <w:trHeight w:val="178"/>
        </w:trPr>
        <w:tc>
          <w:tcPr>
            <w:tcW w:w="8380" w:type="dxa"/>
            <w:vAlign w:val="bottom"/>
            <w:gridSpan w:val="34"/>
          </w:tcPr>
          <w:p>
            <w:pPr>
              <w:spacing w:after="0" w:line="178" w:lineRule="exact"/>
              <w:rPr>
                <w:sz w:val="20"/>
                <w:szCs w:val="20"/>
                <w:color w:val="auto"/>
              </w:rPr>
            </w:pPr>
            <w:r>
              <w:rPr>
                <w:rFonts w:ascii="Times New Roman" w:cs="Times New Roman" w:eastAsia="Times New Roman" w:hAnsi="Times New Roman"/>
                <w:sz w:val="17"/>
                <w:szCs w:val="17"/>
                <w:color w:val="0000EE"/>
              </w:rPr>
              <w:t>ITEM 16A. Audit committee financial expert</w:t>
            </w:r>
          </w:p>
        </w:tc>
        <w:tc>
          <w:tcPr>
            <w:tcW w:w="5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154</w:t>
            </w:r>
          </w:p>
        </w:tc>
      </w:tr>
      <w:tr>
        <w:trPr>
          <w:trHeight w:val="214"/>
        </w:trPr>
        <w:tc>
          <w:tcPr>
            <w:tcW w:w="1920" w:type="dxa"/>
            <w:vAlign w:val="bottom"/>
            <w:tcBorders>
              <w:top w:val="single" w:sz="8" w:color="0000EE"/>
              <w:bottom w:val="single" w:sz="8" w:color="0000EE"/>
              <w:right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0000EE"/>
              </w:rPr>
              <w:t>ITEM 16B. Code of Ethics</w:t>
            </w:r>
          </w:p>
        </w:tc>
        <w:tc>
          <w:tcPr>
            <w:tcW w:w="1160" w:type="dxa"/>
            <w:vAlign w:val="bottom"/>
            <w:tcBorders>
              <w:top w:val="single" w:sz="8" w:color="0000EE"/>
              <w:bottom w:val="single" w:sz="8" w:color="CCEEFF"/>
            </w:tcBorders>
            <w:gridSpan w:val="11"/>
            <w:shd w:val="clear" w:color="auto" w:fill="CCEEFF"/>
          </w:tcPr>
          <w:p>
            <w:pPr>
              <w:spacing w:after="0"/>
              <w:rPr>
                <w:sz w:val="18"/>
                <w:szCs w:val="18"/>
                <w:color w:val="auto"/>
              </w:rPr>
            </w:pPr>
          </w:p>
        </w:tc>
        <w:tc>
          <w:tcPr>
            <w:tcW w:w="5300" w:type="dxa"/>
            <w:vAlign w:val="bottom"/>
            <w:tcBorders>
              <w:bottom w:val="single" w:sz="8" w:color="CCEEFF"/>
            </w:tcBorders>
            <w:gridSpan w:val="15"/>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r>
      <w:tr>
        <w:trPr>
          <w:trHeight w:val="178"/>
        </w:trPr>
        <w:tc>
          <w:tcPr>
            <w:tcW w:w="8380" w:type="dxa"/>
            <w:vAlign w:val="bottom"/>
            <w:gridSpan w:val="34"/>
          </w:tcPr>
          <w:p>
            <w:pPr>
              <w:spacing w:after="0" w:line="178" w:lineRule="exact"/>
              <w:rPr>
                <w:sz w:val="20"/>
                <w:szCs w:val="20"/>
                <w:color w:val="auto"/>
              </w:rPr>
            </w:pPr>
            <w:r>
              <w:rPr>
                <w:rFonts w:ascii="Times New Roman" w:cs="Times New Roman" w:eastAsia="Times New Roman" w:hAnsi="Times New Roman"/>
                <w:sz w:val="17"/>
                <w:szCs w:val="17"/>
                <w:color w:val="0000EE"/>
              </w:rPr>
              <w:t>ITEM 16C. Principal accountant fees and services</w:t>
            </w:r>
          </w:p>
        </w:tc>
        <w:tc>
          <w:tcPr>
            <w:tcW w:w="5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154</w:t>
            </w: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4"/>
        </w:trPr>
        <w:tc>
          <w:tcPr>
            <w:tcW w:w="4860" w:type="dxa"/>
            <w:vAlign w:val="bottom"/>
            <w:tcBorders>
              <w:bottom w:val="single" w:sz="8" w:color="0000EE"/>
            </w:tcBorders>
            <w:gridSpan w:val="26"/>
            <w:shd w:val="clear" w:color="auto" w:fill="CCEEFF"/>
          </w:tcPr>
          <w:p>
            <w:pPr>
              <w:spacing w:after="0"/>
              <w:rPr>
                <w:sz w:val="20"/>
                <w:szCs w:val="20"/>
                <w:color w:val="auto"/>
              </w:rPr>
            </w:pPr>
            <w:r>
              <w:rPr>
                <w:rFonts w:ascii="Times New Roman" w:cs="Times New Roman" w:eastAsia="Times New Roman" w:hAnsi="Times New Roman"/>
                <w:sz w:val="17"/>
                <w:szCs w:val="17"/>
                <w:color w:val="0000EE"/>
                <w:w w:val="99"/>
              </w:rPr>
              <w:t>ITEM 16D. Exemptions from the listing standards for audit committees</w:t>
            </w:r>
          </w:p>
        </w:tc>
        <w:tc>
          <w:tcPr>
            <w:tcW w:w="3520" w:type="dxa"/>
            <w:vAlign w:val="bottom"/>
            <w:tcBorders>
              <w:bottom w:val="single" w:sz="8" w:color="CCEEFF"/>
            </w:tcBorders>
            <w:gridSpan w:val="8"/>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r>
      <w:tr>
        <w:trPr>
          <w:trHeight w:val="178"/>
        </w:trPr>
        <w:tc>
          <w:tcPr>
            <w:tcW w:w="8380" w:type="dxa"/>
            <w:vAlign w:val="bottom"/>
            <w:gridSpan w:val="34"/>
          </w:tcPr>
          <w:p>
            <w:pPr>
              <w:spacing w:after="0" w:line="178" w:lineRule="exact"/>
              <w:rPr>
                <w:sz w:val="20"/>
                <w:szCs w:val="20"/>
                <w:color w:val="auto"/>
              </w:rPr>
            </w:pPr>
            <w:r>
              <w:rPr>
                <w:rFonts w:ascii="Times New Roman" w:cs="Times New Roman" w:eastAsia="Times New Roman" w:hAnsi="Times New Roman"/>
                <w:sz w:val="17"/>
                <w:szCs w:val="17"/>
                <w:color w:val="0000EE"/>
              </w:rPr>
              <w:t>ITEM 16E. Purchases of equity securities by the issuer and affiliated purchasers</w:t>
            </w:r>
          </w:p>
        </w:tc>
        <w:tc>
          <w:tcPr>
            <w:tcW w:w="5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155</w:t>
            </w:r>
          </w:p>
        </w:tc>
      </w:tr>
      <w:tr>
        <w:trPr>
          <w:trHeight w:val="214"/>
        </w:trPr>
        <w:tc>
          <w:tcPr>
            <w:tcW w:w="3760" w:type="dxa"/>
            <w:vAlign w:val="bottom"/>
            <w:tcBorders>
              <w:top w:val="single" w:sz="8" w:color="0000EE"/>
              <w:bottom w:val="single" w:sz="8" w:color="0000EE"/>
            </w:tcBorders>
            <w:gridSpan w:val="23"/>
            <w:shd w:val="clear" w:color="auto" w:fill="CCEEFF"/>
          </w:tcPr>
          <w:p>
            <w:pPr>
              <w:spacing w:after="0"/>
              <w:rPr>
                <w:sz w:val="20"/>
                <w:szCs w:val="20"/>
                <w:color w:val="auto"/>
              </w:rPr>
            </w:pPr>
            <w:r>
              <w:rPr>
                <w:rFonts w:ascii="Times New Roman" w:cs="Times New Roman" w:eastAsia="Times New Roman" w:hAnsi="Times New Roman"/>
                <w:sz w:val="17"/>
                <w:szCs w:val="17"/>
                <w:color w:val="0000EE"/>
                <w:w w:val="98"/>
              </w:rPr>
              <w:t>ITEM 16F. Change in registrant’s certifying accountant</w:t>
            </w:r>
          </w:p>
        </w:tc>
        <w:tc>
          <w:tcPr>
            <w:tcW w:w="1660" w:type="dxa"/>
            <w:vAlign w:val="bottom"/>
            <w:tcBorders>
              <w:top w:val="single" w:sz="8" w:color="0000EE"/>
              <w:bottom w:val="single" w:sz="8" w:color="CCEEFF"/>
            </w:tcBorders>
            <w:gridSpan w:val="5"/>
            <w:shd w:val="clear" w:color="auto" w:fill="CCEEFF"/>
          </w:tcPr>
          <w:p>
            <w:pPr>
              <w:spacing w:after="0"/>
              <w:rPr>
                <w:sz w:val="18"/>
                <w:szCs w:val="18"/>
                <w:color w:val="auto"/>
              </w:rPr>
            </w:pPr>
          </w:p>
        </w:tc>
        <w:tc>
          <w:tcPr>
            <w:tcW w:w="2960" w:type="dxa"/>
            <w:vAlign w:val="bottom"/>
            <w:tcBorders>
              <w:bottom w:val="single" w:sz="8" w:color="CCEEFF"/>
            </w:tcBorders>
            <w:gridSpan w:val="6"/>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r>
      <w:tr>
        <w:trPr>
          <w:trHeight w:val="178"/>
        </w:trPr>
        <w:tc>
          <w:tcPr>
            <w:tcW w:w="2340" w:type="dxa"/>
            <w:vAlign w:val="bottom"/>
            <w:tcBorders>
              <w:bottom w:val="single" w:sz="8" w:color="0000EE"/>
            </w:tcBorders>
            <w:gridSpan w:val="11"/>
          </w:tcPr>
          <w:p>
            <w:pPr>
              <w:spacing w:after="0" w:line="178" w:lineRule="exact"/>
              <w:rPr>
                <w:sz w:val="20"/>
                <w:szCs w:val="20"/>
                <w:color w:val="auto"/>
              </w:rPr>
            </w:pPr>
            <w:r>
              <w:rPr>
                <w:rFonts w:ascii="Times New Roman" w:cs="Times New Roman" w:eastAsia="Times New Roman" w:hAnsi="Times New Roman"/>
                <w:sz w:val="17"/>
                <w:szCs w:val="17"/>
                <w:color w:val="0000EE"/>
                <w:w w:val="99"/>
              </w:rPr>
              <w:t>ITEM 16G. Corporate governance</w:t>
            </w:r>
          </w:p>
        </w:tc>
        <w:tc>
          <w:tcPr>
            <w:tcW w:w="6040" w:type="dxa"/>
            <w:vAlign w:val="bottom"/>
            <w:gridSpan w:val="23"/>
          </w:tcPr>
          <w:p>
            <w:pPr>
              <w:spacing w:after="0"/>
              <w:rPr>
                <w:sz w:val="15"/>
                <w:szCs w:val="15"/>
                <w:color w:val="auto"/>
              </w:rPr>
            </w:pPr>
          </w:p>
        </w:tc>
        <w:tc>
          <w:tcPr>
            <w:tcW w:w="5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155</w:t>
            </w:r>
          </w:p>
        </w:tc>
      </w:tr>
      <w:tr>
        <w:trPr>
          <w:trHeight w:val="214"/>
        </w:trPr>
        <w:tc>
          <w:tcPr>
            <w:tcW w:w="2380" w:type="dxa"/>
            <w:vAlign w:val="bottom"/>
            <w:tcBorders>
              <w:bottom w:val="single" w:sz="8" w:color="0000EE"/>
            </w:tcBorders>
            <w:gridSpan w:val="13"/>
            <w:shd w:val="clear" w:color="auto" w:fill="CCEEFF"/>
          </w:tcPr>
          <w:p>
            <w:pPr>
              <w:spacing w:after="0"/>
              <w:rPr>
                <w:sz w:val="20"/>
                <w:szCs w:val="20"/>
                <w:color w:val="auto"/>
              </w:rPr>
            </w:pPr>
            <w:r>
              <w:rPr>
                <w:rFonts w:ascii="Times New Roman" w:cs="Times New Roman" w:eastAsia="Times New Roman" w:hAnsi="Times New Roman"/>
                <w:sz w:val="17"/>
                <w:szCs w:val="17"/>
                <w:color w:val="0000EE"/>
                <w:w w:val="99"/>
              </w:rPr>
              <w:t>ITEM 16H. Mine safety disclosure</w:t>
            </w:r>
          </w:p>
        </w:tc>
        <w:tc>
          <w:tcPr>
            <w:tcW w:w="6000" w:type="dxa"/>
            <w:vAlign w:val="bottom"/>
            <w:tcBorders>
              <w:bottom w:val="single" w:sz="8" w:color="CCEEFF"/>
            </w:tcBorders>
            <w:gridSpan w:val="21"/>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r>
      <w:tr>
        <w:trPr>
          <w:trHeight w:val="178"/>
        </w:trPr>
        <w:tc>
          <w:tcPr>
            <w:tcW w:w="8380" w:type="dxa"/>
            <w:vAlign w:val="bottom"/>
            <w:gridSpan w:val="34"/>
          </w:tcPr>
          <w:p>
            <w:pPr>
              <w:spacing w:after="0" w:line="178" w:lineRule="exact"/>
              <w:rPr>
                <w:sz w:val="20"/>
                <w:szCs w:val="20"/>
                <w:color w:val="auto"/>
              </w:rPr>
            </w:pPr>
            <w:r>
              <w:rPr>
                <w:rFonts w:ascii="Times New Roman" w:cs="Times New Roman" w:eastAsia="Times New Roman" w:hAnsi="Times New Roman"/>
                <w:sz w:val="17"/>
                <w:szCs w:val="17"/>
                <w:color w:val="0000EE"/>
              </w:rPr>
              <w:t>ITEM 16I. Disclosure regarding foreign jurisdictions that prevent inspections</w:t>
            </w:r>
          </w:p>
        </w:tc>
        <w:tc>
          <w:tcPr>
            <w:tcW w:w="5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156</w:t>
            </w:r>
          </w:p>
        </w:tc>
      </w:tr>
      <w:tr>
        <w:trPr>
          <w:trHeight w:val="214"/>
        </w:trPr>
        <w:tc>
          <w:tcPr>
            <w:tcW w:w="5240" w:type="dxa"/>
            <w:vAlign w:val="bottom"/>
            <w:tcBorders>
              <w:top w:val="single" w:sz="8" w:color="0000EE"/>
            </w:tcBorders>
            <w:gridSpan w:val="27"/>
            <w:shd w:val="clear" w:color="auto" w:fill="CCEEFF"/>
          </w:tcPr>
          <w:p>
            <w:pPr>
              <w:spacing w:after="0"/>
              <w:rPr>
                <w:sz w:val="20"/>
                <w:szCs w:val="20"/>
                <w:color w:val="auto"/>
              </w:rPr>
            </w:pPr>
            <w:r>
              <w:rPr>
                <w:rFonts w:ascii="Times New Roman" w:cs="Times New Roman" w:eastAsia="Times New Roman" w:hAnsi="Times New Roman"/>
                <w:sz w:val="17"/>
                <w:szCs w:val="17"/>
                <w:color w:val="0000EE"/>
              </w:rPr>
              <w:t>ITEM 16J. Insider trading policies</w:t>
            </w:r>
          </w:p>
        </w:tc>
        <w:tc>
          <w:tcPr>
            <w:tcW w:w="3140" w:type="dxa"/>
            <w:vAlign w:val="bottom"/>
            <w:gridSpan w:val="7"/>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r>
      <w:tr>
        <w:trPr>
          <w:trHeight w:val="178"/>
        </w:trPr>
        <w:tc>
          <w:tcPr>
            <w:tcW w:w="2340" w:type="dxa"/>
            <w:vAlign w:val="bottom"/>
            <w:tcBorders>
              <w:top w:val="single" w:sz="8" w:color="0000EE"/>
            </w:tcBorders>
            <w:gridSpan w:val="11"/>
          </w:tcPr>
          <w:p>
            <w:pPr>
              <w:spacing w:after="0" w:line="178" w:lineRule="exact"/>
              <w:rPr>
                <w:sz w:val="20"/>
                <w:szCs w:val="20"/>
                <w:color w:val="auto"/>
              </w:rPr>
            </w:pPr>
            <w:r>
              <w:rPr>
                <w:rFonts w:ascii="Times New Roman" w:cs="Times New Roman" w:eastAsia="Times New Roman" w:hAnsi="Times New Roman"/>
                <w:sz w:val="17"/>
                <w:szCs w:val="17"/>
                <w:color w:val="0000EE"/>
              </w:rPr>
              <w:t>ITEM 16K. Cybersecurity</w:t>
            </w:r>
          </w:p>
        </w:tc>
        <w:tc>
          <w:tcPr>
            <w:tcW w:w="6040" w:type="dxa"/>
            <w:vAlign w:val="bottom"/>
            <w:tcBorders>
              <w:top w:val="single" w:sz="8" w:color="CCEEFF"/>
            </w:tcBorders>
            <w:gridSpan w:val="23"/>
          </w:tcPr>
          <w:p>
            <w:pPr>
              <w:spacing w:after="0"/>
              <w:rPr>
                <w:sz w:val="15"/>
                <w:szCs w:val="15"/>
                <w:color w:val="auto"/>
              </w:rPr>
            </w:pPr>
          </w:p>
        </w:tc>
        <w:tc>
          <w:tcPr>
            <w:tcW w:w="540" w:type="dxa"/>
            <w:vAlign w:val="bottom"/>
            <w:tcBorders>
              <w:top w:val="single" w:sz="8" w:color="CCEEFF"/>
            </w:tcBorders>
          </w:tcPr>
          <w:p>
            <w:pPr>
              <w:jc w:val="right"/>
              <w:spacing w:after="0" w:line="178" w:lineRule="exact"/>
              <w:rPr>
                <w:sz w:val="20"/>
                <w:szCs w:val="20"/>
                <w:color w:val="auto"/>
              </w:rPr>
            </w:pPr>
            <w:r>
              <w:rPr>
                <w:rFonts w:ascii="Times New Roman" w:cs="Times New Roman" w:eastAsia="Times New Roman" w:hAnsi="Times New Roman"/>
                <w:sz w:val="17"/>
                <w:szCs w:val="17"/>
                <w:color w:val="auto"/>
              </w:rPr>
              <w:t>156</w:t>
            </w:r>
          </w:p>
        </w:tc>
      </w:tr>
      <w:tr>
        <w:trPr>
          <w:trHeight w:val="196"/>
        </w:trPr>
        <w:tc>
          <w:tcPr>
            <w:tcW w:w="740" w:type="dxa"/>
            <w:vAlign w:val="bottom"/>
            <w:tcBorders>
              <w:top w:val="single" w:sz="8" w:color="0000EE"/>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0000EE"/>
              </w:rPr>
              <w:t>PART III</w:t>
            </w:r>
          </w:p>
        </w:tc>
        <w:tc>
          <w:tcPr>
            <w:tcW w:w="100" w:type="dxa"/>
            <w:vAlign w:val="bottom"/>
            <w:tcBorders>
              <w:top w:val="single" w:sz="8" w:color="0000EE"/>
            </w:tcBorders>
            <w:shd w:val="clear" w:color="auto" w:fill="CCEEFF"/>
          </w:tcPr>
          <w:p>
            <w:pPr>
              <w:spacing w:after="0"/>
              <w:rPr>
                <w:sz w:val="17"/>
                <w:szCs w:val="17"/>
                <w:color w:val="auto"/>
              </w:rPr>
            </w:pPr>
          </w:p>
        </w:tc>
        <w:tc>
          <w:tcPr>
            <w:tcW w:w="44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right w:val="single" w:sz="8" w:color="CCEEFF"/>
            </w:tcBorders>
            <w:shd w:val="clear" w:color="auto" w:fill="CCEEFF"/>
          </w:tcPr>
          <w:p>
            <w:pPr>
              <w:spacing w:after="0"/>
              <w:rPr>
                <w:sz w:val="17"/>
                <w:szCs w:val="17"/>
                <w:color w:val="auto"/>
              </w:rPr>
            </w:pPr>
          </w:p>
        </w:tc>
        <w:tc>
          <w:tcPr>
            <w:tcW w:w="480" w:type="dxa"/>
            <w:vAlign w:val="bottom"/>
            <w:tcBorders>
              <w:top w:val="single" w:sz="8" w:color="0000EE"/>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w:t>
            </w:r>
          </w:p>
        </w:tc>
      </w:tr>
      <w:tr>
        <w:trPr>
          <w:trHeight w:val="38"/>
        </w:trPr>
        <w:tc>
          <w:tcPr>
            <w:tcW w:w="38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480" w:type="dxa"/>
            <w:vAlign w:val="bottom"/>
            <w:tcBorders>
              <w:right w:val="single" w:sz="8" w:color="CCEEFF"/>
            </w:tcBorders>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78"/>
        </w:trPr>
        <w:tc>
          <w:tcPr>
            <w:tcW w:w="8380" w:type="dxa"/>
            <w:vAlign w:val="bottom"/>
            <w:gridSpan w:val="34"/>
          </w:tcPr>
          <w:p>
            <w:pPr>
              <w:spacing w:after="0" w:line="178" w:lineRule="exact"/>
              <w:rPr>
                <w:sz w:val="20"/>
                <w:szCs w:val="20"/>
                <w:color w:val="auto"/>
              </w:rPr>
            </w:pPr>
            <w:r>
              <w:rPr>
                <w:rFonts w:ascii="Times New Roman" w:cs="Times New Roman" w:eastAsia="Times New Roman" w:hAnsi="Times New Roman"/>
                <w:sz w:val="17"/>
                <w:szCs w:val="17"/>
                <w:color w:val="0000EE"/>
              </w:rPr>
              <w:t>ITEM 17. Financial statements</w:t>
            </w:r>
          </w:p>
        </w:tc>
        <w:tc>
          <w:tcPr>
            <w:tcW w:w="5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158</w:t>
            </w: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4"/>
        </w:trPr>
        <w:tc>
          <w:tcPr>
            <w:tcW w:w="838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7"/>
                <w:szCs w:val="17"/>
                <w:color w:val="0000EE"/>
              </w:rPr>
              <w:t>ITEM 18. Financial statements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w:t>
            </w:r>
          </w:p>
        </w:tc>
      </w:tr>
      <w:tr>
        <w:trPr>
          <w:trHeight w:val="178"/>
        </w:trPr>
        <w:tc>
          <w:tcPr>
            <w:tcW w:w="2100" w:type="dxa"/>
            <w:vAlign w:val="bottom"/>
            <w:tcBorders>
              <w:top w:val="single" w:sz="8" w:color="0000EE"/>
            </w:tcBorders>
            <w:gridSpan w:val="9"/>
          </w:tcPr>
          <w:p>
            <w:pPr>
              <w:spacing w:after="0" w:line="178" w:lineRule="exact"/>
              <w:rPr>
                <w:sz w:val="20"/>
                <w:szCs w:val="20"/>
                <w:color w:val="auto"/>
              </w:rPr>
            </w:pPr>
            <w:r>
              <w:rPr>
                <w:rFonts w:ascii="Times New Roman" w:cs="Times New Roman" w:eastAsia="Times New Roman" w:hAnsi="Times New Roman"/>
                <w:sz w:val="17"/>
                <w:szCs w:val="17"/>
                <w:color w:val="0000EE"/>
              </w:rPr>
              <w:t>ITEM 19. Exhibits</w:t>
            </w:r>
          </w:p>
        </w:tc>
        <w:tc>
          <w:tcPr>
            <w:tcW w:w="6280" w:type="dxa"/>
            <w:vAlign w:val="bottom"/>
            <w:tcBorders>
              <w:top w:val="single" w:sz="8" w:color="CCEEFF"/>
            </w:tcBorders>
            <w:gridSpan w:val="25"/>
          </w:tcPr>
          <w:p>
            <w:pPr>
              <w:spacing w:after="0"/>
              <w:rPr>
                <w:sz w:val="15"/>
                <w:szCs w:val="15"/>
                <w:color w:val="auto"/>
              </w:rPr>
            </w:pPr>
          </w:p>
        </w:tc>
        <w:tc>
          <w:tcPr>
            <w:tcW w:w="540" w:type="dxa"/>
            <w:vAlign w:val="bottom"/>
            <w:tcBorders>
              <w:top w:val="single" w:sz="8" w:color="CCEEFF"/>
            </w:tcBorders>
          </w:tcPr>
          <w:p>
            <w:pPr>
              <w:jc w:val="right"/>
              <w:spacing w:after="0" w:line="178" w:lineRule="exact"/>
              <w:rPr>
                <w:sz w:val="20"/>
                <w:szCs w:val="20"/>
                <w:color w:val="auto"/>
              </w:rPr>
            </w:pPr>
            <w:r>
              <w:rPr>
                <w:rFonts w:ascii="Times New Roman" w:cs="Times New Roman" w:eastAsia="Times New Roman" w:hAnsi="Times New Roman"/>
                <w:sz w:val="17"/>
                <w:szCs w:val="17"/>
                <w:color w:val="auto"/>
              </w:rPr>
              <w:t>158</w:t>
            </w: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PRESENTATION OF FINANCIAL AND OTHER INFORMATION</w:t>
      </w:r>
    </w:p>
    <w:p>
      <w:pPr>
        <w:spacing w:after="0" w:line="215" w:lineRule="exact"/>
        <w:rPr>
          <w:sz w:val="20"/>
          <w:szCs w:val="20"/>
          <w:color w:val="auto"/>
        </w:rPr>
      </w:pPr>
    </w:p>
    <w:p>
      <w:pPr>
        <w:ind w:left="40" w:right="119" w:firstLine="305"/>
        <w:spacing w:after="0" w:line="228" w:lineRule="auto"/>
        <w:rPr>
          <w:sz w:val="20"/>
          <w:szCs w:val="20"/>
          <w:color w:val="auto"/>
        </w:rPr>
      </w:pPr>
      <w:r>
        <w:rPr>
          <w:rFonts w:ascii="Times New Roman" w:cs="Times New Roman" w:eastAsia="Times New Roman" w:hAnsi="Times New Roman"/>
          <w:sz w:val="17"/>
          <w:szCs w:val="17"/>
          <w:color w:val="auto"/>
        </w:rPr>
        <w:t>Unless otherwise indicated or the context otherwise requires, all references in this annual report on Form 20-F (the “Annual Report”) to “AC Immune,” “ACIU,” “Company,” “we,” “our,” “ours,” “us” or similar terms refer to AC Immune SA together with its subsidiary. The Company owns various registered and unregistered trademarks, for some of which protection has been obtained or is being sought, including Morphomer™, SupraAntigen</w:t>
      </w:r>
      <w:r>
        <w:rPr>
          <w:rFonts w:ascii="Times New Roman" w:cs="Times New Roman" w:eastAsia="Times New Roman" w:hAnsi="Times New Roman"/>
          <w:sz w:val="25"/>
          <w:szCs w:val="25"/>
          <w:color w:val="222222"/>
          <w:vertAlign w:val="superscript"/>
        </w:rPr>
        <w:t>®</w:t>
      </w:r>
      <w:r>
        <w:rPr>
          <w:rFonts w:ascii="Times New Roman" w:cs="Times New Roman" w:eastAsia="Times New Roman" w:hAnsi="Times New Roman"/>
          <w:sz w:val="17"/>
          <w:szCs w:val="17"/>
          <w:color w:val="auto"/>
        </w:rPr>
        <w:t xml:space="preserve"> and its corporate name, logo and Nasdaq Global Market symbol. All other trademarks, trade names and service marks of other companies appearing in this Annual Report are the property of their respective owners. Solely for convenience, the trademarks and trade names in this Annual Report may be referred to without the respective </w:t>
      </w:r>
      <w:r>
        <w:rPr>
          <w:rFonts w:ascii="Times New Roman" w:cs="Times New Roman" w:eastAsia="Times New Roman" w:hAnsi="Times New Roman"/>
          <w:sz w:val="25"/>
          <w:szCs w:val="25"/>
          <w:color w:val="222222"/>
          <w:vertAlign w:val="superscript"/>
        </w:rPr>
        <w:t>®</w:t>
      </w:r>
      <w:r>
        <w:rPr>
          <w:rFonts w:ascii="Times New Roman" w:cs="Times New Roman" w:eastAsia="Times New Roman" w:hAnsi="Times New Roman"/>
          <w:sz w:val="17"/>
          <w:szCs w:val="17"/>
          <w:color w:val="auto"/>
        </w:rPr>
        <w:t xml:space="preserve"> and ™ symbols, but such references should not be construed as any indicator that their respective owners will not assert, to the fullest extent under applicable law, their rights thereto. The Company does not intend to use or display other companies’ trademarks and/or trade names to imply a relationship with, or endorsement or sponsorship of the Company by, any other companies.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215" w:lineRule="exact"/>
        <w:rPr>
          <w:sz w:val="20"/>
          <w:szCs w:val="20"/>
          <w:color w:val="auto"/>
        </w:rPr>
      </w:pPr>
    </w:p>
    <w:p>
      <w:pPr>
        <w:ind w:left="40" w:right="179" w:firstLine="305"/>
        <w:spacing w:after="0" w:line="270" w:lineRule="auto"/>
        <w:rPr>
          <w:sz w:val="20"/>
          <w:szCs w:val="20"/>
          <w:color w:val="auto"/>
        </w:rPr>
      </w:pPr>
      <w:r>
        <w:rPr>
          <w:rFonts w:ascii="Times New Roman" w:cs="Times New Roman" w:eastAsia="Times New Roman" w:hAnsi="Times New Roman"/>
          <w:sz w:val="16"/>
          <w:szCs w:val="16"/>
          <w:color w:val="auto"/>
        </w:rPr>
        <w:t>Our consolidated financial statements are presented in Swiss Francs and in accordance with International Financial Reporting Standards (IFRS) Accounting Standards, as issued by the International Accounting Standards Board (IASB). None of the consolidated financial statements was prepared in accordance with generally accepted accounting principles in the United States (U.S.). The terms “dollar” and “USD” refer to U.S. dollars, and the terms “Swiss Franc” and “CHF” refer to the legal currency of Switzerland, unless otherwise indicated. We have made rounding adjustments to some of the figures included in this Annual Report. Accordingly, any numerical discrepancies in any table between totals and sums of the amounts listed are due to rounding.</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15" w:lineRule="exact"/>
        <w:rPr>
          <w:sz w:val="20"/>
          <w:szCs w:val="20"/>
          <w:color w:val="auto"/>
        </w:rPr>
      </w:pPr>
    </w:p>
    <w:p>
      <w:pPr>
        <w:ind w:left="40" w:right="59" w:firstLine="305"/>
        <w:spacing w:after="0" w:line="251" w:lineRule="auto"/>
        <w:rPr>
          <w:sz w:val="20"/>
          <w:szCs w:val="20"/>
          <w:color w:val="auto"/>
        </w:rPr>
      </w:pPr>
      <w:r>
        <w:rPr>
          <w:rFonts w:ascii="Times New Roman" w:cs="Times New Roman" w:eastAsia="Times New Roman" w:hAnsi="Times New Roman"/>
          <w:sz w:val="17"/>
          <w:szCs w:val="17"/>
          <w:color w:val="auto"/>
        </w:rPr>
        <w:t>This Annual Report contains statements that constitute forward-looking statements. All statements other than statements of historical facts contained in this Annual Report, including statements regarding our future results of operations and financial position, business strategy, product candidates, product pipeline, ongoing and planned clinical studies, including those of our collaboration partners, regulatory approvals, research and development (R&amp;D) costs, timing and likelihood of success, as well as plans and objectives of management for future operations, are forward-looking statements. Many of the forward-looking statements contained in this Annual Report can be identified by the use of forward-looking words such as “anticipate,” “believe,” “could,” “expect,” “should,” “plan,” “intend,” “estimate,” “will” and “potential,” among others.</w:t>
      </w:r>
    </w:p>
    <w:p>
      <w:pPr>
        <w:spacing w:after="0" w:line="181" w:lineRule="exact"/>
        <w:rPr>
          <w:sz w:val="20"/>
          <w:szCs w:val="20"/>
          <w:color w:val="auto"/>
        </w:rPr>
      </w:pPr>
    </w:p>
    <w:p>
      <w:pPr>
        <w:ind w:left="40" w:right="99" w:firstLine="305"/>
        <w:spacing w:after="0" w:line="251" w:lineRule="auto"/>
        <w:rPr>
          <w:sz w:val="20"/>
          <w:szCs w:val="20"/>
          <w:color w:val="auto"/>
        </w:rPr>
      </w:pPr>
      <w:r>
        <w:rPr>
          <w:rFonts w:ascii="Times New Roman" w:cs="Times New Roman" w:eastAsia="Times New Roman" w:hAnsi="Times New Roman"/>
          <w:sz w:val="17"/>
          <w:szCs w:val="17"/>
          <w:color w:val="auto"/>
        </w:rPr>
        <w:t>Forward-looking statements appear in a number of places in this Annual Report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“Item 3. Key information—D. Risk factors” in this Annual Report. These risks and uncertainties include multiple factors:</w:t>
      </w:r>
    </w:p>
    <w:p>
      <w:pPr>
        <w:spacing w:after="0" w:line="182" w:lineRule="exact"/>
        <w:rPr>
          <w:sz w:val="20"/>
          <w:szCs w:val="20"/>
          <w:color w:val="auto"/>
        </w:rPr>
      </w:pPr>
    </w:p>
    <w:p>
      <w:pPr>
        <w:ind w:left="680" w:right="79" w:hanging="305"/>
        <w:spacing w:after="0" w:line="274" w:lineRule="auto"/>
        <w:tabs>
          <w:tab w:leader="none" w:pos="6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and our collaboration partners’ clinical studies, and our and their ability to obtain and maintain regulatory approval and to commercialize our active immunotherapies (ACI-35.030, ACI-24.060 and ACI-7104.056) , small molecule drug program ACI-19764 (NLRP3 inhibitor), and diagnostics (Tau-PET tracer PI-2620, a-syn-PET tracers ACI-12589 and ACI-15916 and TDP-43-PET tracer ACI-19626) and to a lesser extent our preclinical candidates;</w:t>
      </w:r>
    </w:p>
    <w:p>
      <w:pPr>
        <w:spacing w:after="0" w:line="109"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preclinical and clinical safety, efficacy and utility of our product candidates;</w:t>
      </w:r>
    </w:p>
    <w:p>
      <w:pPr>
        <w:spacing w:after="0" w:line="210" w:lineRule="exact"/>
        <w:rPr>
          <w:rFonts w:ascii="Times New Roman" w:cs="Times New Roman" w:eastAsia="Times New Roman" w:hAnsi="Times New Roman"/>
          <w:sz w:val="17"/>
          <w:szCs w:val="17"/>
          <w:color w:val="auto"/>
        </w:rPr>
      </w:pPr>
    </w:p>
    <w:p>
      <w:pPr>
        <w:ind w:left="680" w:right="119" w:hanging="305"/>
        <w:spacing w:after="0" w:line="262" w:lineRule="auto"/>
        <w:tabs>
          <w:tab w:leader="none" w:pos="6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competitors to discover, develop or commercialize competing products before or more successfully than we do;</w:t>
      </w:r>
    </w:p>
    <w:p>
      <w:pPr>
        <w:spacing w:after="0" w:line="182"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plans to research, develop and commercialize our product candidates;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329565</wp:posOffset>
            </wp:positionV>
            <wp:extent cx="5657850" cy="24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80" w:hanging="305"/>
        <w:spacing w:after="0"/>
        <w:tabs>
          <w:tab w:leader="none" w:pos="6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identification of serious adverse, undesirable or unacceptable side effects related to our product candidates;</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our current strategic relationships with our collaboration partners;</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protect and maintain our, and not infringe on third parties’, intellectual property rights throughout the world;</w:t>
      </w:r>
    </w:p>
    <w:p>
      <w:pPr>
        <w:spacing w:after="0" w:line="222" w:lineRule="exact"/>
        <w:rPr>
          <w:rFonts w:ascii="Times New Roman" w:cs="Times New Roman" w:eastAsia="Times New Roman" w:hAnsi="Times New Roman"/>
          <w:sz w:val="16"/>
          <w:szCs w:val="16"/>
          <w:color w:val="auto"/>
        </w:rPr>
      </w:pPr>
    </w:p>
    <w:p>
      <w:pPr>
        <w:ind w:left="680" w:right="399" w:hanging="305"/>
        <w:spacing w:after="0" w:line="277" w:lineRule="auto"/>
        <w:tabs>
          <w:tab w:leader="none" w:pos="6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raise capital when needed in order to continue our product development programs or commercialization efforts;</w:t>
      </w:r>
    </w:p>
    <w:p>
      <w:pPr>
        <w:spacing w:after="0" w:line="157"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qualified employees and key personnel;</w:t>
      </w:r>
    </w:p>
    <w:p>
      <w:pPr>
        <w:spacing w:after="0" w:line="210" w:lineRule="exact"/>
        <w:rPr>
          <w:rFonts w:ascii="Times New Roman" w:cs="Times New Roman" w:eastAsia="Times New Roman" w:hAnsi="Times New Roman"/>
          <w:sz w:val="17"/>
          <w:szCs w:val="17"/>
          <w:color w:val="auto"/>
        </w:rPr>
      </w:pPr>
    </w:p>
    <w:p>
      <w:pPr>
        <w:ind w:left="680" w:right="339" w:hanging="305"/>
        <w:spacing w:after="0" w:line="277" w:lineRule="auto"/>
        <w:tabs>
          <w:tab w:leader="none" w:pos="6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acceptance by the Food and Drug Administration (FDA) and applicable foreign regulatory authorities of data from studies that we and our collaboration partners conduct within and outside the U.S. now and in the future;</w:t>
      </w:r>
    </w:p>
    <w:p>
      <w:pPr>
        <w:spacing w:after="0" w:line="157" w:lineRule="exact"/>
        <w:rPr>
          <w:rFonts w:ascii="Times New Roman" w:cs="Times New Roman" w:eastAsia="Times New Roman" w:hAnsi="Times New Roman"/>
          <w:sz w:val="17"/>
          <w:szCs w:val="17"/>
          <w:color w:val="auto"/>
        </w:rPr>
      </w:pPr>
    </w:p>
    <w:p>
      <w:pPr>
        <w:ind w:left="680" w:right="319" w:hanging="305"/>
        <w:spacing w:after="0" w:line="277" w:lineRule="auto"/>
        <w:tabs>
          <w:tab w:leader="none" w:pos="6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foreign private issuer (FPI) status, the loss of which would require us to comply with the Exchange Act’s domestic reporting regime, and cause us to incur significant legal, accounting and other expenses;</w:t>
      </w:r>
    </w:p>
    <w:p>
      <w:pPr>
        <w:spacing w:after="0" w:line="157" w:lineRule="exact"/>
        <w:rPr>
          <w:rFonts w:ascii="Times New Roman" w:cs="Times New Roman" w:eastAsia="Times New Roman" w:hAnsi="Times New Roman"/>
          <w:sz w:val="17"/>
          <w:szCs w:val="17"/>
          <w:color w:val="auto"/>
        </w:rPr>
      </w:pPr>
    </w:p>
    <w:p>
      <w:pPr>
        <w:ind w:left="680" w:right="199" w:hanging="305"/>
        <w:spacing w:after="0" w:line="277" w:lineRule="auto"/>
        <w:tabs>
          <w:tab w:leader="none" w:pos="6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incorporation in Switzerland, the laws of which govern our corporate affairs and may differ from those applicable to companies incorporated in the U.S.; and</w:t>
      </w:r>
    </w:p>
    <w:p>
      <w:pPr>
        <w:spacing w:after="0" w:line="157"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other risk factors discussed under “Item 3. Key information—D. Risk factors.”</w:t>
      </w:r>
    </w:p>
    <w:p>
      <w:pPr>
        <w:spacing w:after="0" w:line="211" w:lineRule="exact"/>
        <w:rPr>
          <w:sz w:val="20"/>
          <w:szCs w:val="20"/>
          <w:color w:val="auto"/>
        </w:rPr>
      </w:pPr>
    </w:p>
    <w:p>
      <w:pPr>
        <w:ind w:left="40" w:right="79" w:firstLine="305"/>
        <w:spacing w:after="0" w:line="250" w:lineRule="auto"/>
        <w:rPr>
          <w:sz w:val="20"/>
          <w:szCs w:val="20"/>
          <w:color w:val="auto"/>
        </w:rPr>
      </w:pPr>
      <w:r>
        <w:rPr>
          <w:rFonts w:ascii="Times New Roman" w:cs="Times New Roman" w:eastAsia="Times New Roman" w:hAnsi="Times New Roman"/>
          <w:sz w:val="17"/>
          <w:szCs w:val="17"/>
          <w:color w:val="auto"/>
        </w:rPr>
        <w:t>These forward-looking statements are applicable only as of the date of this Annual Report, and are subject to a number of risks, uncertainties and assumptions described under the sections in this Annual Report entitled “Item 3. Key information—D. Risk factors” and “Item 5. Operating and financial review and prospects,” and elsewhere in this Annual Report.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 IDENTITY OF DIRECTORS, SENIOR MANAGEMENT AND ADVISERS</w:t>
      </w:r>
    </w:p>
    <w:p>
      <w:pPr>
        <w:spacing w:after="0" w:line="211" w:lineRule="exact"/>
        <w:rPr>
          <w:sz w:val="20"/>
          <w:szCs w:val="20"/>
          <w:color w:val="auto"/>
        </w:rPr>
      </w:pPr>
    </w:p>
    <w:p>
      <w:pPr>
        <w:ind w:left="340" w:right="6219" w:hanging="295"/>
        <w:spacing w:after="0" w:line="498" w:lineRule="auto"/>
        <w:tabs>
          <w:tab w:leader="none" w:pos="34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Directors and senior management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340" w:hanging="295"/>
        <w:spacing w:after="0"/>
        <w:tabs>
          <w:tab w:leader="none" w:pos="34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Advisers</w:t>
      </w:r>
    </w:p>
    <w:p>
      <w:pPr>
        <w:spacing w:after="0" w:line="214"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Not applicable.</w:t>
      </w:r>
    </w:p>
    <w:p>
      <w:pPr>
        <w:spacing w:after="0" w:line="206" w:lineRule="exact"/>
        <w:rPr>
          <w:rFonts w:ascii="Times New Roman" w:cs="Times New Roman" w:eastAsia="Times New Roman" w:hAnsi="Times New Roman"/>
          <w:sz w:val="17"/>
          <w:szCs w:val="17"/>
          <w:b w:val="1"/>
          <w:bCs w:val="1"/>
          <w:color w:val="auto"/>
        </w:rPr>
      </w:pPr>
    </w:p>
    <w:p>
      <w:pPr>
        <w:ind w:left="340" w:hanging="295"/>
        <w:spacing w:after="0"/>
        <w:tabs>
          <w:tab w:leader="none" w:pos="34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Auditors</w:t>
      </w:r>
    </w:p>
    <w:p>
      <w:pPr>
        <w:spacing w:after="0" w:line="201"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Not applicable.</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2. OFFER STATISTICS AND EXPECTED TIMETABLE</w:t>
      </w:r>
    </w:p>
    <w:p>
      <w:pPr>
        <w:spacing w:after="0" w:line="211" w:lineRule="exact"/>
        <w:rPr>
          <w:sz w:val="20"/>
          <w:szCs w:val="20"/>
          <w:color w:val="auto"/>
        </w:rPr>
      </w:pPr>
    </w:p>
    <w:p>
      <w:pPr>
        <w:jc w:val="both"/>
        <w:ind w:left="340" w:right="7619" w:hanging="295"/>
        <w:spacing w:after="0" w:line="529" w:lineRule="auto"/>
        <w:tabs>
          <w:tab w:leader="none" w:pos="340" w:val="left"/>
        </w:tabs>
        <w:numPr>
          <w:ilvl w:val="0"/>
          <w:numId w:val="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Offer statistics </w:t>
      </w:r>
      <w:r>
        <w:rPr>
          <w:rFonts w:ascii="Times New Roman" w:cs="Times New Roman" w:eastAsia="Times New Roman" w:hAnsi="Times New Roman"/>
          <w:sz w:val="16"/>
          <w:szCs w:val="16"/>
          <w:color w:val="auto"/>
        </w:rPr>
        <w:t>Not applicable.</w:t>
      </w:r>
    </w:p>
    <w:p>
      <w:pPr>
        <w:spacing w:after="0" w:line="1" w:lineRule="exact"/>
        <w:rPr>
          <w:rFonts w:ascii="Times New Roman" w:cs="Times New Roman" w:eastAsia="Times New Roman" w:hAnsi="Times New Roman"/>
          <w:sz w:val="16"/>
          <w:szCs w:val="16"/>
          <w:b w:val="1"/>
          <w:bCs w:val="1"/>
          <w:color w:val="auto"/>
        </w:rPr>
      </w:pPr>
    </w:p>
    <w:p>
      <w:pPr>
        <w:ind w:left="340" w:right="6399" w:hanging="295"/>
        <w:spacing w:after="0" w:line="498" w:lineRule="auto"/>
        <w:tabs>
          <w:tab w:leader="none" w:pos="34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Method and expected timetable </w:t>
      </w:r>
      <w:r>
        <w:rPr>
          <w:rFonts w:ascii="Times New Roman" w:cs="Times New Roman" w:eastAsia="Times New Roman" w:hAnsi="Times New Roman"/>
          <w:sz w:val="17"/>
          <w:szCs w:val="17"/>
          <w:color w:val="auto"/>
        </w:rPr>
        <w:t>Not applicable.</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3. KEY INFORMATION</w:t>
      </w:r>
    </w:p>
    <w:p>
      <w:pPr>
        <w:spacing w:after="0" w:line="198" w:lineRule="exact"/>
        <w:rPr>
          <w:sz w:val="20"/>
          <w:szCs w:val="20"/>
          <w:color w:val="auto"/>
        </w:rPr>
      </w:pPr>
    </w:p>
    <w:p>
      <w:pPr>
        <w:ind w:left="340" w:hanging="295"/>
        <w:spacing w:after="0"/>
        <w:tabs>
          <w:tab w:leader="none" w:pos="34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[Reserved]</w:t>
      </w:r>
    </w:p>
    <w:p>
      <w:pPr>
        <w:spacing w:after="0" w:line="210" w:lineRule="exact"/>
        <w:rPr>
          <w:rFonts w:ascii="Times New Roman" w:cs="Times New Roman" w:eastAsia="Times New Roman" w:hAnsi="Times New Roman"/>
          <w:sz w:val="17"/>
          <w:szCs w:val="17"/>
          <w:b w:val="1"/>
          <w:bCs w:val="1"/>
          <w:color w:val="auto"/>
        </w:rPr>
      </w:pPr>
    </w:p>
    <w:p>
      <w:pPr>
        <w:ind w:left="340" w:right="6359" w:hanging="295"/>
        <w:spacing w:after="0" w:line="498" w:lineRule="auto"/>
        <w:tabs>
          <w:tab w:leader="none" w:pos="34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Capitalization and indebtedness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340" w:right="5699" w:hanging="295"/>
        <w:spacing w:after="0" w:line="498" w:lineRule="auto"/>
        <w:tabs>
          <w:tab w:leader="none" w:pos="34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Reasons for the offer and use of proceeds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340" w:hanging="295"/>
        <w:spacing w:after="0"/>
        <w:tabs>
          <w:tab w:leader="none" w:pos="34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Risk factors</w:t>
      </w:r>
    </w:p>
    <w:p>
      <w:pPr>
        <w:spacing w:after="0" w:line="211" w:lineRule="exact"/>
        <w:rPr>
          <w:sz w:val="20"/>
          <w:szCs w:val="20"/>
          <w:color w:val="auto"/>
        </w:rPr>
      </w:pPr>
    </w:p>
    <w:p>
      <w:pPr>
        <w:ind w:left="40" w:right="139" w:firstLine="305"/>
        <w:spacing w:after="0" w:line="252" w:lineRule="auto"/>
        <w:rPr>
          <w:sz w:val="20"/>
          <w:szCs w:val="20"/>
          <w:color w:val="auto"/>
        </w:rPr>
      </w:pPr>
      <w:r>
        <w:rPr>
          <w:rFonts w:ascii="Times New Roman" w:cs="Times New Roman" w:eastAsia="Times New Roman" w:hAnsi="Times New Roman"/>
          <w:sz w:val="17"/>
          <w:szCs w:val="17"/>
          <w:i w:val="1"/>
          <w:iCs w:val="1"/>
          <w:color w:val="auto"/>
        </w:rPr>
        <w:t>You should carefully consider the risks and uncertainties described below and the other information in this Annual Report before making an investment in our common shares. Our business, financial condition or results of operations could be materially and adversely affected if any of these risks occurs, and as a result, the market price of our common shares could decline and you could lose all or part of your investment. This Annual Report also contains forward-looking statements that involve risks and uncertainties. See “Forward-Looking Statements.” Our actual results could differ materially and adversely from those anticipated in these forward-looking statements as a result of certain factors.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The below provides a summary of our principal risk factors:</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Risks related to our business:</w:t>
      </w:r>
    </w:p>
    <w:p>
      <w:pPr>
        <w:spacing w:after="0" w:line="215" w:lineRule="exact"/>
        <w:rPr>
          <w:sz w:val="20"/>
          <w:szCs w:val="20"/>
          <w:color w:val="auto"/>
        </w:rPr>
      </w:pPr>
    </w:p>
    <w:p>
      <w:pPr>
        <w:ind w:left="680" w:hanging="305"/>
        <w:spacing w:after="0"/>
        <w:tabs>
          <w:tab w:leader="none" w:pos="680" w:val="left"/>
        </w:tabs>
        <w:numPr>
          <w:ilvl w:val="0"/>
          <w:numId w:val="15"/>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222222"/>
        </w:rPr>
        <w:t>We depend heavily on the success of our clinical and, to a lesser extent, preclinical products:</w:t>
      </w:r>
    </w:p>
    <w:p>
      <w:pPr>
        <w:spacing w:after="0" w:line="210" w:lineRule="exact"/>
        <w:rPr>
          <w:rFonts w:ascii="Times New Roman" w:cs="Times New Roman" w:eastAsia="Times New Roman" w:hAnsi="Times New Roman"/>
          <w:sz w:val="17"/>
          <w:szCs w:val="17"/>
          <w:color w:val="222222"/>
        </w:rPr>
      </w:pPr>
    </w:p>
    <w:p>
      <w:pPr>
        <w:jc w:val="both"/>
        <w:ind w:left="1280" w:right="419" w:hanging="296"/>
        <w:spacing w:after="0" w:line="263" w:lineRule="auto"/>
        <w:tabs>
          <w:tab w:leader="none" w:pos="1280" w:val="left"/>
        </w:tabs>
        <w:numPr>
          <w:ilvl w:val="1"/>
          <w:numId w:val="15"/>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222222"/>
        </w:rPr>
        <w:t>Our ability to generate product revenues, which we do not expect to occur for several years, will depend on clinical and regulatory success which have low probabilities of success in the central nervous system (CNS) space in which we operate.</w:t>
      </w:r>
    </w:p>
    <w:p>
      <w:pPr>
        <w:spacing w:after="0" w:line="169" w:lineRule="exact"/>
        <w:rPr>
          <w:rFonts w:ascii="Times New Roman" w:cs="Times New Roman" w:eastAsia="Times New Roman" w:hAnsi="Times New Roman"/>
          <w:sz w:val="17"/>
          <w:szCs w:val="17"/>
          <w:color w:val="222222"/>
        </w:rPr>
      </w:pPr>
    </w:p>
    <w:p>
      <w:pPr>
        <w:ind w:left="680" w:hanging="305"/>
        <w:spacing w:after="0"/>
        <w:tabs>
          <w:tab w:leader="none" w:pos="680" w:val="left"/>
        </w:tabs>
        <w:numPr>
          <w:ilvl w:val="0"/>
          <w:numId w:val="15"/>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222222"/>
        </w:rPr>
        <w:t>Results of early preclinical and clinical studies may not be predictive of future results:</w:t>
      </w:r>
    </w:p>
    <w:p>
      <w:pPr>
        <w:spacing w:after="0" w:line="210" w:lineRule="exact"/>
        <w:rPr>
          <w:rFonts w:ascii="Times New Roman" w:cs="Times New Roman" w:eastAsia="Times New Roman" w:hAnsi="Times New Roman"/>
          <w:sz w:val="17"/>
          <w:szCs w:val="17"/>
          <w:color w:val="222222"/>
        </w:rPr>
      </w:pPr>
    </w:p>
    <w:p>
      <w:pPr>
        <w:ind w:left="1280" w:right="559" w:hanging="296"/>
        <w:spacing w:after="0" w:line="277" w:lineRule="auto"/>
        <w:tabs>
          <w:tab w:leader="none" w:pos="1280" w:val="left"/>
        </w:tabs>
        <w:numPr>
          <w:ilvl w:val="1"/>
          <w:numId w:val="15"/>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auto"/>
        </w:rPr>
        <w:t>Products that show positive or timely preclinical or early clinical results may not show sufficient safety or efficacy in later-stage clinical studies and therefore may fail to obtain regulatory approvals.</w:t>
      </w:r>
    </w:p>
    <w:p>
      <w:pPr>
        <w:spacing w:after="0" w:line="157" w:lineRule="exact"/>
        <w:rPr>
          <w:rFonts w:ascii="Times New Roman" w:cs="Times New Roman" w:eastAsia="Times New Roman" w:hAnsi="Times New Roman"/>
          <w:sz w:val="17"/>
          <w:szCs w:val="17"/>
          <w:color w:val="222222"/>
        </w:rPr>
      </w:pPr>
    </w:p>
    <w:p>
      <w:pPr>
        <w:ind w:left="680" w:hanging="305"/>
        <w:spacing w:after="0"/>
        <w:tabs>
          <w:tab w:leader="none" w:pos="6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products may not gain market acceptance or may be preempted by competitors:</w:t>
      </w:r>
    </w:p>
    <w:p>
      <w:pPr>
        <w:spacing w:after="0" w:line="210" w:lineRule="exact"/>
        <w:rPr>
          <w:rFonts w:ascii="Times New Roman" w:cs="Times New Roman" w:eastAsia="Times New Roman" w:hAnsi="Times New Roman"/>
          <w:sz w:val="17"/>
          <w:szCs w:val="17"/>
          <w:color w:val="auto"/>
        </w:rPr>
      </w:pPr>
    </w:p>
    <w:p>
      <w:pPr>
        <w:ind w:left="1280" w:right="279" w:hanging="296"/>
        <w:spacing w:after="0" w:line="277" w:lineRule="auto"/>
        <w:tabs>
          <w:tab w:leader="none" w:pos="1280" w:val="left"/>
        </w:tabs>
        <w:numPr>
          <w:ilvl w:val="1"/>
          <w:numId w:val="15"/>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auto"/>
        </w:rPr>
        <w:t>Even if our products obtain regulatory approval, they may not be accepted by healthcare providers, patients or the medical community.</w:t>
      </w:r>
    </w:p>
    <w:p>
      <w:pPr>
        <w:spacing w:after="0" w:line="157" w:lineRule="exact"/>
        <w:rPr>
          <w:rFonts w:ascii="Times New Roman" w:cs="Times New Roman" w:eastAsia="Times New Roman" w:hAnsi="Times New Roman"/>
          <w:sz w:val="17"/>
          <w:szCs w:val="17"/>
          <w:color w:val="222222"/>
        </w:rPr>
      </w:pPr>
    </w:p>
    <w:p>
      <w:pPr>
        <w:ind w:left="1280" w:right="139" w:hanging="296"/>
        <w:spacing w:after="0" w:line="258" w:lineRule="auto"/>
        <w:tabs>
          <w:tab w:leader="none" w:pos="1280" w:val="left"/>
        </w:tabs>
        <w:numPr>
          <w:ilvl w:val="1"/>
          <w:numId w:val="15"/>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222222"/>
        </w:rPr>
        <w:t>Our success is dependent on the ability to discover, develop and obtain marketing approval for our products. We face and will continue to face intense competition from a variety of businesses, including large fully integrated biopharmaceutical and pharmaceutical companies and others that may have greater financial, technical and human resources.</w:t>
      </w:r>
    </w:p>
    <w:p>
      <w:pPr>
        <w:spacing w:after="0" w:line="162" w:lineRule="exact"/>
        <w:rPr>
          <w:rFonts w:ascii="Times New Roman" w:cs="Times New Roman" w:eastAsia="Times New Roman" w:hAnsi="Times New Roman"/>
          <w:sz w:val="17"/>
          <w:szCs w:val="17"/>
          <w:color w:val="222222"/>
        </w:rPr>
      </w:pPr>
    </w:p>
    <w:p>
      <w:pPr>
        <w:ind w:left="1280" w:hanging="296"/>
        <w:spacing w:after="0"/>
        <w:tabs>
          <w:tab w:leader="none" w:pos="1280" w:val="left"/>
        </w:tabs>
        <w:numPr>
          <w:ilvl w:val="1"/>
          <w:numId w:val="15"/>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auto"/>
        </w:rPr>
        <w:t>A competitor may enter with a generic of an approved innovator product.</w:t>
      </w:r>
    </w:p>
    <w:p>
      <w:pPr>
        <w:spacing w:after="0" w:line="210" w:lineRule="exact"/>
        <w:rPr>
          <w:rFonts w:ascii="Times New Roman" w:cs="Times New Roman" w:eastAsia="Times New Roman" w:hAnsi="Times New Roman"/>
          <w:sz w:val="17"/>
          <w:szCs w:val="17"/>
          <w:color w:val="222222"/>
        </w:rPr>
      </w:pPr>
    </w:p>
    <w:p>
      <w:pPr>
        <w:ind w:left="680" w:hanging="305"/>
        <w:spacing w:after="0"/>
        <w:tabs>
          <w:tab w:leader="none" w:pos="680" w:val="left"/>
        </w:tabs>
        <w:numPr>
          <w:ilvl w:val="0"/>
          <w:numId w:val="15"/>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222222"/>
        </w:rPr>
        <w:t>We may not be successful in using and expanding our Morphomer and SupraAntigen proprietary technology platforms.</w:t>
      </w:r>
    </w:p>
    <w:p>
      <w:pPr>
        <w:spacing w:after="0" w:line="210" w:lineRule="exact"/>
        <w:rPr>
          <w:rFonts w:ascii="Times New Roman" w:cs="Times New Roman" w:eastAsia="Times New Roman" w:hAnsi="Times New Roman"/>
          <w:sz w:val="17"/>
          <w:szCs w:val="17"/>
          <w:color w:val="222222"/>
        </w:rPr>
      </w:pPr>
    </w:p>
    <w:p>
      <w:pPr>
        <w:ind w:left="680" w:right="179" w:hanging="305"/>
        <w:spacing w:after="0" w:line="277" w:lineRule="auto"/>
        <w:tabs>
          <w:tab w:leader="none" w:pos="680" w:val="left"/>
        </w:tabs>
        <w:numPr>
          <w:ilvl w:val="0"/>
          <w:numId w:val="15"/>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222222"/>
        </w:rPr>
        <w:t>We operate in highly competitive and rapidly changing industries, which may result in others discovering, developing or commercializing competing products before or more successfully than we do.</w:t>
      </w:r>
    </w:p>
    <w:p>
      <w:pPr>
        <w:spacing w:after="0" w:line="157" w:lineRule="exact"/>
        <w:rPr>
          <w:rFonts w:ascii="Times New Roman" w:cs="Times New Roman" w:eastAsia="Times New Roman" w:hAnsi="Times New Roman"/>
          <w:sz w:val="17"/>
          <w:szCs w:val="17"/>
          <w:color w:val="222222"/>
        </w:rPr>
      </w:pPr>
    </w:p>
    <w:p>
      <w:pPr>
        <w:ind w:left="680" w:right="499" w:hanging="305"/>
        <w:spacing w:after="0" w:line="277" w:lineRule="auto"/>
        <w:tabs>
          <w:tab w:leader="none" w:pos="680" w:val="left"/>
        </w:tabs>
        <w:numPr>
          <w:ilvl w:val="0"/>
          <w:numId w:val="15"/>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222222"/>
        </w:rPr>
        <w:t>Our future growth and ability to compete depends on retaining our key personnel and recruiting additional qualified personnel including members of our Executive Committee.</w:t>
      </w:r>
    </w:p>
    <w:p>
      <w:pPr>
        <w:spacing w:after="0" w:line="157" w:lineRule="exact"/>
        <w:rPr>
          <w:rFonts w:ascii="Times New Roman" w:cs="Times New Roman" w:eastAsia="Times New Roman" w:hAnsi="Times New Roman"/>
          <w:sz w:val="17"/>
          <w:szCs w:val="17"/>
          <w:color w:val="222222"/>
        </w:rPr>
      </w:pPr>
    </w:p>
    <w:p>
      <w:pPr>
        <w:ind w:left="680" w:right="139" w:hanging="305"/>
        <w:spacing w:after="0" w:line="263" w:lineRule="auto"/>
        <w:tabs>
          <w:tab w:leader="none" w:pos="680" w:val="left"/>
        </w:tabs>
        <w:numPr>
          <w:ilvl w:val="0"/>
          <w:numId w:val="15"/>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222222"/>
        </w:rPr>
        <w:t>A breakdown or breach of our information technology systems and cybersecurity efforts, or those of our key business partners, contract research organizations (CROs) or service providers, could subject us to liability or reputational damage or interrupt the operation of our business.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Risks related to our relationships with third parties:</w:t>
      </w:r>
    </w:p>
    <w:p>
      <w:pPr>
        <w:spacing w:after="0" w:line="215" w:lineRule="exact"/>
        <w:rPr>
          <w:sz w:val="20"/>
          <w:szCs w:val="20"/>
          <w:color w:val="auto"/>
        </w:rPr>
      </w:pPr>
    </w:p>
    <w:p>
      <w:pPr>
        <w:ind w:left="680" w:right="139" w:hanging="305"/>
        <w:spacing w:after="0" w:line="277" w:lineRule="auto"/>
        <w:tabs>
          <w:tab w:leader="none" w:pos="680" w:val="left"/>
        </w:tabs>
        <w:numPr>
          <w:ilvl w:val="0"/>
          <w:numId w:val="16"/>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222222"/>
        </w:rPr>
        <w:t>If we fail to maintain, or realize the benefits from, our current strategic relationships with our current and potential future license and collaboration partners our financial condition may be materially adversely affected.</w:t>
      </w:r>
    </w:p>
    <w:p>
      <w:pPr>
        <w:spacing w:after="0" w:line="157" w:lineRule="exact"/>
        <w:rPr>
          <w:rFonts w:ascii="Times New Roman" w:cs="Times New Roman" w:eastAsia="Times New Roman" w:hAnsi="Times New Roman"/>
          <w:sz w:val="17"/>
          <w:szCs w:val="17"/>
          <w:color w:val="222222"/>
        </w:rPr>
      </w:pPr>
    </w:p>
    <w:p>
      <w:pPr>
        <w:ind w:left="680" w:right="259" w:hanging="305"/>
        <w:spacing w:after="0" w:line="263" w:lineRule="auto"/>
        <w:tabs>
          <w:tab w:leader="none" w:pos="680" w:val="left"/>
        </w:tabs>
        <w:numPr>
          <w:ilvl w:val="0"/>
          <w:numId w:val="16"/>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222222"/>
        </w:rPr>
        <w:t>We may seek to form additional strategic alliances in the future with respect to our product candidates, and if we do not realize the benefits of such alliances, our business, financial condition, commercialization prospects and results of operations may be materially adversely affected.</w:t>
      </w:r>
    </w:p>
    <w:p>
      <w:pPr>
        <w:spacing w:after="0" w:line="169" w:lineRule="exact"/>
        <w:rPr>
          <w:rFonts w:ascii="Times New Roman" w:cs="Times New Roman" w:eastAsia="Times New Roman" w:hAnsi="Times New Roman"/>
          <w:sz w:val="17"/>
          <w:szCs w:val="17"/>
          <w:color w:val="222222"/>
        </w:rPr>
      </w:pPr>
    </w:p>
    <w:p>
      <w:pPr>
        <w:ind w:left="680" w:hanging="305"/>
        <w:spacing w:after="0"/>
        <w:tabs>
          <w:tab w:leader="none" w:pos="680" w:val="left"/>
        </w:tabs>
        <w:numPr>
          <w:ilvl w:val="0"/>
          <w:numId w:val="16"/>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222222"/>
        </w:rPr>
        <w:t>Our collaboration agreements may make us an attractive acquisition target under certain circumstances.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Risks related to intellectual property:</w:t>
      </w:r>
    </w:p>
    <w:p>
      <w:pPr>
        <w:spacing w:after="0" w:line="215" w:lineRule="exact"/>
        <w:rPr>
          <w:sz w:val="20"/>
          <w:szCs w:val="20"/>
          <w:color w:val="auto"/>
        </w:rPr>
      </w:pPr>
    </w:p>
    <w:p>
      <w:pPr>
        <w:ind w:left="680" w:right="319" w:hanging="305"/>
        <w:spacing w:after="0" w:line="277" w:lineRule="auto"/>
        <w:tabs>
          <w:tab w:leader="none" w:pos="680" w:val="left"/>
        </w:tabs>
        <w:numPr>
          <w:ilvl w:val="0"/>
          <w:numId w:val="17"/>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222222"/>
        </w:rPr>
        <w:t>We or our licensing or collaboration partners may not have sufficient patent terms to protect our products and business effectively, which may adversely affect our product sales and technology development.</w:t>
      </w:r>
    </w:p>
    <w:p>
      <w:pPr>
        <w:spacing w:after="0" w:line="157" w:lineRule="exact"/>
        <w:rPr>
          <w:rFonts w:ascii="Times New Roman" w:cs="Times New Roman" w:eastAsia="Times New Roman" w:hAnsi="Times New Roman"/>
          <w:sz w:val="17"/>
          <w:szCs w:val="17"/>
          <w:color w:val="222222"/>
        </w:rPr>
      </w:pPr>
    </w:p>
    <w:p>
      <w:pPr>
        <w:ind w:left="680" w:right="379" w:hanging="305"/>
        <w:spacing w:after="0" w:line="258" w:lineRule="auto"/>
        <w:tabs>
          <w:tab w:leader="none" w:pos="680" w:val="left"/>
        </w:tabs>
        <w:numPr>
          <w:ilvl w:val="0"/>
          <w:numId w:val="17"/>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222222"/>
        </w:rPr>
        <w:t>If we fail to comply with the obligations to obtain and maintain patent protection such as compliance with intellectual property agreements, including those under which we license intellectual property and other rights to or from third parties, or otherwise experience disruptions to our business relationships with our licensees, our licensors and collaboration partners, we could lose intellectual property rights that are important to our business.</w:t>
      </w:r>
    </w:p>
    <w:p>
      <w:pPr>
        <w:spacing w:after="0" w:line="162" w:lineRule="exact"/>
        <w:rPr>
          <w:rFonts w:ascii="Times New Roman" w:cs="Times New Roman" w:eastAsia="Times New Roman" w:hAnsi="Times New Roman"/>
          <w:sz w:val="17"/>
          <w:szCs w:val="17"/>
          <w:color w:val="222222"/>
        </w:rPr>
      </w:pPr>
    </w:p>
    <w:p>
      <w:pPr>
        <w:ind w:left="680" w:hanging="305"/>
        <w:spacing w:after="0"/>
        <w:tabs>
          <w:tab w:leader="none" w:pos="680" w:val="left"/>
        </w:tabs>
        <w:numPr>
          <w:ilvl w:val="0"/>
          <w:numId w:val="17"/>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222222"/>
        </w:rPr>
        <w:t>We may be subject to claims challenging the inventorship of our patents and other intellectual property.</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Risks related to our financial condition and capital requirements:</w:t>
      </w:r>
    </w:p>
    <w:p>
      <w:pPr>
        <w:spacing w:after="0" w:line="215" w:lineRule="exact"/>
        <w:rPr>
          <w:sz w:val="20"/>
          <w:szCs w:val="20"/>
          <w:color w:val="auto"/>
        </w:rPr>
      </w:pPr>
    </w:p>
    <w:p>
      <w:pPr>
        <w:ind w:left="680" w:right="79" w:hanging="305"/>
        <w:spacing w:after="0" w:line="258" w:lineRule="auto"/>
        <w:tabs>
          <w:tab w:leader="none" w:pos="680" w:val="left"/>
        </w:tabs>
        <w:numPr>
          <w:ilvl w:val="0"/>
          <w:numId w:val="18"/>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222222"/>
        </w:rPr>
        <w:t>We are a clinical stage biopharmaceutical company with a history of losses. We anticipate incurring losses for the foreseeable future. As such, if we fail to obtain additional funding via product revenues, license and collaboration agreements, equity offerings or other forms of financing, we may need to delay, reduce or eliminate certain of our product development programs.</w:t>
      </w:r>
    </w:p>
    <w:p>
      <w:pPr>
        <w:spacing w:after="0" w:line="162" w:lineRule="exact"/>
        <w:rPr>
          <w:rFonts w:ascii="Times New Roman" w:cs="Times New Roman" w:eastAsia="Times New Roman" w:hAnsi="Times New Roman"/>
          <w:sz w:val="17"/>
          <w:szCs w:val="17"/>
          <w:color w:val="222222"/>
        </w:rPr>
      </w:pPr>
    </w:p>
    <w:p>
      <w:pPr>
        <w:ind w:left="680" w:right="779" w:hanging="305"/>
        <w:spacing w:after="0" w:line="277" w:lineRule="auto"/>
        <w:tabs>
          <w:tab w:leader="none" w:pos="680" w:val="left"/>
        </w:tabs>
        <w:numPr>
          <w:ilvl w:val="0"/>
          <w:numId w:val="18"/>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222222"/>
        </w:rPr>
        <w:t>If we fail to obtain additional funding, we may delay, reduce or eliminate our product development programs or commercialization efforts.</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Risks related to the regulatory environment:</w:t>
      </w:r>
    </w:p>
    <w:p>
      <w:pPr>
        <w:spacing w:after="0" w:line="215" w:lineRule="exact"/>
        <w:rPr>
          <w:sz w:val="20"/>
          <w:szCs w:val="20"/>
          <w:color w:val="auto"/>
        </w:rPr>
      </w:pPr>
    </w:p>
    <w:p>
      <w:pPr>
        <w:ind w:left="680" w:right="399" w:hanging="305"/>
        <w:spacing w:after="0" w:line="277" w:lineRule="auto"/>
        <w:tabs>
          <w:tab w:leader="none" w:pos="680" w:val="left"/>
        </w:tabs>
        <w:numPr>
          <w:ilvl w:val="0"/>
          <w:numId w:val="19"/>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222222"/>
        </w:rPr>
        <w:t>We cannot give any assurance that any of our product candidates will receive regulatory approval, which is necessary before they can be commercialized.</w:t>
      </w:r>
    </w:p>
    <w:p>
      <w:pPr>
        <w:spacing w:after="0" w:line="157" w:lineRule="exact"/>
        <w:rPr>
          <w:rFonts w:ascii="Times New Roman" w:cs="Times New Roman" w:eastAsia="Times New Roman" w:hAnsi="Times New Roman"/>
          <w:sz w:val="17"/>
          <w:szCs w:val="17"/>
          <w:color w:val="222222"/>
        </w:rPr>
      </w:pPr>
    </w:p>
    <w:p>
      <w:pPr>
        <w:jc w:val="both"/>
        <w:ind w:left="680" w:right="279" w:hanging="305"/>
        <w:spacing w:after="0" w:line="310" w:lineRule="auto"/>
        <w:tabs>
          <w:tab w:leader="none" w:pos="680" w:val="left"/>
        </w:tabs>
        <w:numPr>
          <w:ilvl w:val="0"/>
          <w:numId w:val="19"/>
        </w:numPr>
        <w:rPr>
          <w:rFonts w:ascii="Times New Roman" w:cs="Times New Roman" w:eastAsia="Times New Roman" w:hAnsi="Times New Roman"/>
          <w:sz w:val="16"/>
          <w:szCs w:val="16"/>
          <w:color w:val="222222"/>
        </w:rPr>
      </w:pPr>
      <w:r>
        <w:rPr>
          <w:rFonts w:ascii="Times New Roman" w:cs="Times New Roman" w:eastAsia="Times New Roman" w:hAnsi="Times New Roman"/>
          <w:sz w:val="16"/>
          <w:szCs w:val="16"/>
          <w:color w:val="222222"/>
        </w:rPr>
        <w:t>Even if we obtain regulatory approvals in one jurisdiction, we may not be able to obtain approval in other jurisdictions. Additionally, we will be subject to ongoing obligations and review which may result in significant additional expenses.</w:t>
      </w:r>
    </w:p>
    <w:p>
      <w:pPr>
        <w:spacing w:after="0" w:line="133" w:lineRule="exact"/>
        <w:rPr>
          <w:rFonts w:ascii="Times New Roman" w:cs="Times New Roman" w:eastAsia="Times New Roman" w:hAnsi="Times New Roman"/>
          <w:sz w:val="16"/>
          <w:szCs w:val="16"/>
          <w:color w:val="222222"/>
        </w:rPr>
      </w:pPr>
    </w:p>
    <w:p>
      <w:pPr>
        <w:ind w:left="680" w:right="379" w:hanging="305"/>
        <w:spacing w:after="0" w:line="277" w:lineRule="auto"/>
        <w:tabs>
          <w:tab w:leader="none" w:pos="680" w:val="left"/>
        </w:tabs>
        <w:numPr>
          <w:ilvl w:val="0"/>
          <w:numId w:val="19"/>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222222"/>
        </w:rPr>
        <w:t>We have conducted and may in the future conduct clinical studies for our product candidates outside the U.S., and the FDA and applicable foreign regulatory authorities may not accept data from such studies.</w:t>
      </w:r>
    </w:p>
    <w:p>
      <w:pPr>
        <w:spacing w:after="0" w:line="157" w:lineRule="exact"/>
        <w:rPr>
          <w:rFonts w:ascii="Times New Roman" w:cs="Times New Roman" w:eastAsia="Times New Roman" w:hAnsi="Times New Roman"/>
          <w:sz w:val="17"/>
          <w:szCs w:val="17"/>
          <w:color w:val="222222"/>
        </w:rPr>
      </w:pPr>
    </w:p>
    <w:p>
      <w:pPr>
        <w:ind w:left="680" w:right="959" w:hanging="305"/>
        <w:spacing w:after="0" w:line="277" w:lineRule="auto"/>
        <w:tabs>
          <w:tab w:leader="none" w:pos="680" w:val="left"/>
        </w:tabs>
        <w:numPr>
          <w:ilvl w:val="0"/>
          <w:numId w:val="19"/>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222222"/>
        </w:rPr>
        <w:t>Enacted and future legislation may increase the difficulty and cost for us to obtain marketing approval of and commercialize our product candidates and may affect the prices we may set.</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Risks related to our common shares:</w:t>
      </w:r>
    </w:p>
    <w:p>
      <w:pPr>
        <w:spacing w:after="0" w:line="215" w:lineRule="exact"/>
        <w:rPr>
          <w:sz w:val="20"/>
          <w:szCs w:val="20"/>
          <w:color w:val="auto"/>
        </w:rPr>
      </w:pPr>
    </w:p>
    <w:p>
      <w:pPr>
        <w:ind w:left="680" w:right="219" w:hanging="305"/>
        <w:spacing w:after="0" w:line="277" w:lineRule="auto"/>
        <w:tabs>
          <w:tab w:leader="none" w:pos="680" w:val="left"/>
        </w:tabs>
        <w:numPr>
          <w:ilvl w:val="0"/>
          <w:numId w:val="20"/>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222222"/>
        </w:rPr>
        <w:t>We have limited free float in our common shares which may have a negative impact on the liquidity and market price of our common shares.</w:t>
      </w:r>
    </w:p>
    <w:p>
      <w:pPr>
        <w:spacing w:after="0" w:line="157" w:lineRule="exact"/>
        <w:rPr>
          <w:rFonts w:ascii="Times New Roman" w:cs="Times New Roman" w:eastAsia="Times New Roman" w:hAnsi="Times New Roman"/>
          <w:sz w:val="17"/>
          <w:szCs w:val="17"/>
          <w:color w:val="222222"/>
        </w:rPr>
      </w:pPr>
    </w:p>
    <w:p>
      <w:pPr>
        <w:ind w:left="680" w:right="359" w:hanging="305"/>
        <w:spacing w:after="0" w:line="277" w:lineRule="auto"/>
        <w:tabs>
          <w:tab w:leader="none" w:pos="680" w:val="left"/>
        </w:tabs>
        <w:numPr>
          <w:ilvl w:val="0"/>
          <w:numId w:val="20"/>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222222"/>
        </w:rPr>
        <w:t>Certain of our existing shareholders exercise significant control over us, and your or other shareholders’ interests may conflict with the interests of such shareholders.</w:t>
      </w:r>
    </w:p>
    <w:p>
      <w:pPr>
        <w:spacing w:after="0" w:line="157" w:lineRule="exact"/>
        <w:rPr>
          <w:rFonts w:ascii="Times New Roman" w:cs="Times New Roman" w:eastAsia="Times New Roman" w:hAnsi="Times New Roman"/>
          <w:sz w:val="17"/>
          <w:szCs w:val="17"/>
          <w:color w:val="222222"/>
        </w:rPr>
      </w:pPr>
    </w:p>
    <w:p>
      <w:pPr>
        <w:ind w:left="680" w:right="139" w:hanging="305"/>
        <w:spacing w:after="0" w:line="277" w:lineRule="auto"/>
        <w:tabs>
          <w:tab w:leader="none" w:pos="680" w:val="left"/>
        </w:tabs>
        <w:numPr>
          <w:ilvl w:val="0"/>
          <w:numId w:val="20"/>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222222"/>
        </w:rPr>
        <w:t>We are a Swiss corporation. The rights of our shareholders may be different from the rights of shareholders in companies governed by the laws of U.S. jurisdictions.</w:t>
      </w:r>
    </w:p>
    <w:p>
      <w:pPr>
        <w:spacing w:after="0" w:line="157" w:lineRule="exact"/>
        <w:rPr>
          <w:rFonts w:ascii="Times New Roman" w:cs="Times New Roman" w:eastAsia="Times New Roman" w:hAnsi="Times New Roman"/>
          <w:sz w:val="17"/>
          <w:szCs w:val="17"/>
          <w:color w:val="222222"/>
        </w:rPr>
      </w:pPr>
    </w:p>
    <w:p>
      <w:pPr>
        <w:ind w:left="680" w:right="659" w:hanging="305"/>
        <w:spacing w:after="0" w:line="310" w:lineRule="auto"/>
        <w:tabs>
          <w:tab w:leader="none" w:pos="680" w:val="left"/>
        </w:tabs>
        <w:numPr>
          <w:ilvl w:val="0"/>
          <w:numId w:val="20"/>
        </w:numPr>
        <w:rPr>
          <w:rFonts w:ascii="Times New Roman" w:cs="Times New Roman" w:eastAsia="Times New Roman" w:hAnsi="Times New Roman"/>
          <w:sz w:val="16"/>
          <w:szCs w:val="16"/>
          <w:color w:val="222222"/>
        </w:rPr>
      </w:pPr>
      <w:r>
        <w:rPr>
          <w:rFonts w:ascii="Times New Roman" w:cs="Times New Roman" w:eastAsia="Times New Roman" w:hAnsi="Times New Roman"/>
          <w:sz w:val="16"/>
          <w:szCs w:val="16"/>
          <w:color w:val="222222"/>
        </w:rPr>
        <w:t>We are an FPI and, as a result, we are not subject to U.S. proxy rules and are subject to Exchange Act reporting obligations that, to some extent, are more lenient and less frequent than those of a U.S. domestic public company.</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80" w:right="139" w:hanging="305"/>
        <w:spacing w:after="0" w:line="258" w:lineRule="auto"/>
        <w:tabs>
          <w:tab w:leader="none" w:pos="680" w:val="left"/>
        </w:tabs>
        <w:numPr>
          <w:ilvl w:val="0"/>
          <w:numId w:val="21"/>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222222"/>
        </w:rPr>
        <w:t>As an FPI, and as permitted by the listing requirements of Nasdaq, we rely on certain home country governance practices rather than the corporate governance requirements of Nasdaq. Should we lose our FPI status, we would be required to comply with the Exchange Act’s domestic reporting regime, which would cause us to incur significant legal, accounting and other expenses.</w:t>
      </w:r>
    </w:p>
    <w:p>
      <w:pPr>
        <w:spacing w:after="0" w:line="162" w:lineRule="exact"/>
        <w:rPr>
          <w:rFonts w:ascii="Times New Roman" w:cs="Times New Roman" w:eastAsia="Times New Roman" w:hAnsi="Times New Roman"/>
          <w:sz w:val="17"/>
          <w:szCs w:val="17"/>
          <w:color w:val="222222"/>
        </w:rPr>
      </w:pPr>
    </w:p>
    <w:p>
      <w:pPr>
        <w:ind w:left="680" w:right="99" w:hanging="305"/>
        <w:spacing w:after="0" w:line="256" w:lineRule="auto"/>
        <w:tabs>
          <w:tab w:leader="none" w:pos="680" w:val="left"/>
        </w:tabs>
        <w:numPr>
          <w:ilvl w:val="0"/>
          <w:numId w:val="21"/>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222222"/>
        </w:rPr>
        <w:t>We were likely a passive foreign investment company (a “PFIC”) for certain of our previous taxable years. Although we believe we were likely not a PFIC for 2025, there can be no assurance that the Internal Revenue Service will agree. We cannot express any expectation regarding our PFIC status for 2026 or future taxable years. If we are a PFIC for any taxable year during which a U.S. investor owns our common shares, the investor generally will be subject to adverse U.S. federal income tax consequences.</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Risks related to our business</w:t>
      </w:r>
    </w:p>
    <w:p>
      <w:pPr>
        <w:spacing w:after="0" w:line="211" w:lineRule="exact"/>
        <w:rPr>
          <w:sz w:val="20"/>
          <w:szCs w:val="20"/>
          <w:color w:val="auto"/>
        </w:rPr>
      </w:pPr>
    </w:p>
    <w:p>
      <w:pPr>
        <w:ind w:left="200" w:right="119"/>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We depend heavily on the success of our clinical and, to a lesser extent, preclinical products. Our clinical product candidates currently in development include our active immunotherapies (ACI-35.030, ACI-24.060 and ACI-7104.056)</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small molecule drug program ACI-19764 (NLRP3 inhibitor), and diagnostics (Tau-PET tracer PI-2620, a-syn-PET tracers ACI-12589 and ACI-15916 and TDP-43-PET tracer ACI-19626). If our clinical studies are unsuccessful, if we or our collaboration partners do not obtain regulatory approval or if we or our collaboration partners are unable to commercialize our active immunotherapies (ACI-35.030, ACI-24.060 and ACI-7104.056) and diagnostics (Tau-PET tracer PI-2620, a-syn-PET tracers ACI-12589 and ACI-15916 and TDP-43-PET tracer ACI-19626), or if we experience significant delays in doing so, our business, financial condition and results of operations will be materially adversely affected.</w:t>
      </w:r>
    </w:p>
    <w:p>
      <w:pPr>
        <w:spacing w:after="0" w:line="183" w:lineRule="exact"/>
        <w:rPr>
          <w:sz w:val="20"/>
          <w:szCs w:val="20"/>
          <w:color w:val="auto"/>
        </w:rPr>
      </w:pPr>
    </w:p>
    <w:p>
      <w:pPr>
        <w:ind w:left="40" w:right="59" w:firstLine="305"/>
        <w:spacing w:after="0" w:line="250" w:lineRule="auto"/>
        <w:rPr>
          <w:sz w:val="20"/>
          <w:szCs w:val="20"/>
          <w:color w:val="auto"/>
        </w:rPr>
      </w:pPr>
      <w:r>
        <w:rPr>
          <w:rFonts w:ascii="Times New Roman" w:cs="Times New Roman" w:eastAsia="Times New Roman" w:hAnsi="Times New Roman"/>
          <w:sz w:val="17"/>
          <w:szCs w:val="17"/>
          <w:color w:val="auto"/>
        </w:rPr>
        <w:t>We currently have no products approved for sale and have invested, and will continue to invest, a significant portion of our efforts and financial resources in the development of our active immunotherapies (ACI-35.030, ACI-24.060 and ACI-7104.056) and, following the restructuring announced in September 2025, certain small molecule drug programs including ACI-19764 (NLRP3 inhibitor), Morphomer Tau, and Morphomer-a-syn. Our ability to generate product revenues, which we do not expect will occur for at least the next several years, if ever, will depend heavily on successful clinical development, obtaining regulatory approval and eventual commercialization of these product candidates. In this regard, we rely heavily on our collaboration partners for clinical development of certain of our product candidates, and they may choose to discontinue the clinical development process in certain cases. In addition, we currently generate no revenues from sales of any drugs or diagnostics, and we may never be able to develop or commercialize a marketable drug or diagnostic. The success of our current and future product candidates will depend on several factors, including, but not limited to, the following:</w:t>
      </w:r>
    </w:p>
    <w:p>
      <w:pPr>
        <w:spacing w:after="0" w:line="185" w:lineRule="exact"/>
        <w:rPr>
          <w:sz w:val="20"/>
          <w:szCs w:val="20"/>
          <w:color w:val="auto"/>
        </w:rPr>
      </w:pPr>
    </w:p>
    <w:p>
      <w:pPr>
        <w:ind w:left="680" w:right="239" w:hanging="305"/>
        <w:spacing w:after="0" w:line="277" w:lineRule="auto"/>
        <w:tabs>
          <w:tab w:leader="none" w:pos="6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completing preclinical and clinical studies that demonstrate the efficacy, safety and clinical utility of our preclinical and clinical product candidates;</w:t>
      </w:r>
    </w:p>
    <w:p>
      <w:pPr>
        <w:spacing w:after="0" w:line="157" w:lineRule="exact"/>
        <w:rPr>
          <w:rFonts w:ascii="Times New Roman" w:cs="Times New Roman" w:eastAsia="Times New Roman" w:hAnsi="Times New Roman"/>
          <w:sz w:val="17"/>
          <w:szCs w:val="17"/>
          <w:color w:val="auto"/>
        </w:rPr>
      </w:pPr>
    </w:p>
    <w:p>
      <w:pPr>
        <w:ind w:left="680" w:right="99" w:hanging="305"/>
        <w:spacing w:after="0" w:line="277" w:lineRule="auto"/>
        <w:tabs>
          <w:tab w:leader="none" w:pos="6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receiving marketing approvals from applicable regulatory authorities; establishing commercial manufacturing capabilities and launching commercial sales, marketing and distribution operations;</w:t>
      </w:r>
    </w:p>
    <w:p>
      <w:pPr>
        <w:spacing w:after="0" w:line="157" w:lineRule="exact"/>
        <w:rPr>
          <w:rFonts w:ascii="Times New Roman" w:cs="Times New Roman" w:eastAsia="Times New Roman" w:hAnsi="Times New Roman"/>
          <w:sz w:val="17"/>
          <w:szCs w:val="17"/>
          <w:color w:val="auto"/>
        </w:rPr>
      </w:pPr>
    </w:p>
    <w:p>
      <w:pPr>
        <w:ind w:left="680" w:right="719" w:hanging="305"/>
        <w:spacing w:after="0" w:line="277" w:lineRule="auto"/>
        <w:tabs>
          <w:tab w:leader="none" w:pos="6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acceptance of our product candidates by patients, the medical community and third-party payors and a continued acceptable safety profile following approval;</w:t>
      </w:r>
    </w:p>
    <w:p>
      <w:pPr>
        <w:spacing w:after="0" w:line="157"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competing effectively with other therapies or diagnostic approaches; and</w:t>
      </w:r>
    </w:p>
    <w:p>
      <w:pPr>
        <w:spacing w:after="0" w:line="210" w:lineRule="exact"/>
        <w:rPr>
          <w:rFonts w:ascii="Times New Roman" w:cs="Times New Roman" w:eastAsia="Times New Roman" w:hAnsi="Times New Roman"/>
          <w:sz w:val="17"/>
          <w:szCs w:val="17"/>
          <w:color w:val="auto"/>
        </w:rPr>
      </w:pPr>
    </w:p>
    <w:p>
      <w:pPr>
        <w:ind w:left="680" w:right="359" w:hanging="305"/>
        <w:spacing w:after="0" w:line="277" w:lineRule="auto"/>
        <w:tabs>
          <w:tab w:leader="none" w:pos="6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maintaining, enforcing and defending our intellectual property rights and claims and not infringing on third parties’ intellectual property rights.</w:t>
      </w:r>
    </w:p>
    <w:p>
      <w:pPr>
        <w:spacing w:after="0" w:line="158" w:lineRule="exact"/>
        <w:rPr>
          <w:sz w:val="20"/>
          <w:szCs w:val="20"/>
          <w:color w:val="auto"/>
        </w:rPr>
      </w:pPr>
    </w:p>
    <w:p>
      <w:pPr>
        <w:ind w:left="40" w:right="239" w:firstLine="305"/>
        <w:spacing w:after="0" w:line="263" w:lineRule="auto"/>
        <w:rPr>
          <w:sz w:val="20"/>
          <w:szCs w:val="20"/>
          <w:color w:val="auto"/>
        </w:rPr>
      </w:pPr>
      <w:r>
        <w:rPr>
          <w:rFonts w:ascii="Times New Roman" w:cs="Times New Roman" w:eastAsia="Times New Roman" w:hAnsi="Times New Roman"/>
          <w:sz w:val="17"/>
          <w:szCs w:val="17"/>
          <w:color w:val="auto"/>
        </w:rPr>
        <w:t>If we or our collaboration partners do not achieve one or more of these factors in a timely manner or at all, we could experience significant delays or an inability to successfully commercialize our current or future product candidates, which would materially adversely affect our business, financial condition and results of operations.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Results of early clinical studies may not be predictive of future study results.</w:t>
      </w:r>
    </w:p>
    <w:p>
      <w:pPr>
        <w:spacing w:after="0" w:line="215" w:lineRule="exact"/>
        <w:rPr>
          <w:sz w:val="20"/>
          <w:szCs w:val="20"/>
          <w:color w:val="auto"/>
        </w:rPr>
      </w:pPr>
    </w:p>
    <w:p>
      <w:pPr>
        <w:ind w:left="40" w:right="79" w:firstLine="305"/>
        <w:spacing w:after="0" w:line="250" w:lineRule="auto"/>
        <w:rPr>
          <w:sz w:val="20"/>
          <w:szCs w:val="20"/>
          <w:color w:val="auto"/>
        </w:rPr>
      </w:pPr>
      <w:r>
        <w:rPr>
          <w:rFonts w:ascii="Times New Roman" w:cs="Times New Roman" w:eastAsia="Times New Roman" w:hAnsi="Times New Roman"/>
          <w:sz w:val="17"/>
          <w:szCs w:val="17"/>
          <w:color w:val="auto"/>
        </w:rPr>
        <w:t>Positive or timely results from preclinical or early-stage clinical studies do not ensure positive or timely results in mid-to late-stage clinical studies or product approval by the U.S. FDA, the European Medicines Agency (EMA), or comparable foreign regulatory authorities. Products that show positive preclinical or early clinical results may not show sufficient safety or efficacy in later-stage clinical studies and therefore may fail to obtain regulatory approvals. In addition, preclinical and clinical data are often susceptible to varying interpretations and analyses. Many companies that believed their product candidates performed satisfactorily in preclinical and clinical studies have nonetheless failed to obtain marketing approval for the product candidates. The FDA, the EMA and comparable foreign regulatory authorities have substantial discretion in the approval process and in determining when or whether regulatory approval will be obtained for any of our product candidates. Even if we believe that the data collected from clinical studies of our product candidates are promising, such data may not be sufficient to support approval by the FDA, the EMA or any other regulatory authority.</w:t>
      </w:r>
    </w:p>
    <w:p>
      <w:pPr>
        <w:spacing w:after="0" w:line="185" w:lineRule="exact"/>
        <w:rPr>
          <w:sz w:val="20"/>
          <w:szCs w:val="20"/>
          <w:color w:val="auto"/>
        </w:rPr>
      </w:pPr>
    </w:p>
    <w:p>
      <w:pPr>
        <w:ind w:left="40" w:right="119" w:firstLine="305"/>
        <w:spacing w:after="0" w:line="252" w:lineRule="auto"/>
        <w:rPr>
          <w:sz w:val="20"/>
          <w:szCs w:val="20"/>
          <w:color w:val="auto"/>
        </w:rPr>
      </w:pPr>
      <w:r>
        <w:rPr>
          <w:rFonts w:ascii="Times New Roman" w:cs="Times New Roman" w:eastAsia="Times New Roman" w:hAnsi="Times New Roman"/>
          <w:sz w:val="17"/>
          <w:szCs w:val="17"/>
          <w:color w:val="auto"/>
        </w:rPr>
        <w:t>In some instances, there can be significant variability in safety and/or efficacy results between different studies of the same product candidate due to numerous factors, including changes in study procedures set forth in protocols, differences in the size and type of the patient populations, adherence to the dosing regimen and other study protocols, and the rate of dropout among clinical study participants. In the case of our later-stage clinical product candidates, results may differ in general on the basis of the larger number of clinical study sites and the additional countries and languages involved in these clinical studies.</w:t>
      </w:r>
    </w:p>
    <w:p>
      <w:pPr>
        <w:spacing w:after="0" w:line="179" w:lineRule="exact"/>
        <w:rPr>
          <w:sz w:val="20"/>
          <w:szCs w:val="20"/>
          <w:color w:val="auto"/>
        </w:rPr>
      </w:pPr>
    </w:p>
    <w:p>
      <w:pPr>
        <w:ind w:left="40" w:right="159" w:firstLine="305"/>
        <w:spacing w:after="0" w:line="276" w:lineRule="auto"/>
        <w:rPr>
          <w:sz w:val="20"/>
          <w:szCs w:val="20"/>
          <w:color w:val="auto"/>
        </w:rPr>
      </w:pPr>
      <w:r>
        <w:rPr>
          <w:rFonts w:ascii="Times New Roman" w:cs="Times New Roman" w:eastAsia="Times New Roman" w:hAnsi="Times New Roman"/>
          <w:sz w:val="16"/>
          <w:szCs w:val="16"/>
          <w:color w:val="auto"/>
        </w:rPr>
        <w:t>Clinical studies may include subject-reported outcomes, some of which may be captured with electronic diaries. We have no assurance and cannot rely on past experience that the high frequency of questioning is not influencing the measured outcome. In addition, low compliance with daily reporting requirements may impact the studies’ validity or statistical power. We cannot assure you that any Phase 2, Phase 3 or other clinical studies that either we or our collaboration partners are conducting and may conduct will demonstrate consistent or adequate efficacy and safety to obtain regulatory approval to market our product candidates.</w:t>
      </w:r>
    </w:p>
    <w:p>
      <w:pPr>
        <w:spacing w:after="0" w:line="160" w:lineRule="exact"/>
        <w:rPr>
          <w:sz w:val="20"/>
          <w:szCs w:val="20"/>
          <w:color w:val="auto"/>
        </w:rPr>
      </w:pPr>
    </w:p>
    <w:p>
      <w:pPr>
        <w:ind w:left="40" w:right="119" w:firstLine="305"/>
        <w:spacing w:after="0" w:line="252" w:lineRule="auto"/>
        <w:rPr>
          <w:sz w:val="20"/>
          <w:szCs w:val="20"/>
          <w:color w:val="auto"/>
        </w:rPr>
      </w:pPr>
      <w:r>
        <w:rPr>
          <w:rFonts w:ascii="Times New Roman" w:cs="Times New Roman" w:eastAsia="Times New Roman" w:hAnsi="Times New Roman"/>
          <w:sz w:val="17"/>
          <w:szCs w:val="17"/>
          <w:color w:val="auto"/>
        </w:rPr>
        <w:t>If we or our collaboration partners are required to conduct additional clinical studies or other testing of any of our current or future product candidates that we or our collaboration partners develop, beyond the studies and testing that we or our collaboration partners contemplate, if we or our collaboration partners are unable to successfully complete clinical studies of our product candidates or other testing, if the results of these studies or tests are unfavorable or are only modestly favorable, or if there are safety concerns associated with our current or future product candidates, we may:</w:t>
      </w:r>
    </w:p>
    <w:p>
      <w:pPr>
        <w:spacing w:after="0" w:line="179" w:lineRule="exact"/>
        <w:rPr>
          <w:sz w:val="20"/>
          <w:szCs w:val="20"/>
          <w:color w:val="auto"/>
        </w:rPr>
      </w:pPr>
    </w:p>
    <w:p>
      <w:pPr>
        <w:ind w:left="680" w:hanging="305"/>
        <w:spacing w:after="0"/>
        <w:tabs>
          <w:tab w:leader="none" w:pos="6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delayed in obtaining marketing approval for our product candidates;</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obtain marketing approval;</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approval for indications or patient populations that are not as broad as intended or desired;</w:t>
      </w:r>
    </w:p>
    <w:p>
      <w:pPr>
        <w:spacing w:after="0" w:line="210" w:lineRule="exact"/>
        <w:rPr>
          <w:rFonts w:ascii="Times New Roman" w:cs="Times New Roman" w:eastAsia="Times New Roman" w:hAnsi="Times New Roman"/>
          <w:sz w:val="17"/>
          <w:szCs w:val="17"/>
          <w:color w:val="auto"/>
        </w:rPr>
      </w:pPr>
    </w:p>
    <w:p>
      <w:pPr>
        <w:ind w:left="680" w:right="539" w:hanging="305"/>
        <w:spacing w:after="0" w:line="277" w:lineRule="auto"/>
        <w:tabs>
          <w:tab w:leader="none" w:pos="6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approval with labeling that includes significant use or distribution restrictions or significant safety warnings, including boxed warnings;</w:t>
      </w:r>
    </w:p>
    <w:p>
      <w:pPr>
        <w:spacing w:after="0" w:line="157"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subject to conditional approval or otherwise to additional post-marketing studies or other requirements; or</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remove the product from the market after obtaining marketing approval.</w:t>
      </w:r>
    </w:p>
    <w:p>
      <w:pPr>
        <w:spacing w:after="0" w:line="211" w:lineRule="exact"/>
        <w:rPr>
          <w:sz w:val="20"/>
          <w:szCs w:val="20"/>
          <w:color w:val="auto"/>
        </w:rPr>
      </w:pPr>
    </w:p>
    <w:p>
      <w:pPr>
        <w:ind w:left="40" w:right="119" w:firstLine="305"/>
        <w:spacing w:after="0" w:line="251" w:lineRule="auto"/>
        <w:rPr>
          <w:sz w:val="20"/>
          <w:szCs w:val="20"/>
          <w:color w:val="auto"/>
        </w:rPr>
      </w:pPr>
      <w:r>
        <w:rPr>
          <w:rFonts w:ascii="Times New Roman" w:cs="Times New Roman" w:eastAsia="Times New Roman" w:hAnsi="Times New Roman"/>
          <w:sz w:val="17"/>
          <w:szCs w:val="17"/>
          <w:color w:val="auto"/>
        </w:rPr>
        <w:t>Our product development costs will also increase if we experience delays in testing or receiving marketing approvals and we may be required to obtain additional funds to complete clinical studies. We cannot assure you that our clinical studies will begin as planned or be completed on schedule, if at all, or that we will not need to amend our studies after they have begun. Significant clinical study delays could also shorten any periods during which we or our collaboration partners may have the exclusive right to commercialize our product candidates, or allow our competitors to bring products to market before we do, which may harm our business and results of operations. In addition, some of the</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779"/>
        <w:spacing w:after="0" w:line="277" w:lineRule="auto"/>
        <w:rPr>
          <w:sz w:val="20"/>
          <w:szCs w:val="20"/>
          <w:color w:val="auto"/>
        </w:rPr>
      </w:pPr>
      <w:r>
        <w:rPr>
          <w:rFonts w:ascii="Times New Roman" w:cs="Times New Roman" w:eastAsia="Times New Roman" w:hAnsi="Times New Roman"/>
          <w:sz w:val="17"/>
          <w:szCs w:val="17"/>
          <w:color w:val="auto"/>
        </w:rPr>
        <w:t>factors that cause, or lead to, clinical study delays may ultimately lead to the denial of regulatory approval of our product candidates.</w:t>
      </w:r>
    </w:p>
    <w:p>
      <w:pPr>
        <w:spacing w:after="0" w:line="154" w:lineRule="exact"/>
        <w:rPr>
          <w:sz w:val="20"/>
          <w:szCs w:val="20"/>
          <w:color w:val="auto"/>
        </w:rPr>
      </w:pPr>
    </w:p>
    <w:p>
      <w:pPr>
        <w:ind w:left="340" w:right="539"/>
        <w:spacing w:after="0" w:line="315" w:lineRule="auto"/>
        <w:rPr>
          <w:sz w:val="20"/>
          <w:szCs w:val="20"/>
          <w:color w:val="auto"/>
        </w:rPr>
      </w:pPr>
      <w:r>
        <w:rPr>
          <w:rFonts w:ascii="Times New Roman" w:cs="Times New Roman" w:eastAsia="Times New Roman" w:hAnsi="Times New Roman"/>
          <w:sz w:val="16"/>
          <w:szCs w:val="16"/>
          <w:b w:val="1"/>
          <w:bCs w:val="1"/>
          <w:i w:val="1"/>
          <w:iCs w:val="1"/>
          <w:color w:val="auto"/>
        </w:rPr>
        <w:t>We may undertake one or more significant corporate transactions that may not achieve their intended results, may adversely affect our financial condition and our results of operations or result in unforeseeable risks to our business.</w:t>
      </w:r>
    </w:p>
    <w:p>
      <w:pPr>
        <w:spacing w:after="0" w:line="130" w:lineRule="exact"/>
        <w:rPr>
          <w:sz w:val="20"/>
          <w:szCs w:val="20"/>
          <w:color w:val="auto"/>
        </w:rPr>
      </w:pPr>
    </w:p>
    <w:p>
      <w:pPr>
        <w:ind w:left="40" w:right="59" w:firstLine="305"/>
        <w:spacing w:after="0" w:line="251" w:lineRule="auto"/>
        <w:rPr>
          <w:sz w:val="20"/>
          <w:szCs w:val="20"/>
          <w:color w:val="auto"/>
        </w:rPr>
      </w:pPr>
      <w:r>
        <w:rPr>
          <w:rFonts w:ascii="Times New Roman" w:cs="Times New Roman" w:eastAsia="Times New Roman" w:hAnsi="Times New Roman"/>
          <w:sz w:val="17"/>
          <w:szCs w:val="17"/>
          <w:color w:val="auto"/>
        </w:rPr>
        <w:t>We continuously evaluate the acquisition or disposition of operating businesses and assets and may in the future undertake one or more significant transactions, such as our purchase in 2021 of Affiris AG’s (Affiris) program portfolio of therapeutics targeting a-syn, notably the predecessor of our ACI-7104.056, a clinically-validated active immunotherapy candidate for the treatment of Parkinson’s disease (PD). Any such transaction could be material to our business and could take any number of forms, including mergers, joint ventures and the purchase of equity interests, amongst others. The consideration for such acquisitive transactions may include, among other things, cash, common shares or equity interests in us or our subsidiary, or a contribution of equipment to obtain equity interests, and in conjunction with a transaction we might incur additional indebtedness. We also routinely evaluate the benefits of disposing of certain of our assets.</w:t>
      </w:r>
    </w:p>
    <w:p>
      <w:pPr>
        <w:spacing w:after="0" w:line="179" w:lineRule="exact"/>
        <w:rPr>
          <w:sz w:val="20"/>
          <w:szCs w:val="20"/>
          <w:color w:val="auto"/>
        </w:rPr>
      </w:pPr>
    </w:p>
    <w:p>
      <w:pPr>
        <w:ind w:left="40" w:right="59" w:firstLine="305"/>
        <w:spacing w:after="0" w:line="250" w:lineRule="auto"/>
        <w:rPr>
          <w:sz w:val="20"/>
          <w:szCs w:val="20"/>
          <w:color w:val="auto"/>
        </w:rPr>
      </w:pPr>
      <w:r>
        <w:rPr>
          <w:rFonts w:ascii="Times New Roman" w:cs="Times New Roman" w:eastAsia="Times New Roman" w:hAnsi="Times New Roman"/>
          <w:sz w:val="17"/>
          <w:szCs w:val="17"/>
          <w:color w:val="auto"/>
        </w:rPr>
        <w:t>These transactions may present significant risks such as insufficient revenue to offset liabilities assumed, potential loss of significant revenue and income streams, increased or unexpected expenses, inadequate return of capital, regulatory or compliance issues, the triggering of certain covenants in our debt agreements (including accelerated repayment) and unidentified issues not discovered in due diligence. In addition, such transactions could distract management from current operations. As a result of the risks inherent in such transactions, we cannot guarantee that any such transaction will ultimately result in the realization of its anticipated benefits or that it will not have a material adverse effect on our business, financial condition and results of operations. If we were to complete such an acquisition, disposition, investment or other strategic transaction, we may require additional debt or equity financing that could result in a significant increase in our amount of debt and our debt service obligations or the number of outstanding common shares, thereby diluting holders of our common shares outstanding prior to such acquisition.</w:t>
      </w:r>
    </w:p>
    <w:p>
      <w:pPr>
        <w:spacing w:after="0" w:line="181" w:lineRule="exact"/>
        <w:rPr>
          <w:sz w:val="20"/>
          <w:szCs w:val="20"/>
          <w:color w:val="auto"/>
        </w:rPr>
      </w:pPr>
    </w:p>
    <w:p>
      <w:pPr>
        <w:ind w:left="340" w:right="7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Additional competitors could enter the market with generic versions of our products, which may result in a material decline in sales of affected products.</w:t>
      </w:r>
    </w:p>
    <w:p>
      <w:pPr>
        <w:spacing w:after="0" w:line="166" w:lineRule="exact"/>
        <w:rPr>
          <w:sz w:val="20"/>
          <w:szCs w:val="20"/>
          <w:color w:val="auto"/>
        </w:rPr>
      </w:pPr>
    </w:p>
    <w:p>
      <w:pPr>
        <w:ind w:left="40" w:right="139" w:firstLine="305"/>
        <w:spacing w:after="0" w:line="271" w:lineRule="auto"/>
        <w:rPr>
          <w:sz w:val="20"/>
          <w:szCs w:val="20"/>
          <w:color w:val="auto"/>
        </w:rPr>
      </w:pPr>
      <w:r>
        <w:rPr>
          <w:rFonts w:ascii="Times New Roman" w:cs="Times New Roman" w:eastAsia="Times New Roman" w:hAnsi="Times New Roman"/>
          <w:sz w:val="16"/>
          <w:szCs w:val="16"/>
          <w:color w:val="auto"/>
        </w:rPr>
        <w:t>Under the Drug Price Competition and Patent Term Restoration Act of 1984, or the Hatch-Waxman Act, a pharmaceutical manufacturer may file an abbreviated new drug application (ANDA), seeking approval of a generic copy of an approved innovator product. Under the Hatch-Waxman Act, a manufacturer may also submit a new drug application (NDA) under Section 505(b)</w:t>
      </w:r>
    </w:p>
    <w:p>
      <w:pPr>
        <w:spacing w:after="0" w:line="2" w:lineRule="exact"/>
        <w:rPr>
          <w:sz w:val="20"/>
          <w:szCs w:val="20"/>
          <w:color w:val="auto"/>
        </w:rPr>
      </w:pPr>
    </w:p>
    <w:p>
      <w:pPr>
        <w:ind w:left="40" w:right="139" w:firstLine="5"/>
        <w:spacing w:after="0" w:line="261" w:lineRule="auto"/>
        <w:tabs>
          <w:tab w:leader="none" w:pos="2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references the FDA’s prior approval of the innovator product. A 505(b)(2) NDA product may be submitted for a new or improved version of the original innovator product. Hatch-Waxman also provides for certain periods of regulatory exclusivity, which preclude FDA approval (or in some circumstances, FDA filing and reviewing) of an ANDA or 505(b)(2) NDA. These include, subject to certain exceptions, the period during which an FDA-approved drug is subject to orphan-drug exclusivity.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a generic or 505(b)(2) applicant that seeks to market its product before expiration of the patents must include in the ANDA what is known as a “Paragraph IV certification,” challenging the validity or enforceability of, or claiming non-infringement of, the listed patent or patents. Notice of the certification must also be given to the innovator, and if within 45 days of receiving notice the innovator, in order to protect its patents, sues the company that manufactures the generic, approval of the ANDA is stayed for</w:t>
      </w:r>
    </w:p>
    <w:p>
      <w:pPr>
        <w:spacing w:after="0" w:line="7" w:lineRule="exact"/>
        <w:rPr>
          <w:rFonts w:ascii="Times New Roman" w:cs="Times New Roman" w:eastAsia="Times New Roman" w:hAnsi="Times New Roman"/>
          <w:sz w:val="16"/>
          <w:szCs w:val="16"/>
          <w:color w:val="auto"/>
        </w:rPr>
      </w:pPr>
    </w:p>
    <w:p>
      <w:pPr>
        <w:ind w:left="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30 months, or as lengthened or shortened by the court.</w:t>
      </w:r>
    </w:p>
    <w:p>
      <w:pPr>
        <w:spacing w:after="0" w:line="195" w:lineRule="exact"/>
        <w:rPr>
          <w:sz w:val="20"/>
          <w:szCs w:val="20"/>
          <w:color w:val="auto"/>
        </w:rPr>
      </w:pPr>
    </w:p>
    <w:p>
      <w:pPr>
        <w:ind w:left="40" w:right="119" w:firstLine="305"/>
        <w:spacing w:after="0" w:line="251" w:lineRule="auto"/>
        <w:rPr>
          <w:sz w:val="20"/>
          <w:szCs w:val="20"/>
          <w:color w:val="auto"/>
        </w:rPr>
      </w:pPr>
      <w:r>
        <w:rPr>
          <w:rFonts w:ascii="Times New Roman" w:cs="Times New Roman" w:eastAsia="Times New Roman" w:hAnsi="Times New Roman"/>
          <w:sz w:val="17"/>
          <w:szCs w:val="17"/>
          <w:color w:val="auto"/>
        </w:rPr>
        <w:t>Accordingly, if our active immunotherapies (ACI-35.030, ACI-24.060 and ACI-7104.056), our small molecule drugs (ACI-19764 NLRP3 inhibitor, Morphomer-Tau, and Morphomer-a-syn), and diagnostics including our Tau-PET tracer PI-2620 are approved, competitors could file ANDAs for generic versions of our respective product candidates. If there are patents listed in the Orange Book for our active immunotherapies (ACI-35.030, ACI-24.060 and ACI-7104.056), our small molecule drugs (ACI-19764 NLRP3 inhibitor, Morphomer-Tau, and Morphomer-a-syn), and diagnostics (Tau-PET tracer PI-2620, a-syn-PET tracers ACI-12589 and ACI-15916 and TDP-43-PET tracer ACI-</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379"/>
        <w:spacing w:after="0" w:line="258" w:lineRule="auto"/>
        <w:rPr>
          <w:sz w:val="20"/>
          <w:szCs w:val="20"/>
          <w:color w:val="auto"/>
        </w:rPr>
      </w:pPr>
      <w:r>
        <w:rPr>
          <w:rFonts w:ascii="Times New Roman" w:cs="Times New Roman" w:eastAsia="Times New Roman" w:hAnsi="Times New Roman"/>
          <w:sz w:val="17"/>
          <w:szCs w:val="17"/>
          <w:color w:val="auto"/>
        </w:rPr>
        <w:t>19626), respectively, those ANDAs and 505(b)(2) NDAs would be required to include a certification for each listed patent, indicating whether the ANDA applicant does or does not intend to challenge the patent. We cannot predict whether any patents issuing from our pending patent applications will be eligible for listing in the Orange Book, how any generic competitor would address such patents, whether we would sue on any such patents or the outcome of any such suit.</w:t>
      </w:r>
    </w:p>
    <w:p>
      <w:pPr>
        <w:spacing w:after="0" w:line="175" w:lineRule="exact"/>
        <w:rPr>
          <w:sz w:val="20"/>
          <w:szCs w:val="20"/>
          <w:color w:val="auto"/>
        </w:rPr>
      </w:pPr>
    </w:p>
    <w:p>
      <w:pPr>
        <w:ind w:left="40" w:right="219" w:firstLine="305"/>
        <w:spacing w:after="0" w:line="252" w:lineRule="auto"/>
        <w:rPr>
          <w:sz w:val="20"/>
          <w:szCs w:val="20"/>
          <w:color w:val="auto"/>
        </w:rPr>
      </w:pPr>
      <w:r>
        <w:rPr>
          <w:rFonts w:ascii="Times New Roman" w:cs="Times New Roman" w:eastAsia="Times New Roman" w:hAnsi="Times New Roman"/>
          <w:sz w:val="17"/>
          <w:szCs w:val="17"/>
          <w:color w:val="auto"/>
        </w:rPr>
        <w:t>We may not be successful in securing or maintaining patent protection for products and technologies we develop or license. Moreover, if any patents that are granted and listed in the Orange Book are successfully challenged by way of a Paragraph IV certification and subsequent litigation, the affected product could immediately face generic competition and its sales would likely decline rapidly and materially. Should sales decline, we may have to write off a portion or all of the intangible assets associated with the affected product, and our results of operations and cash flows could be materially and adversely affected.</w:t>
      </w:r>
    </w:p>
    <w:p>
      <w:pPr>
        <w:spacing w:after="0" w:line="175" w:lineRule="exact"/>
        <w:rPr>
          <w:sz w:val="20"/>
          <w:szCs w:val="20"/>
          <w:color w:val="auto"/>
        </w:rPr>
      </w:pPr>
    </w:p>
    <w:p>
      <w:pPr>
        <w:ind w:left="340" w:right="559"/>
        <w:spacing w:after="0" w:line="315" w:lineRule="auto"/>
        <w:rPr>
          <w:sz w:val="20"/>
          <w:szCs w:val="20"/>
          <w:color w:val="auto"/>
        </w:rPr>
      </w:pPr>
      <w:r>
        <w:rPr>
          <w:rFonts w:ascii="Times New Roman" w:cs="Times New Roman" w:eastAsia="Times New Roman" w:hAnsi="Times New Roman"/>
          <w:sz w:val="16"/>
          <w:szCs w:val="16"/>
          <w:b w:val="1"/>
          <w:bCs w:val="1"/>
          <w:i w:val="1"/>
          <w:iCs w:val="1"/>
          <w:color w:val="auto"/>
        </w:rPr>
        <w:t>The successful commercialization of our product candidates will depend in part on the extent to which governmental authorities and health insurers establish adequate coverage and reimbursement levels and pricing policies.</w:t>
      </w:r>
    </w:p>
    <w:p>
      <w:pPr>
        <w:spacing w:after="0" w:line="130" w:lineRule="exact"/>
        <w:rPr>
          <w:sz w:val="20"/>
          <w:szCs w:val="20"/>
          <w:color w:val="auto"/>
        </w:rPr>
      </w:pPr>
    </w:p>
    <w:p>
      <w:pPr>
        <w:ind w:left="40" w:right="199" w:firstLine="305"/>
        <w:spacing w:after="0" w:line="249" w:lineRule="auto"/>
        <w:rPr>
          <w:sz w:val="20"/>
          <w:szCs w:val="20"/>
          <w:color w:val="auto"/>
        </w:rPr>
      </w:pPr>
      <w:r>
        <w:rPr>
          <w:rFonts w:ascii="Times New Roman" w:cs="Times New Roman" w:eastAsia="Times New Roman" w:hAnsi="Times New Roman"/>
          <w:sz w:val="17"/>
          <w:szCs w:val="17"/>
          <w:color w:val="auto"/>
        </w:rPr>
        <w:t>The successful commercialization of our product candidates will depend, in part, on the extent to which coverage and reimbursement for our products will be available from government and health administration authorities, private health insurers and other third-party payors. To manage healthcare costs, many governments and third-party payors increasingly scrutinize the pricing of new technologies and require greater levels of evidence of favorable clinical outcomes and cost-effectiveness before extending coverage. For example, the Inflation Reduction Act (IRA) of 2022, among other things, incentivizes the renegotiation with the U.S. government of the prices of certain pharmaceutical drugs and imposes penalties for Medicare drugs that increase in price faster than the rate of inflation. See “—Enacted and future legislation may increase the difficulty and cost for us to obtain marketing approval of and commercialize our product candidates and may affect the prices we may set” below. In light of such challenges to prices and the requirement for increasing levels of evidence of the benefits and clinical outcomes of new technologies, we cannot be sure that coverage will be available for any of our current or future product candidates that we or our collaboration partners will commercialize or, if available, that the reimbursement rates will be adequate in each respective region. If we are unable to obtain adequate levels of coverage and reimbursement for our product candidates, their marketability will be negatively and materially impacted.</w:t>
      </w:r>
    </w:p>
    <w:p>
      <w:pPr>
        <w:spacing w:after="0" w:line="181" w:lineRule="exact"/>
        <w:rPr>
          <w:sz w:val="20"/>
          <w:szCs w:val="20"/>
          <w:color w:val="auto"/>
        </w:rPr>
      </w:pPr>
    </w:p>
    <w:p>
      <w:pPr>
        <w:ind w:left="40" w:right="79" w:firstLine="305"/>
        <w:spacing w:after="0" w:line="251" w:lineRule="auto"/>
        <w:rPr>
          <w:sz w:val="20"/>
          <w:szCs w:val="20"/>
          <w:color w:val="auto"/>
        </w:rPr>
      </w:pPr>
      <w:r>
        <w:rPr>
          <w:rFonts w:ascii="Times New Roman" w:cs="Times New Roman" w:eastAsia="Times New Roman" w:hAnsi="Times New Roman"/>
          <w:sz w:val="17"/>
          <w:szCs w:val="17"/>
          <w:color w:val="auto"/>
        </w:rPr>
        <w:t>Third-party payors may deny coverage and reimbursement status altogether for a given drug product, or may cover the product but also establish prices at levels that are too low to enable us to realize an appropriate return on our investment in product development. Because the rules and regulations regarding coverage and reimbursement change frequently, in some cases at short notice, even when there is favorable coverage and reimbursement, future changes may occur that adversely impact the favorable status. Further, the net reimbursement for drug products may be subject to additional reductions in the future depending on policy changes enacted by the U.S. Congress.</w:t>
      </w:r>
    </w:p>
    <w:p>
      <w:pPr>
        <w:spacing w:after="0" w:line="182" w:lineRule="exact"/>
        <w:rPr>
          <w:sz w:val="20"/>
          <w:szCs w:val="20"/>
          <w:color w:val="auto"/>
        </w:rPr>
      </w:pPr>
    </w:p>
    <w:p>
      <w:pPr>
        <w:ind w:left="40" w:right="59" w:firstLine="305"/>
        <w:spacing w:after="0" w:line="280" w:lineRule="auto"/>
        <w:rPr>
          <w:sz w:val="20"/>
          <w:szCs w:val="20"/>
          <w:color w:val="auto"/>
        </w:rPr>
      </w:pPr>
      <w:r>
        <w:rPr>
          <w:rFonts w:ascii="Times New Roman" w:cs="Times New Roman" w:eastAsia="Times New Roman" w:hAnsi="Times New Roman"/>
          <w:sz w:val="16"/>
          <w:szCs w:val="16"/>
          <w:color w:val="auto"/>
        </w:rPr>
        <w:t>The unavailability or inadequacy and variability of third-party coverage and reimbursement could have a material adverse effect on the market acceptance of our product candidates and the future revenues we may expect to receive from those products. In addition, we are unable to predict what additional legislation or regulation relating to the healthcare industry or third-party coverage and reimbursement may be enacted in the future, or what effect such legislation or regulation would have on our business.</w:t>
      </w:r>
    </w:p>
    <w:p>
      <w:pPr>
        <w:spacing w:after="0" w:line="153" w:lineRule="exact"/>
        <w:rPr>
          <w:sz w:val="20"/>
          <w:szCs w:val="20"/>
          <w:color w:val="auto"/>
        </w:rPr>
      </w:pPr>
    </w:p>
    <w:p>
      <w:pPr>
        <w:ind w:left="340" w:right="17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A Fast Track designation by the FDA may not lead to faster development or a faster regulatory review or approval process and does not increase the likelihood that our product candidates will receive regulatory approval.</w:t>
      </w:r>
    </w:p>
    <w:p>
      <w:pPr>
        <w:spacing w:after="0" w:line="141" w:lineRule="exact"/>
        <w:rPr>
          <w:sz w:val="20"/>
          <w:szCs w:val="20"/>
          <w:color w:val="auto"/>
        </w:rPr>
      </w:pPr>
    </w:p>
    <w:p>
      <w:pPr>
        <w:ind w:left="40" w:right="119" w:firstLine="305"/>
        <w:spacing w:after="0" w:line="256" w:lineRule="auto"/>
        <w:rPr>
          <w:sz w:val="20"/>
          <w:szCs w:val="20"/>
          <w:color w:val="auto"/>
        </w:rPr>
      </w:pPr>
      <w:r>
        <w:rPr>
          <w:rFonts w:ascii="Times New Roman" w:cs="Times New Roman" w:eastAsia="Times New Roman" w:hAnsi="Times New Roman"/>
          <w:sz w:val="17"/>
          <w:szCs w:val="17"/>
          <w:color w:val="auto"/>
        </w:rPr>
        <w:t>If a drug or biologic is intended for the treatment of a serious or life-threatening condition and the product demonstrates the potential to address unmet medical needs for this condition, the sponsor may apply for FDA Fast Track designation for a particular indication. We have received Fast Track designation for ACI-24.060, ACI-35.030 and PI-2620 and we may also seek Fast Track designation for certain of our future product candidates, but there is no assurance that the FDA will grant this status to any of our future product candidates. If granted, Fast Track designation makes a</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159"/>
        <w:spacing w:after="0" w:line="255" w:lineRule="auto"/>
        <w:rPr>
          <w:sz w:val="20"/>
          <w:szCs w:val="20"/>
          <w:color w:val="auto"/>
        </w:rPr>
      </w:pPr>
      <w:r>
        <w:rPr>
          <w:rFonts w:ascii="Times New Roman" w:cs="Times New Roman" w:eastAsia="Times New Roman" w:hAnsi="Times New Roman"/>
          <w:sz w:val="17"/>
          <w:szCs w:val="17"/>
          <w:color w:val="auto"/>
        </w:rPr>
        <w:t>product eligible for more frequent interactions with the FDA to discuss the development plan and clinical trial design, as well as rolling review of the application, which means that the company can submit completed sections of its marketing application for review prior to completion of the entire submission. Even if this designation is obtained, we may not experience a faster development process, review or approval compared to conventional FDA procedures, and receiving a fast-track designation does not provide any assurance of ultimate FDA approval. In addition, the FDA may withdraw Fast Track designation if it believes that the designation is no longer supported by data from our clinical development program.</w:t>
      </w:r>
    </w:p>
    <w:p>
      <w:pPr>
        <w:spacing w:after="0" w:line="171" w:lineRule="exact"/>
        <w:rPr>
          <w:sz w:val="20"/>
          <w:szCs w:val="20"/>
          <w:color w:val="auto"/>
        </w:rPr>
      </w:pPr>
    </w:p>
    <w:p>
      <w:pPr>
        <w:ind w:left="340" w:right="159"/>
        <w:spacing w:after="0" w:line="298" w:lineRule="auto"/>
        <w:rPr>
          <w:sz w:val="20"/>
          <w:szCs w:val="20"/>
          <w:color w:val="auto"/>
        </w:rPr>
      </w:pPr>
      <w:r>
        <w:rPr>
          <w:rFonts w:ascii="Times New Roman" w:cs="Times New Roman" w:eastAsia="Times New Roman" w:hAnsi="Times New Roman"/>
          <w:sz w:val="16"/>
          <w:szCs w:val="16"/>
          <w:b w:val="1"/>
          <w:bCs w:val="1"/>
          <w:i w:val="1"/>
          <w:iCs w:val="1"/>
          <w:color w:val="auto"/>
        </w:rPr>
        <w:t>Our products may not gain market acceptance, in which case we or our collaboration partners may not be able to generate product revenues, which will materially adversely affect our business, financial condition and results of operations.</w:t>
      </w:r>
    </w:p>
    <w:p>
      <w:pPr>
        <w:spacing w:after="0" w:line="144" w:lineRule="exact"/>
        <w:rPr>
          <w:sz w:val="20"/>
          <w:szCs w:val="20"/>
          <w:color w:val="auto"/>
        </w:rPr>
      </w:pPr>
    </w:p>
    <w:p>
      <w:pPr>
        <w:ind w:left="40" w:right="99" w:firstLine="305"/>
        <w:spacing w:after="0" w:line="255" w:lineRule="auto"/>
        <w:rPr>
          <w:sz w:val="20"/>
          <w:szCs w:val="20"/>
          <w:color w:val="auto"/>
        </w:rPr>
      </w:pPr>
      <w:r>
        <w:rPr>
          <w:rFonts w:ascii="Times New Roman" w:cs="Times New Roman" w:eastAsia="Times New Roman" w:hAnsi="Times New Roman"/>
          <w:sz w:val="17"/>
          <w:szCs w:val="17"/>
          <w:color w:val="auto"/>
        </w:rPr>
        <w:t>Even if the FDA, the EMA or any other regulatory authority approves the marketing of any product candidates that we develop, physicians, healthcare providers, patients or the medical community may not accept or use them. Efforts to educate the medical community and third-party payors on the benefits of our product candidates may require significant resources and may not be successful. If any of our current or future product candidates does not achieve an adequate level of acceptance, we or our collaboration partners may not generate significant product or royalty revenues or any profits from operations. The degree of market acceptance of our product candidates that are approved for commercial sale will depend on a variety of factors, including:</w:t>
      </w:r>
    </w:p>
    <w:p>
      <w:pPr>
        <w:spacing w:after="0" w:line="163" w:lineRule="exact"/>
        <w:rPr>
          <w:sz w:val="20"/>
          <w:szCs w:val="20"/>
          <w:color w:val="auto"/>
        </w:rPr>
      </w:pPr>
    </w:p>
    <w:p>
      <w:pPr>
        <w:ind w:left="680" w:hanging="305"/>
        <w:spacing w:after="0"/>
        <w:tabs>
          <w:tab w:leader="none" w:pos="6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how clinicians and potential patients perceive our novel products;</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market introduction;</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clinical profile of competing products;</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provide acceptable evidence of safety and efficacy or clinical utility;</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prevalence and severity of any side effects;</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relative convenience and ease of administration;</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cost-effectiveness;</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patient diagnostics and screening infrastructure in each market;</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marketing and distribution support;</w:t>
      </w:r>
    </w:p>
    <w:p>
      <w:pPr>
        <w:spacing w:after="0" w:line="210" w:lineRule="exact"/>
        <w:rPr>
          <w:rFonts w:ascii="Times New Roman" w:cs="Times New Roman" w:eastAsia="Times New Roman" w:hAnsi="Times New Roman"/>
          <w:sz w:val="17"/>
          <w:szCs w:val="17"/>
          <w:color w:val="auto"/>
        </w:rPr>
      </w:pPr>
    </w:p>
    <w:p>
      <w:pPr>
        <w:ind w:left="680" w:right="319" w:hanging="305"/>
        <w:spacing w:after="0" w:line="277" w:lineRule="auto"/>
        <w:tabs>
          <w:tab w:leader="none" w:pos="6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of coverage, reimbursement and adequate payment from health maintenance organizations and other third-party payors, both public and private; and</w:t>
      </w:r>
    </w:p>
    <w:p>
      <w:pPr>
        <w:spacing w:after="0" w:line="157"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potential advantages over alternative treatment methods.</w:t>
      </w:r>
    </w:p>
    <w:p>
      <w:pPr>
        <w:spacing w:after="0" w:line="211" w:lineRule="exact"/>
        <w:rPr>
          <w:sz w:val="20"/>
          <w:szCs w:val="20"/>
          <w:color w:val="auto"/>
        </w:rPr>
      </w:pPr>
    </w:p>
    <w:p>
      <w:pPr>
        <w:ind w:left="40" w:right="139" w:firstLine="305"/>
        <w:spacing w:after="0" w:line="263" w:lineRule="auto"/>
        <w:rPr>
          <w:sz w:val="20"/>
          <w:szCs w:val="20"/>
          <w:color w:val="auto"/>
        </w:rPr>
      </w:pPr>
      <w:r>
        <w:rPr>
          <w:rFonts w:ascii="Times New Roman" w:cs="Times New Roman" w:eastAsia="Times New Roman" w:hAnsi="Times New Roman"/>
          <w:sz w:val="17"/>
          <w:szCs w:val="17"/>
          <w:color w:val="auto"/>
        </w:rPr>
        <w:t>If our product candidates fail to gain market acceptance, this will have a material adverse impact on our ability to generate revenues to provide a satisfactory, or any, return on our investments. Even if some products achieve market acceptance, the market may prove to not be large enough to allow us to generate significant revenues.</w:t>
      </w:r>
    </w:p>
    <w:p>
      <w:pPr>
        <w:spacing w:after="0" w:line="170" w:lineRule="exact"/>
        <w:rPr>
          <w:sz w:val="20"/>
          <w:szCs w:val="20"/>
          <w:color w:val="auto"/>
        </w:rPr>
      </w:pPr>
    </w:p>
    <w:p>
      <w:pPr>
        <w:ind w:left="40" w:right="159" w:firstLine="305"/>
        <w:spacing w:after="0" w:line="251" w:lineRule="auto"/>
        <w:rPr>
          <w:sz w:val="20"/>
          <w:szCs w:val="20"/>
          <w:color w:val="auto"/>
        </w:rPr>
      </w:pPr>
      <w:r>
        <w:rPr>
          <w:rFonts w:ascii="Times New Roman" w:cs="Times New Roman" w:eastAsia="Times New Roman" w:hAnsi="Times New Roman"/>
          <w:sz w:val="17"/>
          <w:szCs w:val="17"/>
          <w:color w:val="auto"/>
        </w:rPr>
        <w:t>In addition, the potential market opportunity of our product candidates is difficult to estimate precisely. Our estimates of the potential market opportunity are predicated on several key assumptions such as industry knowledge and publications, third-party research reports and other surveys. These assumptions involve the exercise of significant judgment on the part of our management and are inherently uncertain, and the reasonableness of these assumptions could not have been assessed by an independent source in every detail. If any of the assumptions proves to be inaccurate, then the actual market for our product candidates could be smaller than our estimates of the potential market opportunity. If</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59"/>
        <w:spacing w:after="0" w:line="263" w:lineRule="auto"/>
        <w:rPr>
          <w:sz w:val="20"/>
          <w:szCs w:val="20"/>
          <w:color w:val="auto"/>
        </w:rPr>
      </w:pPr>
      <w:r>
        <w:rPr>
          <w:rFonts w:ascii="Times New Roman" w:cs="Times New Roman" w:eastAsia="Times New Roman" w:hAnsi="Times New Roman"/>
          <w:sz w:val="17"/>
          <w:szCs w:val="17"/>
          <w:color w:val="auto"/>
        </w:rPr>
        <w:t>the actual market for our product candidates is smaller than we expect, or if any approved products fail to achieve an adequate level of acceptance by physicians, healthcare payors and patients, our product or royalty revenue may be limited and it may be more difficult for us to achieve or maintain profitability.</w:t>
      </w:r>
    </w:p>
    <w:p>
      <w:pPr>
        <w:spacing w:after="0" w:line="166" w:lineRule="exact"/>
        <w:rPr>
          <w:sz w:val="20"/>
          <w:szCs w:val="20"/>
          <w:color w:val="auto"/>
        </w:rPr>
      </w:pPr>
    </w:p>
    <w:p>
      <w:pPr>
        <w:ind w:left="340" w:right="21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depend on enrollment of patients in our clinical studies for our product candidates. If we are unable to enroll patients in our clinical studies, our research and development efforts could be materially adversely affected.</w:t>
      </w:r>
    </w:p>
    <w:p>
      <w:pPr>
        <w:spacing w:after="0" w:line="154" w:lineRule="exact"/>
        <w:rPr>
          <w:sz w:val="20"/>
          <w:szCs w:val="20"/>
          <w:color w:val="auto"/>
        </w:rPr>
      </w:pPr>
    </w:p>
    <w:p>
      <w:pPr>
        <w:ind w:left="40" w:right="99" w:firstLine="305"/>
        <w:spacing w:after="0" w:line="249" w:lineRule="auto"/>
        <w:rPr>
          <w:sz w:val="20"/>
          <w:szCs w:val="20"/>
          <w:color w:val="auto"/>
        </w:rPr>
      </w:pPr>
      <w:r>
        <w:rPr>
          <w:rFonts w:ascii="Times New Roman" w:cs="Times New Roman" w:eastAsia="Times New Roman" w:hAnsi="Times New Roman"/>
          <w:sz w:val="17"/>
          <w:szCs w:val="17"/>
          <w:color w:val="auto"/>
        </w:rPr>
        <w:t>Successful and timely completion of clinical studies will require that we enroll a sufficient number of patient candidates. Studies may be subject to delays as a result of patient enrollment taking longer than anticipated or by patient withdrawal. Patient enrollment depends on many factors, including the size and nature of the patient population, the eligibility criteria for the study, the proximity of patients to clinical sites, the design of the clinical protocol, the existence of competing clinical studies, the availability of new drugs approved for the indication the clinical study is investigating, and clinicians’ and patients’ perceptions as to the potential advantages of the drug being studied in relation to other available therapies. In addition, with the passage of the Food and Drug Omnibus Reform Act of 2022 (FDORA), Congress required sponsors to develop and submit a diversity action plan for each Phase 3 clinical trial or any other pivotal study of a new drug. These plans are meant to encourage the enrollment of more diverse patient populations in late-stage clinical trials of FDA-regulated products. Specifically, action plans must include the sponsor’s goals for enrollment, the underlying rationale for those goals, and an explanation of how the sponsor intends to meet them. In addition to these requirements, the legislation directs the FDA to issue new guidance on diversity action plans.</w:t>
      </w:r>
    </w:p>
    <w:p>
      <w:pPr>
        <w:spacing w:after="0" w:line="180" w:lineRule="exact"/>
        <w:rPr>
          <w:sz w:val="20"/>
          <w:szCs w:val="20"/>
          <w:color w:val="auto"/>
        </w:rPr>
      </w:pPr>
    </w:p>
    <w:p>
      <w:pPr>
        <w:ind w:left="40" w:right="99" w:firstLine="305"/>
        <w:spacing w:after="0" w:line="255" w:lineRule="auto"/>
        <w:rPr>
          <w:sz w:val="20"/>
          <w:szCs w:val="20"/>
          <w:color w:val="auto"/>
        </w:rPr>
      </w:pPr>
      <w:r>
        <w:rPr>
          <w:rFonts w:ascii="Times New Roman" w:cs="Times New Roman" w:eastAsia="Times New Roman" w:hAnsi="Times New Roman"/>
          <w:sz w:val="17"/>
          <w:szCs w:val="17"/>
          <w:color w:val="auto"/>
        </w:rPr>
        <w:t>Generally, the specific target population of patients and therapeutic time windows may make it difficult for us to enroll enough patients to complete clinical studies for our product candidates in a timely and cost-effective manner. Delays in the completion of any clinical study of our product candidates will increase our costs, slow down our product candidate development and approval process, and delay or potentially jeopardize our or our collaboration partners’ ability to commence product sales and generate revenue. In addition, many of the factors that cause, or lead to, a delay in the commencement or completion of clinical studies may also ultimately lead to the denial of regulatory approval of our product candidates.</w:t>
      </w:r>
    </w:p>
    <w:p>
      <w:pPr>
        <w:spacing w:after="0" w:line="159" w:lineRule="exact"/>
        <w:rPr>
          <w:sz w:val="20"/>
          <w:szCs w:val="20"/>
          <w:color w:val="auto"/>
        </w:rPr>
      </w:pPr>
    </w:p>
    <w:p>
      <w:pPr>
        <w:jc w:val="both"/>
        <w:ind w:left="340" w:right="7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If serious adverse, undesirable or unacceptable side effects are identified during the development of our product candidates or following approval, if any, we may need to abandon our development of such product candidates, the commercial profile of any approved label may be limited, or we may be subject to other significant negative consequences following marketing approval, if any.</w:t>
      </w:r>
    </w:p>
    <w:p>
      <w:pPr>
        <w:spacing w:after="0" w:line="172" w:lineRule="exact"/>
        <w:rPr>
          <w:sz w:val="20"/>
          <w:szCs w:val="20"/>
          <w:color w:val="auto"/>
        </w:rPr>
      </w:pPr>
    </w:p>
    <w:p>
      <w:pPr>
        <w:ind w:left="40" w:right="79" w:firstLine="305"/>
        <w:spacing w:after="0" w:line="252" w:lineRule="auto"/>
        <w:rPr>
          <w:sz w:val="20"/>
          <w:szCs w:val="20"/>
          <w:color w:val="auto"/>
        </w:rPr>
      </w:pPr>
      <w:r>
        <w:rPr>
          <w:rFonts w:ascii="Times New Roman" w:cs="Times New Roman" w:eastAsia="Times New Roman" w:hAnsi="Times New Roman"/>
          <w:sz w:val="17"/>
          <w:szCs w:val="17"/>
          <w:color w:val="auto"/>
        </w:rPr>
        <w:t>If our product candidates are associated with serious adverse, undesirable or unacceptable side effects, we may need to abandon their development or limit development to certain uses or subpopulations in which such side effects are less prevalent, less severe or more acceptable from a risk–benefit perspective. Many compounds that initially showed promise in preclinical or early-stage testing were later found to cause side effects that restricted their use and prevented further development of the compound for larger indications.</w:t>
      </w:r>
    </w:p>
    <w:p>
      <w:pPr>
        <w:spacing w:after="0" w:line="179" w:lineRule="exact"/>
        <w:rPr>
          <w:sz w:val="20"/>
          <w:szCs w:val="20"/>
          <w:color w:val="auto"/>
        </w:rPr>
      </w:pPr>
    </w:p>
    <w:p>
      <w:pPr>
        <w:jc w:val="both"/>
        <w:ind w:left="40" w:right="499" w:firstLine="305"/>
        <w:spacing w:after="0" w:line="263" w:lineRule="auto"/>
        <w:rPr>
          <w:sz w:val="20"/>
          <w:szCs w:val="20"/>
          <w:color w:val="auto"/>
        </w:rPr>
      </w:pPr>
      <w:r>
        <w:rPr>
          <w:rFonts w:ascii="Times New Roman" w:cs="Times New Roman" w:eastAsia="Times New Roman" w:hAnsi="Times New Roman"/>
          <w:sz w:val="17"/>
          <w:szCs w:val="17"/>
          <w:color w:val="auto"/>
        </w:rPr>
        <w:t>Occurrence of serious procedure- or treatment-related side effects could impede clinical study enrollment and receipt of marketing approval from the FDA, the EMA and comparable foreign regulatory authorities. Adverse events (AEs) could also adversely affect physician or patient acceptance of our product candidates.</w:t>
      </w:r>
    </w:p>
    <w:p>
      <w:pPr>
        <w:spacing w:after="0" w:line="170" w:lineRule="exact"/>
        <w:rPr>
          <w:sz w:val="20"/>
          <w:szCs w:val="20"/>
          <w:color w:val="auto"/>
        </w:rPr>
      </w:pPr>
    </w:p>
    <w:p>
      <w:pPr>
        <w:ind w:left="40" w:right="119" w:firstLine="305"/>
        <w:spacing w:after="0" w:line="255" w:lineRule="auto"/>
        <w:rPr>
          <w:sz w:val="20"/>
          <w:szCs w:val="20"/>
          <w:color w:val="auto"/>
        </w:rPr>
      </w:pPr>
      <w:r>
        <w:rPr>
          <w:rFonts w:ascii="Times New Roman" w:cs="Times New Roman" w:eastAsia="Times New Roman" w:hAnsi="Times New Roman"/>
          <w:sz w:val="17"/>
          <w:szCs w:val="17"/>
          <w:color w:val="auto"/>
        </w:rPr>
        <w:t>Additionally, if one or more of our product candidates receives marketing approval, and we or others later identify undesirable side effects caused by such products, a number of potentially significant negative consequences could result, including the following:</w:t>
      </w:r>
    </w:p>
    <w:p>
      <w:pPr>
        <w:spacing w:after="0" w:line="176" w:lineRule="exact"/>
        <w:rPr>
          <w:sz w:val="20"/>
          <w:szCs w:val="20"/>
          <w:color w:val="auto"/>
        </w:rPr>
      </w:pPr>
    </w:p>
    <w:p>
      <w:pPr>
        <w:ind w:left="680" w:right="319" w:hanging="305"/>
        <w:spacing w:after="0" w:line="277" w:lineRule="auto"/>
        <w:tabs>
          <w:tab w:leader="none" w:pos="6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withdraw approvals of such product and require us or our collaboration partners to take any approved products off the market;</w:t>
      </w:r>
    </w:p>
    <w:p>
      <w:pPr>
        <w:spacing w:after="0" w:line="157" w:lineRule="exact"/>
        <w:rPr>
          <w:rFonts w:ascii="Times New Roman" w:cs="Times New Roman" w:eastAsia="Times New Roman" w:hAnsi="Times New Roman"/>
          <w:sz w:val="17"/>
          <w:szCs w:val="17"/>
          <w:color w:val="auto"/>
        </w:rPr>
      </w:pPr>
    </w:p>
    <w:p>
      <w:pPr>
        <w:ind w:left="680" w:right="139" w:hanging="305"/>
        <w:spacing w:after="0" w:line="277" w:lineRule="auto"/>
        <w:tabs>
          <w:tab w:leader="none" w:pos="6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require the addition of labeling statements, specific warnings, a contraindication or field alerts to physicians and pharmacies;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80" w:hanging="305"/>
        <w:spacing w:after="0"/>
        <w:tabs>
          <w:tab w:leader="none" w:pos="6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create a medication guide outlining the risks of such side effects for distribution to patients;</w:t>
      </w:r>
    </w:p>
    <w:p>
      <w:pPr>
        <w:spacing w:after="0" w:line="210" w:lineRule="exact"/>
        <w:rPr>
          <w:rFonts w:ascii="Times New Roman" w:cs="Times New Roman" w:eastAsia="Times New Roman" w:hAnsi="Times New Roman"/>
          <w:sz w:val="17"/>
          <w:szCs w:val="17"/>
          <w:color w:val="auto"/>
        </w:rPr>
      </w:pPr>
    </w:p>
    <w:p>
      <w:pPr>
        <w:ind w:left="680" w:right="119" w:hanging="305"/>
        <w:spacing w:after="0" w:line="277" w:lineRule="auto"/>
        <w:tabs>
          <w:tab w:leader="none" w:pos="6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change the way the product is administered, to conduct additional studies or to change the labeling of the product;</w:t>
      </w:r>
    </w:p>
    <w:p>
      <w:pPr>
        <w:spacing w:after="0" w:line="157"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collaboration partners may be subject to limitations in how we promote the product;</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the product may decrease significantly;</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could be sued and held liable for harm caused to patients; and</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reputation and physician or patient acceptance of our products may suffer.</w:t>
      </w:r>
    </w:p>
    <w:p>
      <w:pPr>
        <w:spacing w:after="0" w:line="211" w:lineRule="exact"/>
        <w:rPr>
          <w:sz w:val="20"/>
          <w:szCs w:val="20"/>
          <w:color w:val="auto"/>
        </w:rPr>
      </w:pPr>
    </w:p>
    <w:p>
      <w:pPr>
        <w:ind w:left="40" w:right="219" w:firstLine="305"/>
        <w:spacing w:after="0" w:line="277" w:lineRule="auto"/>
        <w:rPr>
          <w:sz w:val="20"/>
          <w:szCs w:val="20"/>
          <w:color w:val="auto"/>
        </w:rPr>
      </w:pPr>
      <w:r>
        <w:rPr>
          <w:rFonts w:ascii="Times New Roman" w:cs="Times New Roman" w:eastAsia="Times New Roman" w:hAnsi="Times New Roman"/>
          <w:sz w:val="17"/>
          <w:szCs w:val="17"/>
          <w:color w:val="auto"/>
        </w:rPr>
        <w:t>Any of these events could prevent us from achieving or maintaining market acceptance of the particular product candidate, if approved, and could significantly harm our business, results of operations and prospects.</w:t>
      </w:r>
    </w:p>
    <w:p>
      <w:pPr>
        <w:spacing w:after="0" w:line="154" w:lineRule="exact"/>
        <w:rPr>
          <w:sz w:val="20"/>
          <w:szCs w:val="20"/>
          <w:color w:val="auto"/>
        </w:rPr>
      </w:pPr>
    </w:p>
    <w:p>
      <w:pPr>
        <w:ind w:left="340" w:right="31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operate in highly competitive and rapidly changing industries, which may result in others discovering, developing or commercializing competing products before or more successfully than we do.</w:t>
      </w:r>
    </w:p>
    <w:p>
      <w:pPr>
        <w:spacing w:after="0" w:line="154" w:lineRule="exact"/>
        <w:rPr>
          <w:sz w:val="20"/>
          <w:szCs w:val="20"/>
          <w:color w:val="auto"/>
        </w:rPr>
      </w:pPr>
    </w:p>
    <w:p>
      <w:pPr>
        <w:ind w:left="40" w:right="79" w:firstLine="305"/>
        <w:spacing w:after="0" w:line="250" w:lineRule="auto"/>
        <w:rPr>
          <w:sz w:val="20"/>
          <w:szCs w:val="20"/>
          <w:color w:val="auto"/>
        </w:rPr>
      </w:pPr>
      <w:r>
        <w:rPr>
          <w:rFonts w:ascii="Times New Roman" w:cs="Times New Roman" w:eastAsia="Times New Roman" w:hAnsi="Times New Roman"/>
          <w:sz w:val="17"/>
          <w:szCs w:val="17"/>
          <w:color w:val="auto"/>
        </w:rPr>
        <w:t>The biopharmaceutical and pharmaceutical industries are highly competitive and subject to significant and rapid technological change. Our success is highly dependent on our ability to discover, develop and obtain marketing approval for new and innovative products on a cost-effective basis and to market them successfully. In doing so, we face and will continue to face intense competition from a variety of businesses, including large, fully integrated pharmaceutical companies, specialty pharmaceutical companies and biopharmaceutical companies, academic institutions, government agencies and other private and public research institutions in Europe, the U.S. and other jurisdictions. 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Mergers and acquisitions in the pharmaceutical and biopharmaceutical industries may result in even more resources being concentrated among a smaller number of our competitors.</w:t>
      </w:r>
    </w:p>
    <w:p>
      <w:pPr>
        <w:spacing w:after="0" w:line="172" w:lineRule="exact"/>
        <w:rPr>
          <w:sz w:val="20"/>
          <w:szCs w:val="20"/>
          <w:color w:val="auto"/>
        </w:rPr>
      </w:pPr>
    </w:p>
    <w:p>
      <w:pPr>
        <w:ind w:left="40" w:right="259" w:firstLine="305"/>
        <w:spacing w:after="0" w:line="263" w:lineRule="auto"/>
        <w:rPr>
          <w:sz w:val="20"/>
          <w:szCs w:val="20"/>
          <w:color w:val="auto"/>
        </w:rPr>
      </w:pPr>
      <w:r>
        <w:rPr>
          <w:rFonts w:ascii="Times New Roman" w:cs="Times New Roman" w:eastAsia="Times New Roman" w:hAnsi="Times New Roman"/>
          <w:sz w:val="17"/>
          <w:szCs w:val="17"/>
          <w:color w:val="auto"/>
        </w:rPr>
        <w:t>The highly competitive nature of and rapid technological changes in the pharmaceutical and biopharmaceutical industries could render our product candidates or our technology obsolete or noncompetitive. The commercial opportunity for our products could be reduced or eliminated if our competitors:</w:t>
      </w:r>
    </w:p>
    <w:p>
      <w:pPr>
        <w:spacing w:after="0" w:line="170" w:lineRule="exact"/>
        <w:rPr>
          <w:sz w:val="20"/>
          <w:szCs w:val="20"/>
          <w:color w:val="auto"/>
        </w:rPr>
      </w:pPr>
    </w:p>
    <w:p>
      <w:pPr>
        <w:ind w:left="680" w:right="639" w:hanging="305"/>
        <w:spacing w:after="0" w:line="277" w:lineRule="auto"/>
        <w:tabs>
          <w:tab w:leader="none" w:pos="6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and commercialize products that are safer, more effective, less expensive, or more convenient or easier to administer;</w:t>
      </w:r>
    </w:p>
    <w:p>
      <w:pPr>
        <w:spacing w:after="0" w:line="157"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quicker FDA or other regulatory approval for their products;</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superior intellectual property and proprietary positions;</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access to more manufacturing capacity;</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 more effective approaches to sales, marketing and distribution; or</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more advantageous strategic alliances.</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Should any of these occur, our business, financial condition and results of operations could be materially adversely affected.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119" w:firstLine="305"/>
        <w:spacing w:after="0" w:line="273" w:lineRule="auto"/>
        <w:rPr>
          <w:sz w:val="20"/>
          <w:szCs w:val="20"/>
          <w:color w:val="auto"/>
        </w:rPr>
      </w:pPr>
      <w:r>
        <w:rPr>
          <w:rFonts w:ascii="Times New Roman" w:cs="Times New Roman" w:eastAsia="Times New Roman" w:hAnsi="Times New Roman"/>
          <w:sz w:val="16"/>
          <w:szCs w:val="16"/>
          <w:color w:val="auto"/>
        </w:rPr>
        <w:t>We believe that our key competitor product candidates are (i) AADvac1 (Axon Neuroscience) for ACI-35.030; (ii) UB-311 (Vaxxinity) and ABvac-40 (Araclon Biotech) for ACI-24.060; (iii) UB-312 (Vaxxinity) for ACI-7104.056; (iv) VTX3232 (Ventyx-Eli Lilly and Company), BGE102 (BioAge), and NMRA-215 (Neumora) for ACI-19764; (v) HMTM (TauRx Pharmaceuticals) for Morphomer Tau; (vi) Tauvid (Eli Lilly and Company), florzolotau (Aprinoia Therapeutics), MK-6240 (Lantheus) and GTP1 (Genentech) for PI-2620; (vii) UCB-2897 (UCB) for ACI-12589 and ACI-15916; and (viii) currently no known competitors for ACI-19626, as described under “Item 4. Information on the Company—B. Business overview—Competition.”</w:t>
      </w:r>
    </w:p>
    <w:p>
      <w:pPr>
        <w:spacing w:after="0" w:line="162" w:lineRule="exact"/>
        <w:rPr>
          <w:sz w:val="20"/>
          <w:szCs w:val="20"/>
          <w:color w:val="auto"/>
        </w:rPr>
      </w:pPr>
    </w:p>
    <w:p>
      <w:pPr>
        <w:ind w:left="340" w:right="5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We may not be successful in our efforts to use and expand our Morphomer and SupraAntigen proprietary technology platforms to build additional product candidates for our pipeline.</w:t>
      </w:r>
    </w:p>
    <w:p>
      <w:pPr>
        <w:spacing w:after="0" w:line="166" w:lineRule="exact"/>
        <w:rPr>
          <w:sz w:val="20"/>
          <w:szCs w:val="20"/>
          <w:color w:val="auto"/>
        </w:rPr>
      </w:pPr>
    </w:p>
    <w:p>
      <w:pPr>
        <w:ind w:left="40" w:right="219" w:firstLine="305"/>
        <w:spacing w:after="0" w:line="251" w:lineRule="auto"/>
        <w:rPr>
          <w:sz w:val="20"/>
          <w:szCs w:val="20"/>
          <w:color w:val="auto"/>
        </w:rPr>
      </w:pPr>
      <w:r>
        <w:rPr>
          <w:rFonts w:ascii="Times New Roman" w:cs="Times New Roman" w:eastAsia="Times New Roman" w:hAnsi="Times New Roman"/>
          <w:sz w:val="17"/>
          <w:szCs w:val="17"/>
          <w:color w:val="auto"/>
        </w:rPr>
        <w:t>A key element of our strategy is to use and expand our Morphomer and SupraAntigen proprietary technology platforms to create unique therapies and diagnostics misfolded proteins in diseases, such as AD, PD and others (including NeuroOrphan diseases such as ALS and PSP), and progress these product candidates through clinical development. Although our research and development efforts to date have resulted in a pipeline of product candidates, we may not be able in the future to develop product candidates that are safe and effective. Even if we are successful in continuing to build our pipelines, the potential product candidates that we identify may not be suitable for clinical development, potentially as a result of having harmful side effects or other characteristics indicating they may be unlikely to receive marketing approval and achieve market acceptance.</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Our business is subject to economic, political, regulatory and other risks associated with international operations.</w:t>
      </w:r>
    </w:p>
    <w:p>
      <w:pPr>
        <w:spacing w:after="0" w:line="215" w:lineRule="exact"/>
        <w:rPr>
          <w:sz w:val="20"/>
          <w:szCs w:val="20"/>
          <w:color w:val="auto"/>
        </w:rPr>
      </w:pPr>
    </w:p>
    <w:p>
      <w:pPr>
        <w:jc w:val="both"/>
        <w:ind w:left="40" w:right="419" w:firstLine="305"/>
        <w:spacing w:after="0" w:line="263" w:lineRule="auto"/>
        <w:rPr>
          <w:sz w:val="20"/>
          <w:szCs w:val="20"/>
          <w:color w:val="auto"/>
        </w:rPr>
      </w:pPr>
      <w:r>
        <w:rPr>
          <w:rFonts w:ascii="Times New Roman" w:cs="Times New Roman" w:eastAsia="Times New Roman" w:hAnsi="Times New Roman"/>
          <w:sz w:val="17"/>
          <w:szCs w:val="17"/>
          <w:color w:val="auto"/>
        </w:rPr>
        <w:t>Our business is subject to risks associated with conducting business internationally. We and a number of our suppliers and collaborative and clinical study relationships are located outside the U.S. Accordingly, our future results could be harmed by a variety of factors, including:</w:t>
      </w:r>
    </w:p>
    <w:p>
      <w:pPr>
        <w:spacing w:after="0" w:line="170" w:lineRule="exact"/>
        <w:rPr>
          <w:sz w:val="20"/>
          <w:szCs w:val="20"/>
          <w:color w:val="auto"/>
        </w:rPr>
      </w:pPr>
    </w:p>
    <w:p>
      <w:pPr>
        <w:ind w:left="680" w:hanging="305"/>
        <w:spacing w:after="0"/>
        <w:tabs>
          <w:tab w:leader="none" w:pos="6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weakness, including inflation, or political instability in particular non-U.S. economies and markets;</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differing regulatory requirements for drug approvals in non-U.S. countries;</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potentially reduced protection for intellectual property rights;</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compliance with non-U.S. laws and regulations;</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non-U.S. regulations and customs, tariffs and trade barriers;</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non-U.S. currency exchange rates and currency controls;</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 specific country’s or region’s political or economic environment;</w:t>
      </w:r>
    </w:p>
    <w:p>
      <w:pPr>
        <w:spacing w:after="0" w:line="210" w:lineRule="exact"/>
        <w:rPr>
          <w:rFonts w:ascii="Times New Roman" w:cs="Times New Roman" w:eastAsia="Times New Roman" w:hAnsi="Times New Roman"/>
          <w:sz w:val="17"/>
          <w:szCs w:val="17"/>
          <w:color w:val="auto"/>
        </w:rPr>
      </w:pPr>
    </w:p>
    <w:p>
      <w:pPr>
        <w:ind w:left="680" w:right="79" w:hanging="305"/>
        <w:spacing w:after="0" w:line="277" w:lineRule="auto"/>
        <w:tabs>
          <w:tab w:leader="none" w:pos="6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 protection measures, import or export licensing requirements or other restrictive actions such as sanctions by U.S. or non-U.S. governments;</w:t>
      </w:r>
    </w:p>
    <w:p>
      <w:pPr>
        <w:spacing w:after="0" w:line="157"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consequences from changes in tax laws;</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tax, employment, immigration and labor laws for employees living or traveling abroad;</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workforce uncertainty in countries where labor unrest is more common than in the U.S.;</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associated with staffing and managing international operations, including differing labor relations;</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production shortages resulting from any events affecting raw material supply or manufacturing capabilities abroad; and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80" w:right="479" w:hanging="305"/>
        <w:spacing w:after="0" w:line="277" w:lineRule="auto"/>
        <w:tabs>
          <w:tab w:leader="none" w:pos="6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interruptions resulting from geopolitical actions, including war and terrorism, or natural disasters including earthquakes, typhoons, floods and fires.</w:t>
      </w:r>
    </w:p>
    <w:p>
      <w:pPr>
        <w:spacing w:after="0" w:line="158" w:lineRule="exact"/>
        <w:rPr>
          <w:sz w:val="20"/>
          <w:szCs w:val="20"/>
          <w:color w:val="auto"/>
        </w:rPr>
      </w:pPr>
    </w:p>
    <w:p>
      <w:pPr>
        <w:ind w:left="40" w:right="59" w:firstLine="305"/>
        <w:spacing w:after="0" w:line="250" w:lineRule="auto"/>
        <w:rPr>
          <w:sz w:val="20"/>
          <w:szCs w:val="20"/>
          <w:color w:val="auto"/>
        </w:rPr>
      </w:pPr>
      <w:r>
        <w:rPr>
          <w:rFonts w:ascii="Times New Roman" w:cs="Times New Roman" w:eastAsia="Times New Roman" w:hAnsi="Times New Roman"/>
          <w:sz w:val="17"/>
          <w:szCs w:val="17"/>
          <w:color w:val="auto"/>
        </w:rPr>
        <w:t>Ongoing armed conflicts between Russia and Ukraine in Europe and among Israel, Iran, Hamas and other militant groups in the Middle East, have caused and could continue to cause significant market disruptions and volatility within the markets in Russia, Europe, the Middle East and the United States. In addition, the current political climate has intensified concerns about trade tariffs and a potential trade war between the United States and certain foreign countries, including China, Mexico and Canada, among others. These conflicts have created global security concerns that could have a lasting impact on regional and global economies, any or all of which could disrupt our supply chain, adversely affect our ability to conduct ongoing and future clinical trials of our product candidates, and adversely affect our ability to commercialize our products (subject to regulatory approval) in affected regions. Currently, none of our clinical development or business activities are conducted directly or otherwise in Russia, Ukraine, Israel or other affected areas in the Middle East.</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Unfavorable global economic conditions could adversely affect our business, financial condition or results of operations.</w:t>
      </w:r>
    </w:p>
    <w:p>
      <w:pPr>
        <w:spacing w:after="0" w:line="215" w:lineRule="exact"/>
        <w:rPr>
          <w:sz w:val="20"/>
          <w:szCs w:val="20"/>
          <w:color w:val="auto"/>
        </w:rPr>
      </w:pPr>
    </w:p>
    <w:p>
      <w:pPr>
        <w:ind w:left="40" w:right="79" w:firstLine="305"/>
        <w:spacing w:after="0" w:line="250" w:lineRule="auto"/>
        <w:rPr>
          <w:sz w:val="20"/>
          <w:szCs w:val="20"/>
          <w:color w:val="auto"/>
        </w:rPr>
      </w:pPr>
      <w:r>
        <w:rPr>
          <w:rFonts w:ascii="Times New Roman" w:cs="Times New Roman" w:eastAsia="Times New Roman" w:hAnsi="Times New Roman"/>
          <w:sz w:val="17"/>
          <w:szCs w:val="17"/>
          <w:color w:val="auto"/>
        </w:rPr>
        <w:t>Our results of operations could be adversely affected by general conditions in the global economy and in the global financial markets. For example, rising interest rates and high inflation may cause our cost of doing business to materially increase and may adversely impact our ability to operate or may adversely impact other parties upon whom we rely for research and development capabilities to operate. The most recent global financial crisis caused extreme volatility and disruptions in the capital and credit markets. A severe or prolonged economic downturn, such as the most recent global financial crisis, could result in a variety of risks to our business, including our ability to raise additional capital when needed on acceptable terms, if at all. A weak or declining economy could strain our suppliers, possibly resulting in supply disruption, or cause delays in payments for our services by third-party payors or our collaborators. Any of the foregoing could harm our business and we cannot anticipate all of the ways in which the current economic climate and financial market conditions could adversely impact our business.</w:t>
      </w:r>
    </w:p>
    <w:p>
      <w:pPr>
        <w:spacing w:after="0" w:line="185" w:lineRule="exact"/>
        <w:rPr>
          <w:sz w:val="20"/>
          <w:szCs w:val="20"/>
          <w:color w:val="auto"/>
        </w:rPr>
      </w:pPr>
    </w:p>
    <w:p>
      <w:pPr>
        <w:ind w:left="40" w:right="59" w:firstLine="305"/>
        <w:spacing w:after="0" w:line="251" w:lineRule="auto"/>
        <w:rPr>
          <w:sz w:val="20"/>
          <w:szCs w:val="20"/>
          <w:color w:val="auto"/>
        </w:rPr>
      </w:pPr>
      <w:r>
        <w:rPr>
          <w:rFonts w:ascii="Times New Roman" w:cs="Times New Roman" w:eastAsia="Times New Roman" w:hAnsi="Times New Roman"/>
          <w:sz w:val="17"/>
          <w:szCs w:val="17"/>
          <w:color w:val="auto"/>
        </w:rPr>
        <w:t>In April 2025, the U.S. government announced significant changes to its trade policy, including the imposition of broad tariff increases affecting all trading partners. The new tariff system consists of two tiers: a 10% baseline tariff on all imports to the United States and higher reciprocal tariffs on imported goods from approximately 60 countries. An initial 31% tariff was announced on goods imported into the U.S. from Switzerland, where our headquarters are located, which was subsequently increased to 39% by Executive Order on July 31, 2025. On December 10, 2025, Switzerland announced an agreement with the U.S. to reduce the tariffs to 15% retroactive to November 14, 2025. The tariffs are to be reduced if the products imported into the U.S. have U.S. content in them. However, the final implementation and size of the respective tariffs remains uncertain, particularly in relation to the pharmaceutical industry.</w:t>
      </w:r>
    </w:p>
    <w:p>
      <w:pPr>
        <w:spacing w:after="0" w:line="179" w:lineRule="exact"/>
        <w:rPr>
          <w:sz w:val="20"/>
          <w:szCs w:val="20"/>
          <w:color w:val="auto"/>
        </w:rPr>
      </w:pPr>
    </w:p>
    <w:p>
      <w:pPr>
        <w:ind w:left="40" w:right="139" w:firstLine="305"/>
        <w:spacing w:after="0" w:line="270" w:lineRule="auto"/>
        <w:rPr>
          <w:sz w:val="20"/>
          <w:szCs w:val="20"/>
          <w:color w:val="auto"/>
        </w:rPr>
      </w:pPr>
      <w:r>
        <w:rPr>
          <w:rFonts w:ascii="Times New Roman" w:cs="Times New Roman" w:eastAsia="Times New Roman" w:hAnsi="Times New Roman"/>
          <w:sz w:val="16"/>
          <w:szCs w:val="16"/>
          <w:color w:val="auto"/>
        </w:rPr>
        <w:t>Globally, proposed tariffs by the U.S. government against its trading partners vary in their resolution status, as do potential retaliatory tariffs, and threats thereof, against U.S. goods. It remains too early to know what the ultimate impact of these potential and actual tariffs on our business and financial condition could be. In addition, ongoing changes in U.S. and foreign government trade policies, including potential modifications to existing trade agreements, could introduce additional uncertainty. Trade restrictions and export regulations, or increases in tariffs (including tariffs on imports from Europe) and additional taxes, including any retaliatory measures could have a material and adverse effect on our business, results of operations, or financial condition.</w:t>
      </w:r>
    </w:p>
    <w:p>
      <w:pPr>
        <w:spacing w:after="0" w:line="163" w:lineRule="exact"/>
        <w:rPr>
          <w:sz w:val="20"/>
          <w:szCs w:val="20"/>
          <w:color w:val="auto"/>
        </w:rPr>
      </w:pPr>
    </w:p>
    <w:p>
      <w:pPr>
        <w:ind w:left="340" w:right="5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A public health crisis, such as the Covid-19 pandemic may impact our business, including preclinical and clinical trials and regulatory approvals.</w:t>
      </w:r>
    </w:p>
    <w:p>
      <w:pPr>
        <w:spacing w:after="0" w:line="154" w:lineRule="exact"/>
        <w:rPr>
          <w:sz w:val="20"/>
          <w:szCs w:val="20"/>
          <w:color w:val="auto"/>
        </w:rPr>
      </w:pPr>
    </w:p>
    <w:p>
      <w:pPr>
        <w:ind w:left="40" w:right="239" w:firstLine="305"/>
        <w:spacing w:after="0" w:line="252" w:lineRule="auto"/>
        <w:rPr>
          <w:sz w:val="20"/>
          <w:szCs w:val="20"/>
          <w:color w:val="auto"/>
        </w:rPr>
      </w:pPr>
      <w:r>
        <w:rPr>
          <w:rFonts w:ascii="Times New Roman" w:cs="Times New Roman" w:eastAsia="Times New Roman" w:hAnsi="Times New Roman"/>
          <w:sz w:val="17"/>
          <w:szCs w:val="17"/>
          <w:color w:val="auto"/>
        </w:rPr>
        <w:t>In response to a public health crisis, governments, public institutions, and other organizations in countries and localities may take certain preventative or protective measures to combat the transmission of a disease, including the implementation of travel restrictions or bans, closures of non-essential businesses, limitations of public gatherings, other social distancing and shelter-in-place measures, and delays or cancellations of elective surgeries. A public health crisis could pose the risk that the Company, our employees, contractors, suppliers, and other partners may be prevented from</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339"/>
        <w:spacing w:after="0" w:line="277" w:lineRule="auto"/>
        <w:rPr>
          <w:sz w:val="20"/>
          <w:szCs w:val="20"/>
          <w:color w:val="auto"/>
        </w:rPr>
      </w:pPr>
      <w:r>
        <w:rPr>
          <w:rFonts w:ascii="Times New Roman" w:cs="Times New Roman" w:eastAsia="Times New Roman" w:hAnsi="Times New Roman"/>
          <w:sz w:val="17"/>
          <w:szCs w:val="17"/>
          <w:color w:val="auto"/>
        </w:rPr>
        <w:t>conducting business activities for an indefinite period of time due to shutdowns that may be requested or mandated by state and federal governmental authorities.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Our business and planned clinical trials could be materially impacted by disruptions such as:</w:t>
      </w:r>
    </w:p>
    <w:p>
      <w:pPr>
        <w:spacing w:after="0" w:line="211" w:lineRule="exact"/>
        <w:rPr>
          <w:sz w:val="20"/>
          <w:szCs w:val="20"/>
          <w:color w:val="auto"/>
        </w:rPr>
      </w:pPr>
    </w:p>
    <w:p>
      <w:pPr>
        <w:ind w:left="680" w:hanging="305"/>
        <w:spacing w:after="0"/>
        <w:tabs>
          <w:tab w:leader="none" w:pos="6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or difficulties in conducting preclinical research and clinical trials;</w:t>
      </w:r>
    </w:p>
    <w:p>
      <w:pPr>
        <w:spacing w:after="0" w:line="210" w:lineRule="exact"/>
        <w:rPr>
          <w:rFonts w:ascii="Times New Roman" w:cs="Times New Roman" w:eastAsia="Times New Roman" w:hAnsi="Times New Roman"/>
          <w:sz w:val="17"/>
          <w:szCs w:val="17"/>
          <w:color w:val="auto"/>
        </w:rPr>
      </w:pPr>
    </w:p>
    <w:p>
      <w:pPr>
        <w:ind w:left="680" w:right="239" w:hanging="305"/>
        <w:spacing w:after="0" w:line="263" w:lineRule="auto"/>
        <w:tabs>
          <w:tab w:leader="none" w:pos="6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 in global manufacturing and shipping that may affect the manufacturing and/or transport of clinical trial materials and other materials, including testing equipment and personal protective equipment, used at our or our CROs’ and contract manufacturing organizations’ (CMOs’) facilities;</w:t>
      </w:r>
    </w:p>
    <w:p>
      <w:pPr>
        <w:spacing w:after="0" w:line="169" w:lineRule="exact"/>
        <w:rPr>
          <w:rFonts w:ascii="Times New Roman" w:cs="Times New Roman" w:eastAsia="Times New Roman" w:hAnsi="Times New Roman"/>
          <w:sz w:val="17"/>
          <w:szCs w:val="17"/>
          <w:color w:val="auto"/>
        </w:rPr>
      </w:pPr>
    </w:p>
    <w:p>
      <w:pPr>
        <w:ind w:left="680" w:right="339" w:hanging="305"/>
        <w:spacing w:after="0" w:line="277" w:lineRule="auto"/>
        <w:tabs>
          <w:tab w:leader="none" w:pos="6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local regulations as part of a response to the public health crisis which may require us to change the way in which clinical trials are conducted and may result in unexpected costs; and</w:t>
      </w:r>
    </w:p>
    <w:p>
      <w:pPr>
        <w:spacing w:after="0" w:line="157"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 our ability to secure additional financing.</w:t>
      </w:r>
    </w:p>
    <w:p>
      <w:pPr>
        <w:spacing w:after="0" w:line="211" w:lineRule="exact"/>
        <w:rPr>
          <w:sz w:val="20"/>
          <w:szCs w:val="20"/>
          <w:color w:val="auto"/>
        </w:rPr>
      </w:pPr>
    </w:p>
    <w:p>
      <w:pPr>
        <w:jc w:val="both"/>
        <w:ind w:left="40" w:right="379" w:firstLine="305"/>
        <w:spacing w:after="0" w:line="258" w:lineRule="auto"/>
        <w:rPr>
          <w:sz w:val="20"/>
          <w:szCs w:val="20"/>
          <w:color w:val="auto"/>
        </w:rPr>
      </w:pPr>
      <w:r>
        <w:rPr>
          <w:rFonts w:ascii="Times New Roman" w:cs="Times New Roman" w:eastAsia="Times New Roman" w:hAnsi="Times New Roman"/>
          <w:sz w:val="17"/>
          <w:szCs w:val="17"/>
          <w:color w:val="auto"/>
        </w:rPr>
        <w:t>In addition, a public health crisis could disrupt our operations due to absenteeism by infected or ill members of Executive Management or other employees, or absenteeism by members of Executive Management and other employees who elect not to come to work due to the illness affecting others in our office or laboratory facilities, or due to quarantines. Such a public health crisis could also impact members of our Board and its ability to hold meetings.</w:t>
      </w:r>
    </w:p>
    <w:p>
      <w:pPr>
        <w:spacing w:after="0" w:line="158" w:lineRule="exact"/>
        <w:rPr>
          <w:sz w:val="20"/>
          <w:szCs w:val="20"/>
          <w:color w:val="auto"/>
        </w:rPr>
      </w:pPr>
    </w:p>
    <w:p>
      <w:pPr>
        <w:ind w:left="340" w:right="7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Our ability to effectively monitor and respond to the rapid and ongoing developments and expectations relating to environmental, social and governance (ESG) and climate change matters, including legal and regulatory developments and related social expectations and concerns, may impose costs on us or result in reputational or other harm to us that could have a material adverse effect on our business, financial condition and results of operations.</w:t>
      </w:r>
    </w:p>
    <w:p>
      <w:pPr>
        <w:spacing w:after="0" w:line="172" w:lineRule="exact"/>
        <w:rPr>
          <w:sz w:val="20"/>
          <w:szCs w:val="20"/>
          <w:color w:val="auto"/>
        </w:rPr>
      </w:pPr>
    </w:p>
    <w:p>
      <w:pPr>
        <w:ind w:left="40" w:right="99" w:firstLine="305"/>
        <w:spacing w:after="0" w:line="251" w:lineRule="auto"/>
        <w:rPr>
          <w:sz w:val="20"/>
          <w:szCs w:val="20"/>
          <w:color w:val="auto"/>
        </w:rPr>
      </w:pPr>
      <w:r>
        <w:rPr>
          <w:rFonts w:ascii="Times New Roman" w:cs="Times New Roman" w:eastAsia="Times New Roman" w:hAnsi="Times New Roman"/>
          <w:sz w:val="17"/>
          <w:szCs w:val="17"/>
          <w:color w:val="auto"/>
        </w:rPr>
        <w:t>If we are not able to adequately recognize and respond to the rapid and ongoing developments and governmental and social expectations relating to ESG matters such as climate change and access to health care and affordable drugs, this failure could result in missed corporate opportunities, additional regulatory, social or other scrutiny of us and our business, the imposition of unexpected costs or in damage to our reputation or our various relationships with governments, customers, employees, third parties and the communities in which we operate, in each case that could have a material adverse effect on our business, financial condition and results of operations.</w:t>
      </w:r>
    </w:p>
    <w:p>
      <w:pPr>
        <w:spacing w:after="0" w:line="182" w:lineRule="exact"/>
        <w:rPr>
          <w:sz w:val="20"/>
          <w:szCs w:val="20"/>
          <w:color w:val="auto"/>
        </w:rPr>
      </w:pPr>
    </w:p>
    <w:p>
      <w:pPr>
        <w:ind w:left="40" w:right="119" w:firstLine="305"/>
        <w:spacing w:after="0" w:line="251" w:lineRule="auto"/>
        <w:rPr>
          <w:sz w:val="20"/>
          <w:szCs w:val="20"/>
          <w:color w:val="auto"/>
        </w:rPr>
      </w:pPr>
      <w:r>
        <w:rPr>
          <w:rFonts w:ascii="Times New Roman" w:cs="Times New Roman" w:eastAsia="Times New Roman" w:hAnsi="Times New Roman"/>
          <w:sz w:val="17"/>
          <w:szCs w:val="17"/>
          <w:color w:val="auto"/>
        </w:rPr>
        <w:t>For example, expectations regarding voluntary ESG initiatives and disclosures may result in increased costs (including but not limited to increased costs related to compliance, stakeholder engagement, contracting and insurance), enhanced compliance or disclosure obligations, or other adverse impacts to our business, financial condition, or results of operations. In addition, certain market participants, including major institutional investors and capital providers, use third party benchmarks and scores to assess companies’ ESG profiles in making investment or voting decisions. Unfavorable ESG ratings could lead to increased negative investor sentiment towards us, which could negatively impact our share price as well as our access to and cost of capital. To the extent ESG matters negatively impact our reputation, it may also impede our ability to compete as effectively to attract and retain employees, which may adversely impact our operations.</w:t>
      </w:r>
    </w:p>
    <w:p>
      <w:pPr>
        <w:spacing w:after="0" w:line="179" w:lineRule="exact"/>
        <w:rPr>
          <w:sz w:val="20"/>
          <w:szCs w:val="20"/>
          <w:color w:val="auto"/>
        </w:rPr>
      </w:pPr>
    </w:p>
    <w:p>
      <w:pPr>
        <w:ind w:left="40" w:right="179" w:firstLine="305"/>
        <w:spacing w:after="0" w:line="250" w:lineRule="auto"/>
        <w:rPr>
          <w:sz w:val="20"/>
          <w:szCs w:val="20"/>
          <w:color w:val="auto"/>
        </w:rPr>
      </w:pPr>
      <w:r>
        <w:rPr>
          <w:rFonts w:ascii="Times New Roman" w:cs="Times New Roman" w:eastAsia="Times New Roman" w:hAnsi="Times New Roman"/>
          <w:sz w:val="17"/>
          <w:szCs w:val="17"/>
          <w:color w:val="auto"/>
        </w:rPr>
        <w:t>Climate change, and laws, regulations and policies regarding climate change and the disclosure of climate change-related information and risks, could also pose additional legal or regulatory requirements related to greenhouse gas emissions reporting, carbon pricing, and mandatory reduction targets. The SEC issued an order staying implementation of the SEC Climate Disclosure Rules pending the resolution of certain challenges; moreover, the ultimate fate of the SEC Climate Disclosure Rules under the Trump administration is uncertain. Climate change and ESG related disclosure and diligence rules have also been enacted or proposed in the EU and other jurisdictions. Our legal, accounting, and other compliance expenses may increase significantly, and compliance efforts may divert management time and attention, as we prepare for the potential implementation of the SEC Climate Disclosure Rules and climate change disclosure requirements in the EU and other jurisdictions. As such, existing climate change-related requirements, and any more stringent requirements in the future, could increase our costs of sourcing, production, and transportation,</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329565</wp:posOffset>
            </wp:positionV>
            <wp:extent cx="5657850" cy="24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40" w:right="219"/>
        <w:spacing w:after="0" w:line="263" w:lineRule="auto"/>
        <w:rPr>
          <w:sz w:val="20"/>
          <w:szCs w:val="20"/>
          <w:color w:val="auto"/>
        </w:rPr>
      </w:pPr>
      <w:r>
        <w:rPr>
          <w:rFonts w:ascii="Times New Roman" w:cs="Times New Roman" w:eastAsia="Times New Roman" w:hAnsi="Times New Roman"/>
          <w:sz w:val="17"/>
          <w:szCs w:val="17"/>
          <w:color w:val="auto"/>
        </w:rPr>
        <w:t>increase our costs of compliance with disclosure and reporting requirements, as well as have negative reputational impacts if we fail to meet such requirements, and could have a material adverse effect on our business, financial condition, results of operations and reputation.</w:t>
      </w:r>
    </w:p>
    <w:p>
      <w:pPr>
        <w:spacing w:after="0" w:line="166" w:lineRule="exact"/>
        <w:rPr>
          <w:sz w:val="20"/>
          <w:szCs w:val="20"/>
          <w:color w:val="auto"/>
        </w:rPr>
      </w:pPr>
    </w:p>
    <w:p>
      <w:pPr>
        <w:ind w:left="340" w:right="27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have no history of commercializing biologics or pharmaceutical products, which may make it difficult to evaluate the prospects for our future viability.</w:t>
      </w:r>
    </w:p>
    <w:p>
      <w:pPr>
        <w:spacing w:after="0" w:line="154" w:lineRule="exact"/>
        <w:rPr>
          <w:sz w:val="20"/>
          <w:szCs w:val="20"/>
          <w:color w:val="auto"/>
        </w:rPr>
      </w:pPr>
    </w:p>
    <w:p>
      <w:pPr>
        <w:ind w:left="40" w:right="139" w:firstLine="305"/>
        <w:spacing w:after="0" w:line="251" w:lineRule="auto"/>
        <w:rPr>
          <w:sz w:val="20"/>
          <w:szCs w:val="20"/>
          <w:color w:val="auto"/>
        </w:rPr>
      </w:pPr>
      <w:r>
        <w:rPr>
          <w:rFonts w:ascii="Times New Roman" w:cs="Times New Roman" w:eastAsia="Times New Roman" w:hAnsi="Times New Roman"/>
          <w:sz w:val="17"/>
          <w:szCs w:val="17"/>
          <w:color w:val="auto"/>
        </w:rPr>
        <w:t>We began our operations in 2003. Our operations to date have been limited to financing and staffing our company, developing our technology and developing our product candidates as well as clinical trials. We have not yet demonstrated an ability to successfully complete a large-scale, pivotal clinical study, obtain marketing approval, manufacture a commercial-scale product, or conduct sales and marketing activities necessary for successful product commercialization. Consequently, predictions about our future success or viability may not be as accurate as they could be if we had a history of successfully developing and commercializing biologics or pharmaceutical products.</w:t>
      </w:r>
    </w:p>
    <w:p>
      <w:pPr>
        <w:spacing w:after="0" w:line="178" w:lineRule="exact"/>
        <w:rPr>
          <w:sz w:val="20"/>
          <w:szCs w:val="20"/>
          <w:color w:val="auto"/>
        </w:rPr>
      </w:pPr>
    </w:p>
    <w:p>
      <w:pPr>
        <w:ind w:left="340" w:right="55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Our future growth and ability to compete depends on retaining our key personnel and recruiting additional qualified personnel.</w:t>
      </w:r>
    </w:p>
    <w:p>
      <w:pPr>
        <w:spacing w:after="0" w:line="154" w:lineRule="exact"/>
        <w:rPr>
          <w:sz w:val="20"/>
          <w:szCs w:val="20"/>
          <w:color w:val="auto"/>
        </w:rPr>
      </w:pPr>
    </w:p>
    <w:p>
      <w:pPr>
        <w:ind w:left="40" w:right="79" w:firstLine="305"/>
        <w:spacing w:after="0" w:line="251" w:lineRule="auto"/>
        <w:rPr>
          <w:sz w:val="20"/>
          <w:szCs w:val="20"/>
          <w:color w:val="auto"/>
        </w:rPr>
      </w:pPr>
      <w:r>
        <w:rPr>
          <w:rFonts w:ascii="Times New Roman" w:cs="Times New Roman" w:eastAsia="Times New Roman" w:hAnsi="Times New Roman"/>
          <w:sz w:val="17"/>
          <w:szCs w:val="17"/>
          <w:color w:val="auto"/>
        </w:rPr>
        <w:t>Our success depends upon the continued contributions of our key management, scientific and technical personnel, many of whom have substantial experience with or been instrumental for us and our projects. Members of our key management include Andrea Pfeifer, Ph.D., our Chief Executive Officer; Christopher Roberts, our Chief Financial Officer; Piergiorgio Donati, our Chief Technical Operations Officer; Mark Danton, our Executive Vice President (EVP) EVP Artificial Intelligence and Information Systems; Günther Staffler, Ph.D., our EVP Development; Francesca Capotosti, Ph.D., our VP Research; Julien Rongère, Ph.D., our SVP for Regulatory Affairs and Quality Assurance; Gary Waanders, Ph.D., our SVP Investor Relations and Corporate Communications; Matthias Maurer, Ph.D., our SVP General Counsel; Bojana Portmann, Ph.D., our Vice President (VP) for Intellectual Property and Business Development (VP IP and BD); and Olivier Sol, M.D., our VP, Clinical Safety Officer.</w:t>
      </w:r>
    </w:p>
    <w:p>
      <w:pPr>
        <w:spacing w:after="0" w:line="179" w:lineRule="exact"/>
        <w:rPr>
          <w:sz w:val="20"/>
          <w:szCs w:val="20"/>
          <w:color w:val="auto"/>
        </w:rPr>
      </w:pPr>
    </w:p>
    <w:p>
      <w:pPr>
        <w:ind w:left="40" w:right="119" w:firstLine="305"/>
        <w:spacing w:after="0" w:line="249" w:lineRule="auto"/>
        <w:rPr>
          <w:sz w:val="20"/>
          <w:szCs w:val="20"/>
          <w:color w:val="auto"/>
        </w:rPr>
      </w:pPr>
      <w:r>
        <w:rPr>
          <w:rFonts w:ascii="Times New Roman" w:cs="Times New Roman" w:eastAsia="Times New Roman" w:hAnsi="Times New Roman"/>
          <w:sz w:val="17"/>
          <w:szCs w:val="17"/>
          <w:color w:val="auto"/>
        </w:rPr>
        <w:t>The loss of our key managers and senior scientists could delay our research and development activities. Laws and regulations on executive compensation, including legislation in our home country, Switzerland, may restrict our ability to attract, motivate and retain the required level of qualified personnel. In Switzerland, legislation affecting public companies is in force that, among other things, imposes an annual binding shareholders’ “say on pay” vote with respect to the total compensation of executive management, including executive officers and the board of directors, and prohibits severance or similar payment, bonuses for company purchases and sales, and additional contracts as consultants to or employees of other companies in the group. In addition, the competition for qualified personnel in the pharmaceutical and biopharmaceutical field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implement our business strategy, which could have a material adverse effect on our business.</w:t>
      </w:r>
    </w:p>
    <w:p>
      <w:pPr>
        <w:spacing w:after="0" w:line="176" w:lineRule="exact"/>
        <w:rPr>
          <w:sz w:val="20"/>
          <w:szCs w:val="20"/>
          <w:color w:val="auto"/>
        </w:rPr>
      </w:pPr>
    </w:p>
    <w:p>
      <w:pPr>
        <w:jc w:val="both"/>
        <w:ind w:left="340" w:right="5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We may become exposed to costly and damaging liability claims, either when testing our product candidates in the clinic or at the commercial stage or as a result of claims against our directors and officers; and our liability insurance may not cover all damages from such claims.</w:t>
      </w:r>
    </w:p>
    <w:p>
      <w:pPr>
        <w:spacing w:after="0" w:line="166" w:lineRule="exact"/>
        <w:rPr>
          <w:sz w:val="20"/>
          <w:szCs w:val="20"/>
          <w:color w:val="auto"/>
        </w:rPr>
      </w:pPr>
    </w:p>
    <w:p>
      <w:pPr>
        <w:ind w:left="40" w:right="59" w:firstLine="305"/>
        <w:spacing w:after="0" w:line="251" w:lineRule="auto"/>
        <w:rPr>
          <w:sz w:val="20"/>
          <w:szCs w:val="20"/>
          <w:color w:val="auto"/>
        </w:rPr>
      </w:pPr>
      <w:r>
        <w:rPr>
          <w:rFonts w:ascii="Times New Roman" w:cs="Times New Roman" w:eastAsia="Times New Roman" w:hAnsi="Times New Roman"/>
          <w:sz w:val="17"/>
          <w:szCs w:val="17"/>
          <w:color w:val="auto"/>
        </w:rPr>
        <w:t>We are exposed to potential clinical trial liability and professional indemnity risks that are inherent in the research, development, manufacturing, marketing and use of pharmaceutical or biopharmaceutical products. Currently we have no products that have been approved for commercial sale, however, our current and future use of product candidates in clinical studies, and the sale of any approved products in the future, may expose us to liability claims. These claims might be made by patients that use the product, by healthcare providers, or by pharmaceutical or biopharmaceutical companies or others selling such products. Any claims against us, regardless of their merit, could be difficult and costly to defend and could materially adversely affect the market for our product candidates or any prospects for commercialization of our product candidates.</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329565</wp:posOffset>
            </wp:positionV>
            <wp:extent cx="5657850" cy="24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199" w:firstLine="305"/>
        <w:spacing w:after="0" w:line="256" w:lineRule="auto"/>
        <w:rPr>
          <w:sz w:val="20"/>
          <w:szCs w:val="20"/>
          <w:color w:val="auto"/>
        </w:rPr>
      </w:pPr>
      <w:r>
        <w:rPr>
          <w:rFonts w:ascii="Times New Roman" w:cs="Times New Roman" w:eastAsia="Times New Roman" w:hAnsi="Times New Roman"/>
          <w:sz w:val="17"/>
          <w:szCs w:val="17"/>
          <w:color w:val="auto"/>
        </w:rPr>
        <w:t>Although the clinical study process is designed to identify and assess potential side effects, it is always possible that a drug, even after regulatory approval, may exhibit unforeseen side effects. If any of our product candidates were to cause adverse side effects during clinical studies or after approval of the product candidate, we may be exposed to substantial liabilities. Physicians and patients may not comply with any warnings that identify known potential adverse effects and patients who should not use our product candidates.</w:t>
      </w:r>
    </w:p>
    <w:p>
      <w:pPr>
        <w:spacing w:after="0" w:line="176" w:lineRule="exact"/>
        <w:rPr>
          <w:sz w:val="20"/>
          <w:szCs w:val="20"/>
          <w:color w:val="auto"/>
        </w:rPr>
      </w:pPr>
    </w:p>
    <w:p>
      <w:pPr>
        <w:ind w:left="40" w:right="79" w:firstLine="305"/>
        <w:spacing w:after="0" w:line="251" w:lineRule="auto"/>
        <w:rPr>
          <w:sz w:val="20"/>
          <w:szCs w:val="20"/>
          <w:color w:val="auto"/>
        </w:rPr>
      </w:pPr>
      <w:r>
        <w:rPr>
          <w:rFonts w:ascii="Times New Roman" w:cs="Times New Roman" w:eastAsia="Times New Roman" w:hAnsi="Times New Roman"/>
          <w:sz w:val="17"/>
          <w:szCs w:val="17"/>
          <w:color w:val="auto"/>
        </w:rPr>
        <w:t>We purchase liability insurance in connection with the clinical studies that we undertake and for the purpose of indemnifying our directors and officers for claims against them in amounts that we consider to be consistent with industry norms. It is possible that our liabilities could exceed our insurance coverage. For example, if we obtain marketing approval for any of our product candidates, we will intend to expand our insurance coverage to include the sale of commercial products. However, we may not be able to maintain insurance coverage at a reasonable cost or obtain insurance coverage that will be adequate to satisfy any liability that may arise. If a successful liability claim or series of claims is brought against us for uninsured liabilities or in excess of insured liabilities, our assets may not be sufficient to cover such claims and our business operations could be impaired.</w:t>
      </w:r>
    </w:p>
    <w:p>
      <w:pPr>
        <w:spacing w:after="0" w:line="181" w:lineRule="exact"/>
        <w:rPr>
          <w:sz w:val="20"/>
          <w:szCs w:val="20"/>
          <w:color w:val="auto"/>
        </w:rPr>
      </w:pPr>
    </w:p>
    <w:p>
      <w:pPr>
        <w:ind w:left="40" w:right="199" w:firstLine="305"/>
        <w:spacing w:after="0" w:line="277" w:lineRule="auto"/>
        <w:rPr>
          <w:sz w:val="20"/>
          <w:szCs w:val="20"/>
          <w:color w:val="auto"/>
        </w:rPr>
      </w:pPr>
      <w:r>
        <w:rPr>
          <w:rFonts w:ascii="Times New Roman" w:cs="Times New Roman" w:eastAsia="Times New Roman" w:hAnsi="Times New Roman"/>
          <w:sz w:val="17"/>
          <w:szCs w:val="17"/>
          <w:color w:val="auto"/>
        </w:rPr>
        <w:t>Should any of the events described above occur, this could have a material adverse effect on our business, financial condition and results of operations.</w:t>
      </w:r>
    </w:p>
    <w:p>
      <w:pPr>
        <w:spacing w:after="0" w:line="141" w:lineRule="exact"/>
        <w:rPr>
          <w:sz w:val="20"/>
          <w:szCs w:val="20"/>
          <w:color w:val="auto"/>
        </w:rPr>
      </w:pPr>
    </w:p>
    <w:p>
      <w:pPr>
        <w:ind w:left="340" w:right="99"/>
        <w:spacing w:after="0" w:line="290" w:lineRule="auto"/>
        <w:rPr>
          <w:sz w:val="20"/>
          <w:szCs w:val="20"/>
          <w:color w:val="auto"/>
        </w:rPr>
      </w:pPr>
      <w:r>
        <w:rPr>
          <w:rFonts w:ascii="Times New Roman" w:cs="Times New Roman" w:eastAsia="Times New Roman" w:hAnsi="Times New Roman"/>
          <w:sz w:val="16"/>
          <w:szCs w:val="16"/>
          <w:b w:val="1"/>
          <w:bCs w:val="1"/>
          <w:i w:val="1"/>
          <w:iCs w:val="1"/>
          <w:color w:val="auto"/>
        </w:rPr>
        <w:t>We may seek to obtain orphan-drug designation for certain of our product candidates. Orphan-drug designation may not ensure that we will enjoy market exclusivity in a particular market, and if we fail to obtain or maintain orphan-drug exclusivity for such product candidates, we may be subject to earlier competition and our potential revenue will be reduced.</w:t>
      </w:r>
    </w:p>
    <w:p>
      <w:pPr>
        <w:spacing w:after="0" w:line="149" w:lineRule="exact"/>
        <w:rPr>
          <w:sz w:val="20"/>
          <w:szCs w:val="20"/>
          <w:color w:val="auto"/>
        </w:rPr>
      </w:pPr>
    </w:p>
    <w:p>
      <w:pPr>
        <w:ind w:left="40" w:right="59" w:firstLine="305"/>
        <w:spacing w:after="0" w:line="250" w:lineRule="auto"/>
        <w:rPr>
          <w:sz w:val="20"/>
          <w:szCs w:val="20"/>
          <w:color w:val="auto"/>
        </w:rPr>
      </w:pPr>
      <w:r>
        <w:rPr>
          <w:rFonts w:ascii="Times New Roman" w:cs="Times New Roman" w:eastAsia="Times New Roman" w:hAnsi="Times New Roman"/>
          <w:sz w:val="17"/>
          <w:szCs w:val="17"/>
          <w:color w:val="auto"/>
        </w:rPr>
        <w:t>Under the Orphan Drug Act, the FDA may designate a product as an orphan drug if it is intended to treat a rare disease or condition, defined as a patient population of fewer than 200,000 in the U.S., or a patient population greater than 200,000 in the U.S. where there is no reasonable expectation that the cost of developing the drug will be recovered from sales in the U.S. In the European Union (EU), the EMA’s Committee for Orphan Medicinal Products grants orphan-drug designation to promote the development of products that meet the following criteria: a) they are intended for the diagnosis, prevention, or treatment of a life-threatening or chronically debilitating condition affecting not more than 5 in 10,000 persons in the EU or for products that are intended for the diagnosis, prevention or treatment of a life-threatening, seriously debilitating or serious and chronic condition when, without incentives, it is unlikely that sales of the drug in the EU would be sufficient to justify the necessary investment in developing the drug or biological product; and b) there is no satisfactory method of diagnosis, prevention, or treatment, or, if such a method exists, the medicine must be of significant benefit to those affected by the condition.</w:t>
      </w:r>
    </w:p>
    <w:p>
      <w:pPr>
        <w:spacing w:after="0" w:line="185" w:lineRule="exact"/>
        <w:rPr>
          <w:sz w:val="20"/>
          <w:szCs w:val="20"/>
          <w:color w:val="auto"/>
        </w:rPr>
      </w:pPr>
    </w:p>
    <w:p>
      <w:pPr>
        <w:ind w:left="40" w:right="99" w:firstLine="305"/>
        <w:spacing w:after="0" w:line="249" w:lineRule="auto"/>
        <w:rPr>
          <w:sz w:val="20"/>
          <w:szCs w:val="20"/>
          <w:color w:val="auto"/>
        </w:rPr>
      </w:pPr>
      <w:r>
        <w:rPr>
          <w:rFonts w:ascii="Times New Roman" w:cs="Times New Roman" w:eastAsia="Times New Roman" w:hAnsi="Times New Roman"/>
          <w:sz w:val="17"/>
          <w:szCs w:val="17"/>
          <w:color w:val="auto"/>
        </w:rPr>
        <w:t>In the U.S., orphan-drug designation entitles a party to financial incentives such as opportunities for grant funding toward clinical study costs, tax advantages and user-fee waivers. In addition, if a product receives the first FDA approval for the indication for which it has orphan designation, the product is entitled to orphan-drug exclusivity, which means that the FDA cannot approve any other application to market the same drug for the same indication for a period of 7 years, except in limited circumstances, such as a showing of clinical superiority over the product with orphan exclusivity or if the manufacturer is unable to assure sufficient product quantity. In the EU, orphan-drug designation entitles a party to financial incentives such as reduction of fees or fee waivers and 10 years of market exclusivity for the orphan indication following drug or biological product approval, provided that the criteria for orphan designation are still applicable at the time of the granting of the marketing authorization. This period may be reduced to 6 years if at the end of the fifth year, the orphan-drug designation criteria are no longer met, including where it is shown that the product is sufficiently profitable not to justify maintenance of market exclusivity.</w:t>
      </w:r>
    </w:p>
    <w:p>
      <w:pPr>
        <w:spacing w:after="0" w:line="180" w:lineRule="exact"/>
        <w:rPr>
          <w:sz w:val="20"/>
          <w:szCs w:val="20"/>
          <w:color w:val="auto"/>
        </w:rPr>
      </w:pPr>
    </w:p>
    <w:p>
      <w:pPr>
        <w:ind w:left="40" w:right="79" w:firstLine="305"/>
        <w:spacing w:after="0" w:line="255" w:lineRule="auto"/>
        <w:rPr>
          <w:sz w:val="20"/>
          <w:szCs w:val="20"/>
          <w:color w:val="auto"/>
        </w:rPr>
      </w:pPr>
      <w:r>
        <w:rPr>
          <w:rFonts w:ascii="Times New Roman" w:cs="Times New Roman" w:eastAsia="Times New Roman" w:hAnsi="Times New Roman"/>
          <w:sz w:val="17"/>
          <w:szCs w:val="17"/>
          <w:color w:val="auto"/>
        </w:rPr>
        <w:t>We may not be able to obtain orphan-drug designation for any of our product candidates, and even if we do, we may not be the first to obtain marketing approval for any particular orphan indication due to the uncertainties associated with developing pharmaceutical or biopharmaceutical products. Further, even if we obtain orphan-drug designation for a product, that exclusivity may not effectively protect the product from competition because different drugs with different active moieties can be approved for the same condition. Orphan-drug designation neither shortens the development time or regulatory review time of a drug nor gives the drug any advantage in the regulatory review or approval process.</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Due to our limited resources and access to capital, we must prioritize development of certain product candidates.</w:t>
      </w:r>
    </w:p>
    <w:p>
      <w:pPr>
        <w:spacing w:after="0" w:line="215" w:lineRule="exact"/>
        <w:rPr>
          <w:sz w:val="20"/>
          <w:szCs w:val="20"/>
          <w:color w:val="auto"/>
        </w:rPr>
      </w:pPr>
    </w:p>
    <w:p>
      <w:pPr>
        <w:ind w:left="40" w:right="259" w:firstLine="305"/>
        <w:spacing w:after="0" w:line="251" w:lineRule="auto"/>
        <w:rPr>
          <w:sz w:val="20"/>
          <w:szCs w:val="20"/>
          <w:color w:val="auto"/>
        </w:rPr>
      </w:pPr>
      <w:r>
        <w:rPr>
          <w:rFonts w:ascii="Times New Roman" w:cs="Times New Roman" w:eastAsia="Times New Roman" w:hAnsi="Times New Roman"/>
          <w:sz w:val="17"/>
          <w:szCs w:val="17"/>
          <w:color w:val="auto"/>
        </w:rPr>
        <w:t>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compounds, product candidates or therapeutic areas may not lead to the development of viable commercial products and may divert resources away from better opportunities. Similarly, our potential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pharmaceutical or biopharmaceutical industry, in particular for neurological disorders, our business, financial condition and results of operations could be materially adversely affected.</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Our research and development activities could be affected or delayed as a result of possible restrictions on animal testing.</w:t>
      </w:r>
    </w:p>
    <w:p>
      <w:pPr>
        <w:spacing w:after="0" w:line="215" w:lineRule="exact"/>
        <w:rPr>
          <w:sz w:val="20"/>
          <w:szCs w:val="20"/>
          <w:color w:val="auto"/>
        </w:rPr>
      </w:pPr>
    </w:p>
    <w:p>
      <w:pPr>
        <w:ind w:left="40" w:right="179" w:firstLine="305"/>
        <w:spacing w:after="0" w:line="252" w:lineRule="auto"/>
        <w:rPr>
          <w:sz w:val="20"/>
          <w:szCs w:val="20"/>
          <w:color w:val="auto"/>
        </w:rPr>
      </w:pPr>
      <w:r>
        <w:rPr>
          <w:rFonts w:ascii="Times New Roman" w:cs="Times New Roman" w:eastAsia="Times New Roman" w:hAnsi="Times New Roman"/>
          <w:sz w:val="17"/>
          <w:szCs w:val="17"/>
          <w:color w:val="auto"/>
        </w:rPr>
        <w:t>Certain laws and regulations require us to test our product candidates on animals before initiating clinical studies in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that the activities of these groups are successful, our research and development activities may be interrupted, delayed or become more expensive.</w:t>
      </w:r>
    </w:p>
    <w:p>
      <w:pPr>
        <w:spacing w:after="0" w:line="175" w:lineRule="exact"/>
        <w:rPr>
          <w:sz w:val="20"/>
          <w:szCs w:val="20"/>
          <w:color w:val="auto"/>
        </w:rPr>
      </w:pPr>
    </w:p>
    <w:p>
      <w:pPr>
        <w:ind w:left="340" w:right="25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A breakdown or breach of our information technology systems and cybersecurity efforts, or those of our key business partners, CROs or service providers, could subject us to liability or reputational damage or interrupt the operation of our business.</w:t>
      </w:r>
    </w:p>
    <w:p>
      <w:pPr>
        <w:spacing w:after="0" w:line="166" w:lineRule="exact"/>
        <w:rPr>
          <w:sz w:val="20"/>
          <w:szCs w:val="20"/>
          <w:color w:val="auto"/>
        </w:rPr>
      </w:pPr>
    </w:p>
    <w:p>
      <w:pPr>
        <w:ind w:left="40" w:right="79" w:firstLine="305"/>
        <w:spacing w:after="0" w:line="251" w:lineRule="auto"/>
        <w:rPr>
          <w:sz w:val="20"/>
          <w:szCs w:val="20"/>
          <w:color w:val="auto"/>
        </w:rPr>
      </w:pPr>
      <w:r>
        <w:rPr>
          <w:rFonts w:ascii="Times New Roman" w:cs="Times New Roman" w:eastAsia="Times New Roman" w:hAnsi="Times New Roman"/>
          <w:sz w:val="17"/>
          <w:szCs w:val="17"/>
          <w:color w:val="auto"/>
        </w:rPr>
        <w:t>We are increasingly dependent upon technology systems and data. Our computer systems continue to increase in multitude and complexity due to the growth in our business, making them potentially vulnerable to breakdown, malicious intrusion and random attack. Despite the implementation of security measures, our internal computer systems and those of our key business partners, CROs and service providers may be vulnerable to damage from computer viruses, unauthorized access or other similar cyber-attacks or incidents. Events such as these have significantly increased in recent years, in part because of the proliferation of new technologies (including artificial intelligence), and if such an event were to occur and cause interruptions in our operations, it could result in a material disruption of our development programs and our business operations.</w:t>
      </w:r>
    </w:p>
    <w:p>
      <w:pPr>
        <w:spacing w:after="0" w:line="181" w:lineRule="exact"/>
        <w:rPr>
          <w:sz w:val="20"/>
          <w:szCs w:val="20"/>
          <w:color w:val="auto"/>
        </w:rPr>
      </w:pPr>
    </w:p>
    <w:p>
      <w:pPr>
        <w:ind w:left="40" w:right="59" w:firstLine="305"/>
        <w:spacing w:after="0" w:line="249" w:lineRule="auto"/>
        <w:rPr>
          <w:sz w:val="20"/>
          <w:szCs w:val="20"/>
          <w:color w:val="auto"/>
        </w:rPr>
      </w:pPr>
      <w:r>
        <w:rPr>
          <w:rFonts w:ascii="Times New Roman" w:cs="Times New Roman" w:eastAsia="Times New Roman" w:hAnsi="Times New Roman"/>
          <w:sz w:val="17"/>
          <w:szCs w:val="17"/>
          <w:color w:val="auto"/>
        </w:rPr>
        <w:t>Data privacy or security breaches, cyber-attacks and other cybersecurity incidents, including those by individuals authorized to access our technology systems or others, may pose a risk that sensitive data, including intellectual property, trade secrets or personal information belonging to us, our patients, study subjects or other business partners, may be exposed to unauthorized persons or to the public. Cyber-attacks are increasing in their frequency, sophistication and intensity, and are becoming increasingly difficult to detect. They are often carried out by motivated, well-resourced, skilled and persistent actors, including nation states, state-sponsored actors, organized crime groups, “hacktivists”, employees or contractors acting with malicious intent and other external actors, and such actors may see their effectiveness enhanced by the use of artificial intelligence. Cyber-attacks could include the deployment of harmful malware and key loggers, ransomware, a denial-of-service attack, a malicious website, phishing attacks, computer viruses, social engineering and other means to affect the confidentiality, integrity, availability and traceability of our technology systems and data. Our systems and networks are also vulnerable to damage or interruption from, among other things, software bugs, server malfunctions, software or hardware failure, telecommunications failures, insider theft, human error, fire, terrorist attacks, natural disasters, power loss, war, misuse, mistake, fraud, misconduct or other events that may harm our systems and networks. Our key business partners, CROs and service providers face similar risks, and any security breach or other failure of their systems could adversely affect our security posture. For example, the loss of clinical trial data from completed, ongoing or future clinical trials could result in delays in our regulatory approval efforts and significantly increase our costs to recover or reproduce the data. Likewise, we rely on our third-party research institution collaborators for research and development of our product candidates and on other third parties for the manufacture of our product candidates and to conduct clinical trials, and similar events relating to their computer</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7"/>
          <w:szCs w:val="17"/>
          <w:color w:val="auto"/>
        </w:rPr>
        <w:t>systems could also have a material adverse effect on our business. Our ability to evaluate and monitor our CROs’, contractors’ and consultants’ data security practices are limited, and due to applicable laws and regulations or contractual obligations, we may be held responsible for any security breaches or cybersecurity attack attributed to them as they relate to the information we share with them. To the extent that any disruption or security breach were to result in a loss of, or damage to, our data or systems, or inappropriate disclosure of confidential or proprietary information or personal data of our employees, partners or study subjects, we could incur liability including notification obligations (including to the impacted individuals and applicable regulators or supervisory authorities), and the further development and commercialization of our product candidates could be delayed.</w:t>
      </w:r>
    </w:p>
    <w:p>
      <w:pPr>
        <w:spacing w:after="0" w:line="164" w:lineRule="exact"/>
        <w:rPr>
          <w:sz w:val="20"/>
          <w:szCs w:val="20"/>
          <w:color w:val="auto"/>
        </w:rPr>
      </w:pPr>
    </w:p>
    <w:p>
      <w:pPr>
        <w:ind w:left="40" w:right="59" w:firstLine="305"/>
        <w:spacing w:after="0" w:line="249" w:lineRule="auto"/>
        <w:rPr>
          <w:sz w:val="20"/>
          <w:szCs w:val="20"/>
          <w:color w:val="auto"/>
        </w:rPr>
      </w:pPr>
      <w:r>
        <w:rPr>
          <w:rFonts w:ascii="Times New Roman" w:cs="Times New Roman" w:eastAsia="Times New Roman" w:hAnsi="Times New Roman"/>
          <w:sz w:val="17"/>
          <w:szCs w:val="17"/>
          <w:color w:val="auto"/>
        </w:rPr>
        <w:t>Although we continue to build and improve our systems and infrastructure, and to implement technical, organizational and legal security measures, and believe we have taken appropriate security measures to reduce these risks to our data and information technology systems, there can be no assurance that our efforts will prevent, detect or appropriately respond to breakdowns or breaches in our systems that could adversely affect our business and operations and/or result in the loss of critical or sensitive information, including personal information, which could result in financial, legal, business or reputational harm to us. We continue to invest in industry standard IS/IT solutions and managed services that often include the relevant, layered protection and monitoring practices surrounding our data and IT systems and related infrastructure. These investments reduce further these risks in that they enable organizations such as ours to leverage the resources necessary to monitor IT systems and infrastructure for any current or potential threats. We also regularly perform risk and impact assessments, the results of which generally lead to the implementation of certain measures designed to increase our level of data protection. These investments are costly, and as cyber threats continue to evolve, we may be required to expend significant, additional resources to continue to modify and/or enhance our protective, detective and responsive measures required to remediate any identified information security vulnerabilities. In addition, our liability insurance may not be sufficient in type or amount to cover us against claims related to security breaches, cyber-attacks and other related breaches, and we cannot be sure that our existing coverage will continue to be available on acceptable terms or at all, or that our insurers will not deny coverage as to any future claim. We may be required to expend significant capital and other resources to protect against and respond to any attempted or existing cybersecurity incidents. In addition, our remediation efforts may not be successful.</w:t>
      </w:r>
    </w:p>
    <w:p>
      <w:pPr>
        <w:spacing w:after="0" w:line="182" w:lineRule="exact"/>
        <w:rPr>
          <w:sz w:val="20"/>
          <w:szCs w:val="20"/>
          <w:color w:val="auto"/>
        </w:rPr>
      </w:pPr>
    </w:p>
    <w:p>
      <w:pPr>
        <w:ind w:left="40" w:right="119" w:firstLine="305"/>
        <w:spacing w:after="0" w:line="256" w:lineRule="auto"/>
        <w:rPr>
          <w:sz w:val="20"/>
          <w:szCs w:val="20"/>
          <w:color w:val="auto"/>
        </w:rPr>
      </w:pPr>
      <w:r>
        <w:rPr>
          <w:rFonts w:ascii="Times New Roman" w:cs="Times New Roman" w:eastAsia="Times New Roman" w:hAnsi="Times New Roman"/>
          <w:sz w:val="17"/>
          <w:szCs w:val="17"/>
          <w:color w:val="auto"/>
        </w:rPr>
        <w:t>In addition, certain global geo-political events can increase our cybersecurity risk. For example, due to the recent Russia-Ukraine conflict, there have been publicized threats to increase cyber-attack activity against the critical infrastructure of any nation or organization that retaliates against Russia for its invasion of Ukraine. There may also be increased risks of cyber-attacks as a result of the unfolding events in Israel, the Gaza Strip, Lebanon and Iran. Any such increase in such attacks on us or our key business partners, CROs or service providers could adversely affect our systems or other operations.</w:t>
      </w:r>
    </w:p>
    <w:p>
      <w:pPr>
        <w:spacing w:after="0" w:line="159" w:lineRule="exact"/>
        <w:rPr>
          <w:sz w:val="20"/>
          <w:szCs w:val="20"/>
          <w:color w:val="auto"/>
        </w:rPr>
      </w:pPr>
    </w:p>
    <w:p>
      <w:pPr>
        <w:ind w:left="340" w:right="15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Changes in laws, rules, regulations or standards relating to data privacy and security, or any actual or perceived failure by us to comply with such laws, rules, regulations and standards, or contractual or other obligations relating to data privacy and security, could result in claims, changes to our business practices, penalties, increased cost of operations and could have a material adverse effect on our reputation, results of operations, financial condition and cash flows.</w:t>
      </w:r>
    </w:p>
    <w:p>
      <w:pPr>
        <w:spacing w:after="0" w:line="172" w:lineRule="exact"/>
        <w:rPr>
          <w:sz w:val="20"/>
          <w:szCs w:val="20"/>
          <w:color w:val="auto"/>
        </w:rPr>
      </w:pPr>
    </w:p>
    <w:p>
      <w:pPr>
        <w:ind w:left="40" w:right="199" w:firstLine="305"/>
        <w:spacing w:after="0" w:line="250" w:lineRule="auto"/>
        <w:rPr>
          <w:sz w:val="20"/>
          <w:szCs w:val="20"/>
          <w:color w:val="auto"/>
        </w:rPr>
      </w:pPr>
      <w:r>
        <w:rPr>
          <w:rFonts w:ascii="Times New Roman" w:cs="Times New Roman" w:eastAsia="Times New Roman" w:hAnsi="Times New Roman"/>
          <w:sz w:val="17"/>
          <w:szCs w:val="17"/>
          <w:color w:val="auto"/>
        </w:rPr>
        <w:t>We are, and may increasingly become, subject to various laws, rules, regulations, treaties, decisions and standards,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rules, regulations, treaties, decisions and standards may be interpreted and applied differently over time and from jurisdiction to jurisdiction and in a manner that is inconsistent with our data practices and that could have a material adverse effect on our results of operations, financial condition and cash flows. New laws, amendments to or reinterpretations of existing laws, rules, regulations, treaties, decisions, standards and other obligations may require us to incur additional costs and restrict our business operations, and may require us to change how we use, collect, store, transfer or otherwise process certain types of personal information and to implement new processes to comply with those laws.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99" w:firstLine="305"/>
        <w:spacing w:after="0" w:line="250" w:lineRule="auto"/>
        <w:rPr>
          <w:sz w:val="20"/>
          <w:szCs w:val="20"/>
          <w:color w:val="auto"/>
        </w:rPr>
      </w:pPr>
      <w:r>
        <w:rPr>
          <w:rFonts w:ascii="Times New Roman" w:cs="Times New Roman" w:eastAsia="Times New Roman" w:hAnsi="Times New Roman"/>
          <w:sz w:val="17"/>
          <w:szCs w:val="17"/>
          <w:color w:val="auto"/>
        </w:rPr>
        <w:t>In the U.S., there are numerous federal and state laws and regulations related to the privacy and security of personal information. Regulations promulgated pursuant to the U.S. Health Insurance Portability and Accountability Act of 1996 (HIPAA) establish privacy and security standards that limit the use and disclosure of protected health information, and require the implementation of administrative, physical and technological safeguards to protect the privacy of protected health information and to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Numerous states have enacted or are in the process of enacting state level data privacy laws and regulations governing the collection, use, and other processing of state residents’ personal information, such as the California Consumer Privacy Act (CCPA) as amended by the California Privacy Rights Act of 2020 (CPRA), which provides new and enhanced data privacy rights to California residents, such as affording California residents the right to access and delete their information and to opt out of certain sharing and sales of personal information. In addition, laws in all 50 states require businesses to provide notice to individuals whose personal information has been disclosed as a result of a data breach.</w:t>
      </w:r>
    </w:p>
    <w:p>
      <w:pPr>
        <w:spacing w:after="0" w:line="184" w:lineRule="exact"/>
        <w:rPr>
          <w:sz w:val="20"/>
          <w:szCs w:val="20"/>
          <w:color w:val="auto"/>
        </w:rPr>
      </w:pPr>
    </w:p>
    <w:p>
      <w:pPr>
        <w:ind w:left="40" w:right="59" w:firstLine="305"/>
        <w:spacing w:after="0" w:line="247" w:lineRule="auto"/>
        <w:rPr>
          <w:sz w:val="20"/>
          <w:szCs w:val="20"/>
          <w:color w:val="auto"/>
        </w:rPr>
      </w:pPr>
      <w:r>
        <w:rPr>
          <w:rFonts w:ascii="Times New Roman" w:cs="Times New Roman" w:eastAsia="Times New Roman" w:hAnsi="Times New Roman"/>
          <w:sz w:val="17"/>
          <w:szCs w:val="17"/>
          <w:color w:val="auto"/>
        </w:rPr>
        <w:t>Internationally, laws, regulations and standards in many jurisdictions apply broadly to the collection, use, retention, security, disclosure, transfer and other processing of personal information. For example, the EU General Data Protection Regulation (GDPR), which became effective in May 2018, greatly increased the European Commission’s jurisdictional reach of its laws and adds a broad array of requirements for handling personal data. EU Member States are tasked under the GDPR to enact, and to have enacted, certain implementing legislation that adds to and/or further interprets the GDPR requirements and potentially extends our obligations and potential liability for failing to meet such obligations. The GDPR, together with national legislation, regulations and guidelines of the EU Member States and Switzerland (via its Federal Data Protection Act) governing the processing of personal data, impose strict obligations and restrictions on the ability to collect, use, retain, protect, disclose, transfer and otherwise process personal data. In particular, the GDPR includes obligations and restrictions concerning the consent and rights of individuals to whom the personal data relates (and the obligations of sponsors of clinical trials acting as data controllers), the transfer of personal data out of the European Economic Area (EEA), the notification of security breaches and the security and confidentiality of personal data. The GDPR authorizes fines for certain violations of up to 4% of global annual revenue or EUR 20 million, whichever is greater. The GDPR also applies to our key business partners, CROs and service providers, whether or not they are located in Europe, with which we share personal data subject to the GDPR. Additionally, following Brexit, we also are subject to the UK General Data Protection Regulation (UK GDPR) (i.e. a version of the GDPR as implemented into UK law), exposing us to two parallel regimes with potentially divergent interpretations and enforcement actions for certain violations. While the European Commission issued an adequacy decision which was extended until December 2031 in respect of the UK’s data protection framework, enabling data transfers from EU Member States to the UK to continue without requiring organizations to put in place contractual or other measures in order to lawfully transfer personal data between the territories, the relationship between the UK and the EU in relation to certain aspects of data privacy and security law remains unclear. For example, such decision may be revoked in the future by the European Commission if the UK data protection regime is reformed in ways that deviate substantially from the GDPR. Although we do not have material operations in the UK, we cannot rule out potential disruptions in relation to the clinical regulatory framework applicable to our clinical studies in the UK, and to data privacy and security rules with respect to personal data sharing with vendors and clinical investigators in the UK, and we cannot predict future implications. Similarly, while on July 10, 2023 the European Commission adopted an adequacy decision concluding that the U.S. ensures an adequate level of protection for personal data transferred from the EEA to the U.S. under the EU-U.S. Data Privacy Framework (followed on October 12, 2023 with the adoption of an adequacy decision in the UK for the UK-U.S. Data Bridge and on August 14, 2024 by the new Data Privacy Framework between Switzerland and the U.S. adding the U.S. to the list of countries with an adequate level of data protection), such decision has faced, and is likely to face, in the future, legal challenges and ongoing legal uncertainty. In addition, additional costs may need to be incurred in order to implement necessary safeguards to comply with the GDPR, UK GDPR and the Swiss Federal Act on Data Protection (FADP) and potential new rules and restrictions on the flow of data across borders could increase the cost and complexity of conducting business in some markets. If our policies and practices or those of our key business partners, CROs or service providers are, or are perceived to be, insufficient, or if our users have concerns regarding our transfers of data, we could be subject to enforcement actions or investigations by individual EU, UK or Swiss data protection authorities or lawsuits by private parties. While we have taken steps to mitigate the impact of such complexities and uncertainties on us by implementing supplementary measures in accordance with the applicable regulations, the efficacy and longevity of these mechanisms remains uncertain due to the fast-moving regulatory environment.</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329565</wp:posOffset>
            </wp:positionV>
            <wp:extent cx="5657850" cy="24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59" w:firstLine="305"/>
        <w:spacing w:after="0" w:line="250" w:lineRule="auto"/>
        <w:rPr>
          <w:sz w:val="20"/>
          <w:szCs w:val="20"/>
          <w:color w:val="auto"/>
        </w:rPr>
      </w:pPr>
      <w:r>
        <w:rPr>
          <w:rFonts w:ascii="Times New Roman" w:cs="Times New Roman" w:eastAsia="Times New Roman" w:hAnsi="Times New Roman"/>
          <w:sz w:val="17"/>
          <w:szCs w:val="17"/>
          <w:color w:val="auto"/>
        </w:rPr>
        <w:t>All of these evolving compliance and operational requirements impose significant costs, which are likely to increase over time. In addition, such requirements may require us to modify our data processing practices and policies, distract management or divert resources from other initiatives and projects. If we are unable to properly protect the privacy and security of personal information, including protected health information, we could be found to have breached our contracts. In addition, any failure or perceived failure by us to comply with any applicable federal, state or similar foreign laws and regulations relating to data privacy and security could result in damage to our reputation and our relationship with our customers, as well as proceedings or litigation by governmental agencies, customers, partners, collaborators and/or study subjects, including class action privacy litigation in certain jurisdictions, which would subject us to significant fines, sanctions, awards, penalties or judgments, all of which could have a material adverse effect on our business, results of operations, financial condition and prospects.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Business disruptions could seriously harm our future revenue and financial condition and increase our costs and expenses.</w:t>
      </w:r>
    </w:p>
    <w:p>
      <w:pPr>
        <w:spacing w:after="0" w:line="226" w:lineRule="exact"/>
        <w:rPr>
          <w:sz w:val="20"/>
          <w:szCs w:val="20"/>
          <w:color w:val="auto"/>
        </w:rPr>
      </w:pPr>
    </w:p>
    <w:p>
      <w:pPr>
        <w:ind w:left="40" w:right="79" w:firstLine="305"/>
        <w:spacing w:after="0" w:line="249" w:lineRule="auto"/>
        <w:rPr>
          <w:sz w:val="20"/>
          <w:szCs w:val="20"/>
          <w:color w:val="auto"/>
        </w:rPr>
      </w:pPr>
      <w:r>
        <w:rPr>
          <w:rFonts w:ascii="Times New Roman" w:cs="Times New Roman" w:eastAsia="Times New Roman" w:hAnsi="Times New Roman"/>
          <w:sz w:val="17"/>
          <w:szCs w:val="17"/>
          <w:color w:val="auto"/>
        </w:rPr>
        <w:t>Our operations, and those of our third-party research institution collaborators, CROs, CMOs,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the ongoing conflicts between Russia and Ukraine and Israel and Hamas have caused, and may cause additional, political and economic disruptions. Governments in the United States, United Kingdom and European Union have imposed certain sanctions against Russia. The invasion of Ukraine and the retaliatory measures that have been taken, or could be taken in the future, by the United States, NATO, and other countries have created global security concerns that could result in a regional conflict and otherwise have a lasting impact on regional and global economies, any or all of which could disrupt our supply chain, adversely affect our ability to conduct ongoing and future clinical trials of our product candidates, and adversely affect our ability to commercialize our products (subject to regulatory approval) in this region. Currently, none of our clinical development or business activities are conducted directly or otherwise in Russia or Ukraine.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by other business interruption.</w:t>
      </w:r>
    </w:p>
    <w:p>
      <w:pPr>
        <w:spacing w:after="0" w:line="182" w:lineRule="exact"/>
        <w:rPr>
          <w:sz w:val="20"/>
          <w:szCs w:val="20"/>
          <w:color w:val="auto"/>
        </w:rPr>
      </w:pPr>
    </w:p>
    <w:p>
      <w:pPr>
        <w:ind w:left="40" w:right="139" w:firstLine="305"/>
        <w:spacing w:after="0" w:line="251" w:lineRule="auto"/>
        <w:rPr>
          <w:sz w:val="20"/>
          <w:szCs w:val="20"/>
          <w:color w:val="auto"/>
        </w:rPr>
      </w:pPr>
      <w:r>
        <w:rPr>
          <w:rFonts w:ascii="Times New Roman" w:cs="Times New Roman" w:eastAsia="Times New Roman" w:hAnsi="Times New Roman"/>
          <w:sz w:val="17"/>
          <w:szCs w:val="17"/>
          <w:color w:val="auto"/>
        </w:rPr>
        <w:t>The vast majority of our operations including our corporate headquarters are located in Ecublens, near Lausanne, Canton of Vaud, Switzerland.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178" w:lineRule="exact"/>
        <w:rPr>
          <w:sz w:val="20"/>
          <w:szCs w:val="20"/>
          <w:color w:val="auto"/>
        </w:rPr>
      </w:pPr>
    </w:p>
    <w:p>
      <w:pPr>
        <w:ind w:left="340" w:right="21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have never commercialized a product candidate before and may lack the necessary expertise, personnel and resources to successfully commercialize our products on our own or together with suitable partners.</w:t>
      </w:r>
    </w:p>
    <w:p>
      <w:pPr>
        <w:spacing w:after="0" w:line="154" w:lineRule="exact"/>
        <w:rPr>
          <w:sz w:val="20"/>
          <w:szCs w:val="20"/>
          <w:color w:val="auto"/>
        </w:rPr>
      </w:pPr>
    </w:p>
    <w:p>
      <w:pPr>
        <w:ind w:left="40" w:right="439" w:firstLine="305"/>
        <w:spacing w:after="0" w:line="263" w:lineRule="auto"/>
        <w:rPr>
          <w:sz w:val="20"/>
          <w:szCs w:val="20"/>
          <w:color w:val="auto"/>
        </w:rPr>
      </w:pPr>
      <w:r>
        <w:rPr>
          <w:rFonts w:ascii="Times New Roman" w:cs="Times New Roman" w:eastAsia="Times New Roman" w:hAnsi="Times New Roman"/>
          <w:sz w:val="17"/>
          <w:szCs w:val="17"/>
          <w:color w:val="auto"/>
        </w:rPr>
        <w:t>We have never commercialized a product candidate, and we currently have no sales force, marketing or distribution capabilities. To achieve commercial success for our product candidates, we will have to develop our own sales, marketing and supply organization or outsource these activities to third parties.</w:t>
      </w:r>
    </w:p>
    <w:p>
      <w:pPr>
        <w:spacing w:after="0" w:line="157" w:lineRule="exact"/>
        <w:rPr>
          <w:sz w:val="20"/>
          <w:szCs w:val="20"/>
          <w:color w:val="auto"/>
        </w:rPr>
      </w:pPr>
    </w:p>
    <w:p>
      <w:pPr>
        <w:ind w:left="40" w:right="119" w:firstLine="305"/>
        <w:spacing w:after="0" w:line="251" w:lineRule="auto"/>
        <w:rPr>
          <w:sz w:val="20"/>
          <w:szCs w:val="20"/>
          <w:color w:val="auto"/>
        </w:rPr>
      </w:pPr>
      <w:r>
        <w:rPr>
          <w:rFonts w:ascii="Times New Roman" w:cs="Times New Roman" w:eastAsia="Times New Roman" w:hAnsi="Times New Roman"/>
          <w:sz w:val="17"/>
          <w:szCs w:val="17"/>
          <w:color w:val="auto"/>
        </w:rPr>
        <w:t>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addition, successful commercialization also requires an enhanced regulatory organization which we currently do not have. If we are unable to build our own distribution and marketing capabilities, are unable to find suitable partners for the commercialization of our product candidates or do not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319"/>
        <w:spacing w:after="0" w:line="277" w:lineRule="auto"/>
        <w:rPr>
          <w:sz w:val="20"/>
          <w:szCs w:val="20"/>
          <w:color w:val="auto"/>
        </w:rPr>
      </w:pPr>
      <w:r>
        <w:rPr>
          <w:rFonts w:ascii="Times New Roman" w:cs="Times New Roman" w:eastAsia="Times New Roman" w:hAnsi="Times New Roman"/>
          <w:sz w:val="17"/>
          <w:szCs w:val="17"/>
          <w:color w:val="auto"/>
        </w:rPr>
        <w:t>successfully obtain the necessary regulatory capabilities, we may not generate revenues from them or be able to reach or sustain profitability.</w:t>
      </w:r>
    </w:p>
    <w:p>
      <w:pPr>
        <w:spacing w:after="0" w:line="154" w:lineRule="exact"/>
        <w:rPr>
          <w:sz w:val="20"/>
          <w:szCs w:val="20"/>
          <w:color w:val="auto"/>
        </w:rPr>
      </w:pPr>
    </w:p>
    <w:p>
      <w:pPr>
        <w:ind w:left="40" w:right="139" w:firstLine="305"/>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63" w:lineRule="exact"/>
        <w:rPr>
          <w:sz w:val="20"/>
          <w:szCs w:val="20"/>
          <w:color w:val="auto"/>
        </w:rPr>
      </w:pPr>
    </w:p>
    <w:p>
      <w:pPr>
        <w:ind w:left="40" w:right="59" w:firstLine="305"/>
        <w:spacing w:after="0" w:line="254" w:lineRule="auto"/>
        <w:rPr>
          <w:sz w:val="20"/>
          <w:szCs w:val="20"/>
          <w:color w:val="auto"/>
        </w:rPr>
      </w:pPr>
      <w:r>
        <w:rPr>
          <w:rFonts w:ascii="Times New Roman" w:cs="Times New Roman" w:eastAsia="Times New Roman" w:hAnsi="Times New Roman"/>
          <w:sz w:val="17"/>
          <w:szCs w:val="17"/>
          <w:color w:val="auto"/>
        </w:rPr>
        <w:t>The ability of the FDA to review and approve new products can be affected by a variety of factors, including government budget and funding levels, the ability to hire and retain key personnel and the acceptance of user fees payments, and statutory, regulatory, and policy changes. Average review times at the agency have fluctuated in recent years as a result. If a prolonged government shutdown occurs, if the FDA is required to furlough review staff or necessary employees, or if the agency operations are otherwise impacted, it could significantly affect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Risks related to our relationships with third parties</w:t>
      </w:r>
    </w:p>
    <w:p>
      <w:pPr>
        <w:spacing w:after="0" w:line="211" w:lineRule="exact"/>
        <w:rPr>
          <w:sz w:val="20"/>
          <w:szCs w:val="20"/>
          <w:color w:val="auto"/>
        </w:rPr>
      </w:pPr>
    </w:p>
    <w:p>
      <w:pPr>
        <w:ind w:left="340" w:right="139"/>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our current strategic relationships with Eli Lilly and Company (Lilly), Janssen Pharmaceuticals Inc. (Janssen) part of the Janssen Pharmaceutical Companies of Johnson &amp; Johnson, Lantheus Holdings, Inc. (Lantheus, formerly Life Molecular Imaging SA or LMI), Takeda Pharmaceuticals, USA, Inc. (Takeda) and other of our current or future strategic partners, our business, commercialization prospects and financial condition may be materially adversely affected.</w:t>
      </w:r>
    </w:p>
    <w:p>
      <w:pPr>
        <w:spacing w:after="0" w:line="176" w:lineRule="exact"/>
        <w:rPr>
          <w:sz w:val="20"/>
          <w:szCs w:val="20"/>
          <w:color w:val="auto"/>
        </w:rPr>
      </w:pPr>
    </w:p>
    <w:p>
      <w:pPr>
        <w:ind w:left="40" w:right="79" w:firstLine="305"/>
        <w:spacing w:after="0" w:line="249" w:lineRule="auto"/>
        <w:rPr>
          <w:sz w:val="20"/>
          <w:szCs w:val="20"/>
          <w:color w:val="auto"/>
        </w:rPr>
      </w:pPr>
      <w:r>
        <w:rPr>
          <w:rFonts w:ascii="Times New Roman" w:cs="Times New Roman" w:eastAsia="Times New Roman" w:hAnsi="Times New Roman"/>
          <w:sz w:val="17"/>
          <w:szCs w:val="17"/>
          <w:color w:val="auto"/>
        </w:rPr>
        <w:t>In December 2018, we signed a license agreement with Lilly to research and develop Morphomer Tau small molecules for the treatment of AD and other neurodegenerative diseases (NDD). This collaboration commenced in Q1 2019. We are in a partnership with Janssen to develop and commercialize therapeutic anti-Tau active immunotherapies for the treatment of AD and potentially other tauopathies. We also have a diagnostic partnership with Lantheus for compounds, which bind pathological Tau for use as a PET tracer. In May 2024, we entered into a worldwide option and license agreement with Takeda for our active immunotherapies targeting Abeta, including ACI-24.060. Our collaboration partners each have the right to terminate their agreements with us for any reason upon providing us with a certain notice period. In April 2024, the termination of the collaboration agreements with Genentech, a member of the Roche group, became effective, and the Company regained the global rights to crenezumab and semorinemab in February 2025. If Lilly, Janssen, Lantheus, Takeda or other of our current or future strategic partners terminate their agreement with us at any time, it could delay or prevent development of our product candidates and materially harm our business, financial condition, commercialization prospects and results of operations.</w:t>
      </w:r>
    </w:p>
    <w:p>
      <w:pPr>
        <w:spacing w:after="0" w:line="180" w:lineRule="exact"/>
        <w:rPr>
          <w:sz w:val="20"/>
          <w:szCs w:val="20"/>
          <w:color w:val="auto"/>
        </w:rPr>
      </w:pPr>
    </w:p>
    <w:p>
      <w:pPr>
        <w:ind w:left="40" w:right="119" w:firstLine="305"/>
        <w:spacing w:after="0" w:line="256" w:lineRule="auto"/>
        <w:rPr>
          <w:sz w:val="20"/>
          <w:szCs w:val="20"/>
          <w:color w:val="auto"/>
        </w:rPr>
      </w:pPr>
      <w:r>
        <w:rPr>
          <w:rFonts w:ascii="Times New Roman" w:cs="Times New Roman" w:eastAsia="Times New Roman" w:hAnsi="Times New Roman"/>
          <w:sz w:val="17"/>
          <w:szCs w:val="17"/>
          <w:color w:val="auto"/>
        </w:rPr>
        <w:t>Good relationships with Lilly, Janssen, Lantheus, Takeda and other of our current or future strategic partners are important for our business prospects. If our relationships with Lilly, Janssen, Lantheus, Takeda or other of our current or future strategic partners were to deteriorate substantially or if Lilly, Janssen, Lantheus, Takeda or other of our current or future strategic partners were to challenge our use of their intellectual property or our calculations of the payments which are owed under our agreements, our business, financial condition, commercialization prospects and results of operations could be materially adversely affected.</w:t>
      </w:r>
    </w:p>
    <w:p>
      <w:pPr>
        <w:spacing w:after="0" w:line="163" w:lineRule="exact"/>
        <w:rPr>
          <w:sz w:val="20"/>
          <w:szCs w:val="20"/>
          <w:color w:val="auto"/>
        </w:rPr>
      </w:pPr>
    </w:p>
    <w:p>
      <w:pPr>
        <w:ind w:left="40" w:right="99" w:firstLine="305"/>
        <w:spacing w:after="0" w:line="251" w:lineRule="auto"/>
        <w:rPr>
          <w:sz w:val="20"/>
          <w:szCs w:val="20"/>
          <w:color w:val="auto"/>
        </w:rPr>
      </w:pPr>
      <w:r>
        <w:rPr>
          <w:rFonts w:ascii="Times New Roman" w:cs="Times New Roman" w:eastAsia="Times New Roman" w:hAnsi="Times New Roman"/>
          <w:sz w:val="17"/>
          <w:szCs w:val="17"/>
          <w:color w:val="auto"/>
        </w:rPr>
        <w:t>Lastly, our collaboration agreements with Lilly, Janssen, Lantheus and Takeda (in the case of Takeda, if it exercises its option under our agreement) provide each partner with control over, and responsibility for, the clinical development process, including obtaining regulatory and marketing approvals, manufacturing costs and sales and marketing costs. Future collaboration agreements may also relinquish development control to our partners. Our current or future collaboration partners may and do separately pursue competing products, therapeutic approaches or technologies to develop treatments for the diseases targeted by us or our collaborative efforts. Even if our partners continue their contributions to the collaborative agreements to which we are a party, they may nevertheless determine not to actively pursue the development or commercialization of any resulting products. Our partners may also fail to fulfill their</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219"/>
        <w:spacing w:after="0" w:line="310" w:lineRule="auto"/>
        <w:rPr>
          <w:sz w:val="20"/>
          <w:szCs w:val="20"/>
          <w:color w:val="auto"/>
        </w:rPr>
      </w:pPr>
      <w:r>
        <w:rPr>
          <w:rFonts w:ascii="Times New Roman" w:cs="Times New Roman" w:eastAsia="Times New Roman" w:hAnsi="Times New Roman"/>
          <w:sz w:val="16"/>
          <w:szCs w:val="16"/>
          <w:color w:val="auto"/>
        </w:rPr>
        <w:t>obligations under the collaboration agreements or may be slow in performing their obligations. Any of these circumstances could result in a material adverse impact on our business, financial condition, commercialization prospects or results of operations.</w:t>
      </w:r>
    </w:p>
    <w:p>
      <w:pPr>
        <w:spacing w:after="0" w:line="130" w:lineRule="exact"/>
        <w:rPr>
          <w:sz w:val="20"/>
          <w:szCs w:val="20"/>
          <w:color w:val="auto"/>
        </w:rPr>
      </w:pPr>
    </w:p>
    <w:p>
      <w:pPr>
        <w:ind w:left="340" w:right="35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We may seek to form additional strategic alliances in the future with respect to our product candidates, and if we do not realize the benefits of such alliances, our business, financial condition, commercialization prospects and results of operations may be materially adversely affected.</w:t>
      </w:r>
    </w:p>
    <w:p>
      <w:pPr>
        <w:spacing w:after="0" w:line="166" w:lineRule="exact"/>
        <w:rPr>
          <w:sz w:val="20"/>
          <w:szCs w:val="20"/>
          <w:color w:val="auto"/>
        </w:rPr>
      </w:pPr>
    </w:p>
    <w:p>
      <w:pPr>
        <w:ind w:left="40" w:right="159" w:firstLine="305"/>
        <w:spacing w:after="0" w:line="252" w:lineRule="auto"/>
        <w:rPr>
          <w:sz w:val="20"/>
          <w:szCs w:val="20"/>
          <w:color w:val="auto"/>
        </w:rPr>
      </w:pPr>
      <w:r>
        <w:rPr>
          <w:rFonts w:ascii="Times New Roman" w:cs="Times New Roman" w:eastAsia="Times New Roman" w:hAnsi="Times New Roman"/>
          <w:sz w:val="17"/>
          <w:szCs w:val="17"/>
          <w:color w:val="auto"/>
        </w:rPr>
        <w:t>Our product development programs and the potential commercialization of our product candidates will require substantial additional liquidity to fund expenses and may require expertise, such as sales and marketing expertise, which we do not currently possess. Therefore, in addition to our relationships with Lilly, Janssen, Lantheus and Takeda, we may decide to enter into strategic alliances or to create joint ventures or collaborations with pharmaceutical or biopharmaceutical companies for the further development and potential commercialization of those and other of our product candidates.</w:t>
      </w:r>
    </w:p>
    <w:p>
      <w:pPr>
        <w:spacing w:after="0" w:line="179" w:lineRule="exact"/>
        <w:rPr>
          <w:sz w:val="20"/>
          <w:szCs w:val="20"/>
          <w:color w:val="auto"/>
        </w:rPr>
      </w:pPr>
    </w:p>
    <w:p>
      <w:pPr>
        <w:ind w:left="40" w:right="59" w:firstLine="305"/>
        <w:spacing w:after="0" w:line="265" w:lineRule="auto"/>
        <w:rPr>
          <w:sz w:val="20"/>
          <w:szCs w:val="20"/>
          <w:color w:val="auto"/>
        </w:rPr>
      </w:pPr>
      <w:r>
        <w:rPr>
          <w:rFonts w:ascii="Times New Roman" w:cs="Times New Roman" w:eastAsia="Times New Roman" w:hAnsi="Times New Roman"/>
          <w:sz w:val="16"/>
          <w:szCs w:val="16"/>
          <w:color w:val="auto"/>
        </w:rPr>
        <w:t>We face significant competition in seeking appropriate collaborators. Collaborations are complex and time-consuming to negotiate, document and manage. Any delays in entering into new strategic partnership agreements related to our product candidates could delay the development and commercialization of our product candidates and reduce their competitiveness even if they reach the market. We may also be restricted under existing and future collaboration agreements from entering into strategic partnerships or collaboration agreements on certain terms with other potential collaborators. We may not be able to negotiate collaborations on acceptable terms, or at all, for any of our existing or future product candidates and programs because the potential partner may consider that our research and development pipeline is insufficiently developed to justify a collaborative effort, or that our product candidates and programs do not have the requisite potential to demonstrate safety and efficacy in the target population. If we are unsuccessful in establishing and maintaining a collaboration with respect to a particular product candidate, we may have to curtail the development of that product candidate, reduce the scope of or delay its development program or one or more of our other development programs, delay its potential commercialization or reduce the scope of our sales or marketing activities, or increase our expenditures and undertake development or commercialization activities at our own expense, for which we have not budgeted. If we elect to increase our expenditures to fund development or commercialization activities on our own, we may need to obtain additional capital, which may not be available to us on acceptable terms or at all. If we do not have sufficient funds, we will not be able to bring our product candidates to market and generate product revenue. Even if we are successful in establishing a new strategic partnership or entering into a collaboration agreement, we cannot be certain that, following such a strategic transaction or license, we will be able to progress the development and commercialization of the applicable product candidates as envisaged, or that we will achieve the revenues that would justify such transaction, and we could be subject to the following risks, each of which may materially harm our business, commercialization prospects and financial condition:</w:t>
      </w:r>
    </w:p>
    <w:p>
      <w:pPr>
        <w:spacing w:after="0" w:line="367" w:lineRule="exact"/>
        <w:rPr>
          <w:sz w:val="20"/>
          <w:szCs w:val="20"/>
          <w:color w:val="auto"/>
        </w:rPr>
      </w:pPr>
    </w:p>
    <w:p>
      <w:pPr>
        <w:ind w:left="680" w:right="359" w:hanging="305"/>
        <w:spacing w:after="0" w:line="277" w:lineRule="auto"/>
        <w:tabs>
          <w:tab w:leader="none" w:pos="6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control the amount and timing of resources that the collaboration partner devotes to the product development program;</w:t>
      </w:r>
    </w:p>
    <w:p>
      <w:pPr>
        <w:spacing w:after="0" w:line="157"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collaboration partner may experience financial difficulties;</w:t>
      </w:r>
    </w:p>
    <w:p>
      <w:pPr>
        <w:spacing w:after="0" w:line="210" w:lineRule="exact"/>
        <w:rPr>
          <w:rFonts w:ascii="Times New Roman" w:cs="Times New Roman" w:eastAsia="Times New Roman" w:hAnsi="Times New Roman"/>
          <w:sz w:val="17"/>
          <w:szCs w:val="17"/>
          <w:color w:val="auto"/>
        </w:rPr>
      </w:pPr>
    </w:p>
    <w:p>
      <w:pPr>
        <w:ind w:left="680" w:right="499" w:hanging="305"/>
        <w:spacing w:after="0" w:line="277" w:lineRule="auto"/>
        <w:tabs>
          <w:tab w:leader="none" w:pos="6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grant or otherwise relinquish important rights such as marketing, distribution and intellectual property rights;</w:t>
      </w:r>
    </w:p>
    <w:p>
      <w:pPr>
        <w:spacing w:after="0" w:line="157" w:lineRule="exact"/>
        <w:rPr>
          <w:rFonts w:ascii="Times New Roman" w:cs="Times New Roman" w:eastAsia="Times New Roman" w:hAnsi="Times New Roman"/>
          <w:sz w:val="17"/>
          <w:szCs w:val="17"/>
          <w:color w:val="auto"/>
        </w:rPr>
      </w:pPr>
    </w:p>
    <w:p>
      <w:pPr>
        <w:ind w:left="680" w:right="159" w:hanging="305"/>
        <w:spacing w:after="0" w:line="277" w:lineRule="auto"/>
        <w:tabs>
          <w:tab w:leader="none" w:pos="6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collaboration partner could move forward with a competing product developed either independently or in collaboration with third parties, including our competitors; or</w:t>
      </w:r>
    </w:p>
    <w:p>
      <w:pPr>
        <w:spacing w:after="0" w:line="157" w:lineRule="exact"/>
        <w:rPr>
          <w:rFonts w:ascii="Times New Roman" w:cs="Times New Roman" w:eastAsia="Times New Roman" w:hAnsi="Times New Roman"/>
          <w:sz w:val="17"/>
          <w:szCs w:val="17"/>
          <w:color w:val="auto"/>
        </w:rPr>
      </w:pPr>
    </w:p>
    <w:p>
      <w:pPr>
        <w:ind w:left="680" w:right="519" w:hanging="305"/>
        <w:spacing w:after="0" w:line="277" w:lineRule="auto"/>
        <w:tabs>
          <w:tab w:leader="none" w:pos="6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combinations or significant changes in a collaboration partner’s business strategy may adversely affect our willingness to continue any arrangement.</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right="9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We rely on third parties to conduct our nonclinical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172" w:lineRule="exact"/>
        <w:rPr>
          <w:sz w:val="20"/>
          <w:szCs w:val="20"/>
          <w:color w:val="auto"/>
        </w:rPr>
      </w:pPr>
    </w:p>
    <w:p>
      <w:pPr>
        <w:ind w:left="40" w:right="59" w:firstLine="305"/>
        <w:spacing w:after="0" w:line="249" w:lineRule="auto"/>
        <w:rPr>
          <w:sz w:val="20"/>
          <w:szCs w:val="20"/>
          <w:color w:val="auto"/>
        </w:rPr>
      </w:pPr>
      <w:r>
        <w:rPr>
          <w:rFonts w:ascii="Times New Roman" w:cs="Times New Roman" w:eastAsia="Times New Roman" w:hAnsi="Times New Roman"/>
          <w:sz w:val="17"/>
          <w:szCs w:val="17"/>
          <w:color w:val="auto"/>
        </w:rPr>
        <w:t>We have relied upon and plan to continue to rely upon third-party clinical CROs, to monitor and manage data for our ongoing preclinical and clinical programs, including the clinical studies of our product candidates. We rely on these parties for execution of our nonclinical and clinical studies and control only certain aspects of their activities. Nevertheless, we are responsible for ensuring that each of our studies is conducted in accordance with the applicable protocol, legal, regulatory and scientific standards and our reliance on the clinical CROs does not relieve us of our regulatory responsibilities. We and our clinical CROs and other vendors are required to comply with current Good Manufacturing Practice (cGMP), current Good Clinical Practice (cGCP), and current Good Laboratory Practice (cGLP), which are regulations and guidelines enforced by the FDA, the Competent Authorities of the Member States of the EU and comparable foreign regulatory authorities for our product candidates in nonclinical and clinical development (where applicable). Regulatory authorities enforce these regulations through periodic inspections of study sponsors, principal investigators, study sites and other contractors. If we or any of our clinical CROs or vendors fail to comply with applicable regulations, the data generated in our nonclinical and clinical studies may be deemed unreliable and the EMA, FDA, other regulatory authorities may require us to perform additional nonclinical and clinical studies before approving our marketing applications. We cannot assure you that upon inspection by a given regulatory authority, such regulatory authority will determine that all of our clinical studies comply with cGCP regulations. In addition, our clinical studies must be conducted with products produced under cGMP regulations. Our failure to comply with these regulations may require us to repeat clinical studies, which would delay the regulatory approval process.</w:t>
      </w:r>
    </w:p>
    <w:p>
      <w:pPr>
        <w:spacing w:after="0" w:line="182" w:lineRule="exact"/>
        <w:rPr>
          <w:sz w:val="20"/>
          <w:szCs w:val="20"/>
          <w:color w:val="auto"/>
        </w:rPr>
      </w:pPr>
    </w:p>
    <w:p>
      <w:pPr>
        <w:ind w:left="40" w:right="59" w:firstLine="305"/>
        <w:spacing w:after="0" w:line="249" w:lineRule="auto"/>
        <w:rPr>
          <w:sz w:val="20"/>
          <w:szCs w:val="20"/>
          <w:color w:val="auto"/>
        </w:rPr>
      </w:pPr>
      <w:r>
        <w:rPr>
          <w:rFonts w:ascii="Times New Roman" w:cs="Times New Roman" w:eastAsia="Times New Roman" w:hAnsi="Times New Roman"/>
          <w:sz w:val="17"/>
          <w:szCs w:val="17"/>
          <w:color w:val="auto"/>
        </w:rPr>
        <w:t>If any of our relationships with these third-party clinical CROs terminates, we may not be able to enter into arrangements with alternative clinical CROs or do so on commercially reasonable terms. In addition, our clinical CROs are not our employees, and except for remedies available to us under our agreements with such clinical CROs, we cannot control whether or not they devote sufficient time and resources to our ongoing nonclinical and clinical programs. If clinical CROs do not successfully carry out their contractual duties or obligations or meet expected deadlines, if they need to be replaced or if the quality or accuracy of the data they obtain is compromised due to their failure to adhere to our protocols, regulatory requirements, or for other reasons, our clinical studies may be extended, delayed, or terminated and we may not be able to obtain regulatory approval for or successfully commercialize our product candidates. Clinical CROs may also generate higher costs than anticipated. As a result, our results of operations and the commercial prospects for our product candidates would be harmed, our costs could increase, and our ability to generate revenue could be delayed.</w:t>
      </w:r>
    </w:p>
    <w:p>
      <w:pPr>
        <w:spacing w:after="0" w:line="180" w:lineRule="exact"/>
        <w:rPr>
          <w:sz w:val="20"/>
          <w:szCs w:val="20"/>
          <w:color w:val="auto"/>
        </w:rPr>
      </w:pPr>
    </w:p>
    <w:p>
      <w:pPr>
        <w:ind w:left="40" w:right="79" w:firstLine="305"/>
        <w:spacing w:after="0" w:line="256" w:lineRule="auto"/>
        <w:rPr>
          <w:sz w:val="20"/>
          <w:szCs w:val="20"/>
          <w:color w:val="auto"/>
        </w:rPr>
      </w:pPr>
      <w:r>
        <w:rPr>
          <w:rFonts w:ascii="Times New Roman" w:cs="Times New Roman" w:eastAsia="Times New Roman" w:hAnsi="Times New Roman"/>
          <w:sz w:val="17"/>
          <w:szCs w:val="17"/>
          <w:color w:val="auto"/>
        </w:rPr>
        <w:t>Switching or adding additional clinical CROs involves additional cost and requires management time and focus. In addition, there is a natural transition period when a new clinical CRO commences work. As a result, delays occur, which could materially impact our ability to meet our desired clinical development timelines. Though we carefully manage our relationships with our clinical CROs, there can be no assurance that we will not encounter similar challenges or delays in the future or that these delays or challenges will not have a material adverse impact on our business, financial condition and prospects.</w:t>
      </w:r>
    </w:p>
    <w:p>
      <w:pPr>
        <w:spacing w:after="0" w:line="172" w:lineRule="exact"/>
        <w:rPr>
          <w:sz w:val="20"/>
          <w:szCs w:val="20"/>
          <w:color w:val="auto"/>
        </w:rPr>
      </w:pPr>
    </w:p>
    <w:p>
      <w:pPr>
        <w:jc w:val="both"/>
        <w:ind w:left="340" w:right="679"/>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We currently rely on third-party suppliers and other third parties for production of our product candidates and our dependence on these third parties may impair the advancement of our research and development programs and the development of our product candidates.</w:t>
      </w:r>
    </w:p>
    <w:p>
      <w:pPr>
        <w:spacing w:after="0" w:line="173" w:lineRule="exact"/>
        <w:rPr>
          <w:sz w:val="20"/>
          <w:szCs w:val="20"/>
          <w:color w:val="auto"/>
        </w:rPr>
      </w:pPr>
    </w:p>
    <w:p>
      <w:pPr>
        <w:ind w:left="40" w:right="139" w:firstLine="305"/>
        <w:spacing w:after="0" w:line="251" w:lineRule="auto"/>
        <w:rPr>
          <w:sz w:val="20"/>
          <w:szCs w:val="20"/>
          <w:color w:val="auto"/>
        </w:rPr>
      </w:pPr>
      <w:r>
        <w:rPr>
          <w:rFonts w:ascii="Times New Roman" w:cs="Times New Roman" w:eastAsia="Times New Roman" w:hAnsi="Times New Roman"/>
          <w:sz w:val="17"/>
          <w:szCs w:val="17"/>
          <w:color w:val="auto"/>
        </w:rPr>
        <w:t>We currently rely on, and expect to continue to rely on, third parties for the manufacturing and supply of chemical and biological compounds and formulations for the clinical studies of our current and future product candidates. For the foreseeable future, we expect to continue to rely on such third parties for the manufacture of any of our product candidates on a clinical or commercial scale, if any of our product candidates receives regulatory approval. Reliance on third-party providers may expose us to different risks than if we were to manufacture product candidates ourselves. The facilities used by our contract manufacturers to manufacture our product candidates must be approved by the FDA or other regulatory authorities, pursuant to inspections that will be conducted after we submit our NDA or comparable marketing application to the FDA or other regulatory authority. We do not have control over a supplier’s or</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29" w:name="page30"/>
    <w:bookmarkEnd w:id="2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179"/>
        <w:spacing w:after="0" w:line="250" w:lineRule="auto"/>
        <w:rPr>
          <w:sz w:val="20"/>
          <w:szCs w:val="20"/>
          <w:color w:val="auto"/>
        </w:rPr>
      </w:pPr>
      <w:r>
        <w:rPr>
          <w:rFonts w:ascii="Times New Roman" w:cs="Times New Roman" w:eastAsia="Times New Roman" w:hAnsi="Times New Roman"/>
          <w:sz w:val="17"/>
          <w:szCs w:val="17"/>
          <w:color w:val="auto"/>
        </w:rPr>
        <w:t>manufacturer’s compliance with these laws, regulations and applicable cGMP standards and other laws and regulations, such as those related to environmental health and safety matters.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(QC), quality assurance (QA) and qualified personnel. If we are compelled or we wish to find alternative manufacturing facilities, this could significantly impact our ability to develop, obtain regulatory approval for or market our product candidates. Any failure to achieve and maintain compliance with these laws, regulations and standards could subject us to the risk that we may have to suspend the manufacturing of our product candidates or that obtained approvals could be revoked, which would adversely affect our business and reputation.</w:t>
      </w:r>
    </w:p>
    <w:p>
      <w:pPr>
        <w:spacing w:after="0" w:line="185" w:lineRule="exact"/>
        <w:rPr>
          <w:sz w:val="20"/>
          <w:szCs w:val="20"/>
          <w:color w:val="auto"/>
        </w:rPr>
      </w:pPr>
    </w:p>
    <w:p>
      <w:pPr>
        <w:ind w:left="40" w:right="59" w:firstLine="305"/>
        <w:spacing w:after="0" w:line="256" w:lineRule="auto"/>
        <w:rPr>
          <w:sz w:val="20"/>
          <w:szCs w:val="20"/>
          <w:color w:val="auto"/>
        </w:rPr>
      </w:pPr>
      <w:r>
        <w:rPr>
          <w:rFonts w:ascii="Times New Roman" w:cs="Times New Roman" w:eastAsia="Times New Roman" w:hAnsi="Times New Roman"/>
          <w:sz w:val="17"/>
          <w:szCs w:val="17"/>
          <w:color w:val="auto"/>
        </w:rPr>
        <w:t>Third-party providers may breach agreements they have with us because of factors beyond our control. Contract manufacturers often encounter difficulties involving production yields, QC and QA, as well as shortages of qualified personnel. They may also terminate or refuse to renew their agreements because of their own financial difficulties or business priorities, potentially at a time that is costly or otherwise inconvenient for us. If we are unable to find adequate replacement or another acceptable solution in time, our clinical studies could be delayed or our commercial activities could be harmed.</w:t>
      </w:r>
    </w:p>
    <w:p>
      <w:pPr>
        <w:spacing w:after="0" w:line="163" w:lineRule="exact"/>
        <w:rPr>
          <w:sz w:val="20"/>
          <w:szCs w:val="20"/>
          <w:color w:val="auto"/>
        </w:rPr>
      </w:pPr>
    </w:p>
    <w:p>
      <w:pPr>
        <w:ind w:left="40" w:right="59" w:firstLine="305"/>
        <w:spacing w:after="0" w:line="249" w:lineRule="auto"/>
        <w:rPr>
          <w:sz w:val="20"/>
          <w:szCs w:val="20"/>
          <w:color w:val="auto"/>
        </w:rPr>
      </w:pPr>
      <w:r>
        <w:rPr>
          <w:rFonts w:ascii="Times New Roman" w:cs="Times New Roman" w:eastAsia="Times New Roman" w:hAnsi="Times New Roman"/>
          <w:sz w:val="17"/>
          <w:szCs w:val="17"/>
          <w:color w:val="auto"/>
        </w:rPr>
        <w:t>In addition, any foreign suppliers we may utilize in the future may be subject to U.S. legislation, sanctions, trade restrictions and other foreign regulatory requirements, which may limit, delay, prevent or impair our ability to obtain preclinical and clinical trial materials for our product candidates. For example, the United States has recently passed legislation, namely the BIOSECURE Act (the “BIOSECURE Act”), to prohibit U.S. federal executive agencies from procuring or obtaining any biotechnology equipment or service produced or provided by a “biotechnology company of concern” or entering into or renewing a contract, loan, or grant with an entity that uses such biotechnology equipment or equipment. Specifically, on December 18, 2025, President Trump signed the National Defense Authorization Act for fiscal year 2026 into law, which includes the BIOSECURE Act. The BIOSECURE Act prohibits the U.S. government from procuring or obtaining biotechnology equipment or services produced or provided by a “biotechnology company of concern” (“BCC”); entering into, extending, or renewing government contracts with an entity that directly or indirectly uses biotechnology equipment or services from a BCC in performance of that federal contract; and/or issuing grants or loans to purchase, obtain, or use biotechnology equipment or services produced by a BCC. The BIOSECURE Act also prohibits U.S. government loan and grant recipients from using federal loan or grant money to enter into contracts with entities that use equipment from BCCs in the performance of any federal prime contract or subcontract. Companies designated as a BCC include those that are identified on the U.S. Department of Defense’s annual List of Chinese Military Companies, also known as the 1260H List, and the U.S. government also has the ability to designate entities as BCCs through a separate designation process. Given the BIOSECURE Act, we may be restricted in our ability to work with certain biotechnology companies to the extent we would contract with, or otherwise receive funding from, the U.S. government. This reliance increases the risk that we will not have sufficient quantities of our product candidates or products, if approved, or such quantities at an acceptable cost or quality, which could delay, prevent or impair our development or commercialization efforts.</w:t>
      </w:r>
    </w:p>
    <w:p>
      <w:pPr>
        <w:spacing w:after="0" w:line="183" w:lineRule="exact"/>
        <w:rPr>
          <w:sz w:val="20"/>
          <w:szCs w:val="20"/>
          <w:color w:val="auto"/>
        </w:rPr>
      </w:pPr>
    </w:p>
    <w:p>
      <w:pPr>
        <w:ind w:left="40" w:right="99" w:firstLine="305"/>
        <w:spacing w:after="0" w:line="252" w:lineRule="auto"/>
        <w:rPr>
          <w:sz w:val="20"/>
          <w:szCs w:val="20"/>
          <w:color w:val="auto"/>
        </w:rPr>
      </w:pPr>
      <w:r>
        <w:rPr>
          <w:rFonts w:ascii="Times New Roman" w:cs="Times New Roman" w:eastAsia="Times New Roman" w:hAnsi="Times New Roman"/>
          <w:sz w:val="17"/>
          <w:szCs w:val="17"/>
          <w:color w:val="auto"/>
        </w:rPr>
        <w:t>In addition, the fact that we are dependent on our suppliers and other third parties for the manufacture, storage and distribution of our product candidates means that we are subject to the risk that our product candidates and, if approved, commercial products may have manufacturing defects that we have limited ability to prevent or control. The sale of products containing such defects could result in recalls or regulatory enforcement action that could adversely affect our business, financial condition and results of operations.</w:t>
      </w:r>
    </w:p>
    <w:p>
      <w:pPr>
        <w:spacing w:after="0" w:line="179" w:lineRule="exact"/>
        <w:rPr>
          <w:sz w:val="20"/>
          <w:szCs w:val="20"/>
          <w:color w:val="auto"/>
        </w:rPr>
      </w:pPr>
    </w:p>
    <w:p>
      <w:pPr>
        <w:ind w:left="40" w:right="239" w:firstLine="305"/>
        <w:spacing w:after="0" w:line="251" w:lineRule="auto"/>
        <w:rPr>
          <w:sz w:val="20"/>
          <w:szCs w:val="20"/>
          <w:color w:val="auto"/>
        </w:rPr>
      </w:pPr>
      <w:r>
        <w:rPr>
          <w:rFonts w:ascii="Times New Roman" w:cs="Times New Roman" w:eastAsia="Times New Roman" w:hAnsi="Times New Roman"/>
          <w:sz w:val="17"/>
          <w:szCs w:val="17"/>
          <w:color w:val="auto"/>
        </w:rPr>
        <w:t>Growth in the costs and expenses of components or raw materials, in particular as a result of rising inflation, may also adversely influence our business, financial condition and results of operations. Supply sources could be interrupted from time to time and, if interrupted, we cannot be certain that supplies could be resumed (whether in part or in whole) within a reasonable timeframe and at an acceptable cost or at all. Our current and anticipated future dependence upon others for the manufacturing of our current and future product candidates may adversely affect our future profit margins and our, or our collaboration partners’, ability to commercialize any products that receive marketing approval on a timely and competitive basis.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right="47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Our collaboration arrangements with our strategic partners may make us an attractive target for potential acquisition under certain circumstances.</w:t>
      </w:r>
    </w:p>
    <w:p>
      <w:pPr>
        <w:spacing w:after="0" w:line="154" w:lineRule="exact"/>
        <w:rPr>
          <w:sz w:val="20"/>
          <w:szCs w:val="20"/>
          <w:color w:val="auto"/>
        </w:rPr>
      </w:pPr>
    </w:p>
    <w:p>
      <w:pPr>
        <w:ind w:left="40" w:right="79" w:firstLine="305"/>
        <w:spacing w:after="0" w:line="276" w:lineRule="auto"/>
        <w:rPr>
          <w:sz w:val="20"/>
          <w:szCs w:val="20"/>
          <w:color w:val="auto"/>
        </w:rPr>
      </w:pPr>
      <w:r>
        <w:rPr>
          <w:rFonts w:ascii="Times New Roman" w:cs="Times New Roman" w:eastAsia="Times New Roman" w:hAnsi="Times New Roman"/>
          <w:sz w:val="16"/>
          <w:szCs w:val="16"/>
          <w:color w:val="auto"/>
        </w:rPr>
        <w:t>Under certain circumstances, due to the structure of our collaboration arrangements with our strategic partners, our strategic partners may prefer to acquire us rather than pay the milestone payments or royalties under the collaboration arrangements, which may bring additional uncertainties to our business development and prospects. For example, under our collaboration arrangements with Lilly, Janssen and Takeda, we may become entitled to substantial milestone payments and royalties. As a result, rather than paying the milestone payments or royalties, Lilly, Johnson &amp; Johnson or Takeda, or one of their affiliates may choose to acquire us.</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Risks related to intellectual property</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We may not have sufficient patent terms to protect our products and business effectively.</w:t>
      </w:r>
    </w:p>
    <w:p>
      <w:pPr>
        <w:spacing w:after="0" w:line="215" w:lineRule="exact"/>
        <w:rPr>
          <w:sz w:val="20"/>
          <w:szCs w:val="20"/>
          <w:color w:val="auto"/>
        </w:rPr>
      </w:pPr>
    </w:p>
    <w:p>
      <w:pPr>
        <w:ind w:left="40" w:right="79" w:firstLine="305"/>
        <w:spacing w:after="0" w:line="251" w:lineRule="auto"/>
        <w:rPr>
          <w:sz w:val="20"/>
          <w:szCs w:val="20"/>
          <w:color w:val="auto"/>
        </w:rPr>
      </w:pPr>
      <w:r>
        <w:rPr>
          <w:rFonts w:ascii="Times New Roman" w:cs="Times New Roman" w:eastAsia="Times New Roman" w:hAnsi="Times New Roman"/>
          <w:sz w:val="17"/>
          <w:szCs w:val="17"/>
          <w:color w:val="auto"/>
        </w:rPr>
        <w:t>Patents have a limited lifespan. In the U.S., the natural expiration of a patent is generally 20 years after it is filed. Although various extensions or adjustments may be available, such as adjustments based on certain delays caused by the U.S. Patent and Trademark Office (USPTO),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As a result, our owned, co-owned and licensed patent portfolios may not provide us with sufficient rights to exclude others from commercializing products similar or identical to ours or otherwise provide us with a competitive advantage. Even if patents covering our product candidates are obtained and unchallenged, once the patent life has expired for a product, we may be open to competition from generic medications.</w:t>
      </w:r>
    </w:p>
    <w:p>
      <w:pPr>
        <w:spacing w:after="0" w:line="179" w:lineRule="exact"/>
        <w:rPr>
          <w:sz w:val="20"/>
          <w:szCs w:val="20"/>
          <w:color w:val="auto"/>
        </w:rPr>
      </w:pPr>
    </w:p>
    <w:p>
      <w:pPr>
        <w:ind w:left="40" w:right="99" w:firstLine="305"/>
        <w:spacing w:after="0" w:line="249" w:lineRule="auto"/>
        <w:rPr>
          <w:sz w:val="20"/>
          <w:szCs w:val="20"/>
          <w:color w:val="auto"/>
        </w:rPr>
      </w:pPr>
      <w:r>
        <w:rPr>
          <w:rFonts w:ascii="Times New Roman" w:cs="Times New Roman" w:eastAsia="Times New Roman" w:hAnsi="Times New Roman"/>
          <w:sz w:val="17"/>
          <w:szCs w:val="17"/>
          <w:color w:val="auto"/>
        </w:rPr>
        <w:t>Although patent term extensions under the Hatch-Waxman Act, in the U.S. and under supplementary protection certificates (SPCs) in Europe may be available to extend the patent exclusivity term for our products, we cannot provide any assurances that any such patent term extension will be obtained and, if so, for how long. The Hatch-Waxman Act permits a patent extension term of up to 5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any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It is not possible to base an SPC in Europe on a patent in a European Member State if that patent expires before the Market Authorization (MA) of the clinical product, protected by the patent, is obtained. As the “product” (active ingredient(s)) must be “protected by a basic patent in force,” only a granted patent that is in force, and remains in force until it reaches the end of its full term, can serve as a “basic patent” upon which an SPC can be based. Therefore, expired patents and pending patent applications cannot serve as the basis for an SPC. Given the relatively long clinical development timelines of biologicals and new chemical entities for therapeutic purposes, we may not be granted any patent extensions as we might fail to apply for the extensions prior to expiration of relevant patents. Moreover, the applicable time period or the scope of patent protection afforded could be less than we request. If we are unable to obtain patent term extension or if the term of any such extension is less than we request, such result could have a material adverse effect on our business.</w:t>
      </w:r>
    </w:p>
    <w:p>
      <w:pPr>
        <w:spacing w:after="0" w:line="178" w:lineRule="exact"/>
        <w:rPr>
          <w:sz w:val="20"/>
          <w:szCs w:val="20"/>
          <w:color w:val="auto"/>
        </w:rPr>
      </w:pPr>
    </w:p>
    <w:p>
      <w:pPr>
        <w:ind w:left="340" w:right="279"/>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We or our licensing or collaboration partners may become subject to intellectual property-related litigation or other proceedings to protect or enforce our patents or the patents of our licensors or licensees and collaborators, any of which could be expensive, time-consuming, and unsuccessful, and may ultimately result in our loss of ownership of intellectual property.</w:t>
      </w:r>
    </w:p>
    <w:p>
      <w:pPr>
        <w:spacing w:after="0" w:line="176" w:lineRule="exact"/>
        <w:rPr>
          <w:sz w:val="20"/>
          <w:szCs w:val="20"/>
          <w:color w:val="auto"/>
        </w:rPr>
      </w:pPr>
    </w:p>
    <w:p>
      <w:pPr>
        <w:ind w:left="40" w:right="79" w:firstLine="305"/>
        <w:spacing w:after="0" w:line="256" w:lineRule="auto"/>
        <w:rPr>
          <w:sz w:val="20"/>
          <w:szCs w:val="20"/>
          <w:color w:val="auto"/>
        </w:rPr>
      </w:pPr>
      <w:r>
        <w:rPr>
          <w:rFonts w:ascii="Times New Roman" w:cs="Times New Roman" w:eastAsia="Times New Roman" w:hAnsi="Times New Roman"/>
          <w:sz w:val="17"/>
          <w:szCs w:val="17"/>
          <w:color w:val="auto"/>
        </w:rPr>
        <w:t>Competitors may infringe our patents or the patents of our licensors or collaborators. To counter such infringement, we may be required to file infringement claims against those competitors, which can be expensive and time-consuming. If we or one of our licensing or collaboration partners were to initiate legal proceedings against a third party to enforce a patent covering one of our product candidates, the defendant could counterclaim that the patent covering our product candidate is invalid or unenforceable or that the defendant’s products do not infringe our or our licensing collaborators’</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31" w:name="page32"/>
    <w:bookmarkEnd w:id="3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59"/>
        <w:spacing w:after="0" w:line="265" w:lineRule="auto"/>
        <w:rPr>
          <w:sz w:val="20"/>
          <w:szCs w:val="20"/>
          <w:color w:val="auto"/>
        </w:rPr>
      </w:pPr>
      <w:r>
        <w:rPr>
          <w:rFonts w:ascii="Times New Roman" w:cs="Times New Roman" w:eastAsia="Times New Roman" w:hAnsi="Times New Roman"/>
          <w:sz w:val="16"/>
          <w:szCs w:val="16"/>
          <w:color w:val="auto"/>
        </w:rPr>
        <w:t>patents or that we or our licensing collaborators infringe the defendant’s patents. In patent litigation in the U.S., defendant counterclaims alleging invalidity, unenforceability and non-infringement are commonplace. Grounds for a validity challenge could be an alleged failure to meet any of several statutory requirements, including lack of novelty, obviousness, obviousness-type double patenting, lack of written description, or non-enablement. Grounds for an unenforceability assertion could be an allegation that someone connected with prosecution of the patent withheld relevant information from the USPTO, or made a misleading statement, during prosecution. In addition, third parties may raise similar claims before administrative bodies in the U.S. or abroad, even outside the context of litigation. Such mechanisms include re-examination, post-grant review</w:t>
      </w:r>
      <w:r>
        <w:rPr>
          <w:rFonts w:ascii="Times New Roman" w:cs="Times New Roman" w:eastAsia="Times New Roman" w:hAnsi="Times New Roman"/>
          <w:sz w:val="16"/>
          <w:szCs w:val="16"/>
          <w:i w:val="1"/>
          <w:iCs w:val="1"/>
          <w:color w:val="auto"/>
        </w:rPr>
        <w:t>, inter partes</w:t>
      </w:r>
      <w:r>
        <w:rPr>
          <w:rFonts w:ascii="Times New Roman" w:cs="Times New Roman" w:eastAsia="Times New Roman" w:hAnsi="Times New Roman"/>
          <w:sz w:val="16"/>
          <w:szCs w:val="16"/>
          <w:color w:val="auto"/>
        </w:rPr>
        <w:t xml:space="preserve"> review, interference and derivation proceedings as well as equivalent proceedings in foreign jurisdictions, such as opposition proceedings in Europe. The outcome following legal assertions of invalidity and unenforceability is unpredictable. Such proceedings or patent litigations could result in the revocation or cancellation of or amendment to our patents in such a way that they no longer cover our product candidates or otherwise provide any competitive advantage. With respect to the validity question, for example, we cannot be certain that there is no invalidating prior art, of which the patent examiner and we or our licensing or collaboration partners were unaware during prosecution. A court may also refuse to stop a third party from using the technology in question on the grounds that our patents do not cover that technology. An adverse result in any proceeding could put one or more of our patents at risk of being invalidated or interpreted narrowly, which could have a material adverse effect on our business and financial condition.</w:t>
      </w:r>
    </w:p>
    <w:p>
      <w:pPr>
        <w:spacing w:after="0" w:line="176" w:lineRule="exact"/>
        <w:rPr>
          <w:sz w:val="20"/>
          <w:szCs w:val="20"/>
          <w:color w:val="auto"/>
        </w:rPr>
      </w:pPr>
    </w:p>
    <w:p>
      <w:pPr>
        <w:ind w:left="40" w:right="99" w:firstLine="305"/>
        <w:spacing w:after="0" w:line="250" w:lineRule="auto"/>
        <w:rPr>
          <w:sz w:val="20"/>
          <w:szCs w:val="20"/>
          <w:color w:val="auto"/>
        </w:rPr>
      </w:pPr>
      <w:r>
        <w:rPr>
          <w:rFonts w:ascii="Times New Roman" w:cs="Times New Roman" w:eastAsia="Times New Roman" w:hAnsi="Times New Roman"/>
          <w:sz w:val="17"/>
          <w:szCs w:val="17"/>
          <w:color w:val="auto"/>
        </w:rPr>
        <w:t>Interference, derivation or other proceedings provoked by third parties, brought by us or declared by the USPTO may be necessary to determine the priority of inventions with respect to our patents or patent applications or those of our licensors, licensees or collaborators. An unfavorable outcome could require us or our licensing or collaboration partners to cease using the related technology or to attempt to license rights to it from the prevailing party. Our business could be materially harmed if the prevailing party does not offer us or our licensing or collaboration partners a license on commercially reasonable terms or at all. If we or our licensing or collaboration partners are unsuccessful in any interference, derivation or other proceedings, we may lose our ownership of intellectual property or our patents may be narrowed or invalidated. There can be no assurance as to the outcome of the interference, derivation or other proceedings, and any of the foregoing could result in a material adverse effect on our business, financial condition, results of operations or prospects.</w:t>
      </w:r>
    </w:p>
    <w:p>
      <w:pPr>
        <w:spacing w:after="0" w:line="185" w:lineRule="exact"/>
        <w:rPr>
          <w:sz w:val="20"/>
          <w:szCs w:val="20"/>
          <w:color w:val="auto"/>
        </w:rPr>
      </w:pPr>
    </w:p>
    <w:p>
      <w:pPr>
        <w:ind w:left="40" w:right="179" w:firstLine="305"/>
        <w:spacing w:after="0" w:line="251" w:lineRule="auto"/>
        <w:rPr>
          <w:sz w:val="20"/>
          <w:szCs w:val="20"/>
          <w:color w:val="auto"/>
        </w:rPr>
      </w:pPr>
      <w:r>
        <w:rPr>
          <w:rFonts w:ascii="Times New Roman" w:cs="Times New Roman" w:eastAsia="Times New Roman" w:hAnsi="Times New Roman"/>
          <w:sz w:val="17"/>
          <w:szCs w:val="17"/>
          <w:color w:val="auto"/>
        </w:rPr>
        <w:t>Our defense of litigation, interference, derivation or other proceedings or other intellectual property-related proceedings may fail and, even if successful, may result in substantial costs and distract our management and other employees from their normal responsibilities. Such litigation or proceedings could substantially increase our operating losses and could substantially reduce the funds necessary to continue our clinical studies and research programs or force us to license necessary technology from third parties, or enter into development partnerships that would help us bring our product candidates to market. We may not be able to prevent, alone or with our licensing or collaboration partners, misappropriation of our intellectual property rights, particularly in countries where the laws may not protect those rights as fully as in the U.S.</w:t>
      </w:r>
    </w:p>
    <w:p>
      <w:pPr>
        <w:spacing w:after="0" w:line="181" w:lineRule="exact"/>
        <w:rPr>
          <w:sz w:val="20"/>
          <w:szCs w:val="20"/>
          <w:color w:val="auto"/>
        </w:rPr>
      </w:pPr>
    </w:p>
    <w:p>
      <w:pPr>
        <w:ind w:left="40" w:right="179" w:firstLine="305"/>
        <w:spacing w:after="0" w:line="256" w:lineRule="auto"/>
        <w:rPr>
          <w:sz w:val="20"/>
          <w:szCs w:val="20"/>
          <w:color w:val="auto"/>
        </w:rPr>
      </w:pPr>
      <w:r>
        <w:rPr>
          <w:rFonts w:ascii="Times New Roman" w:cs="Times New Roman" w:eastAsia="Times New Roman" w:hAnsi="Times New Roman"/>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159" w:lineRule="exact"/>
        <w:rPr>
          <w:sz w:val="20"/>
          <w:szCs w:val="20"/>
          <w:color w:val="auto"/>
        </w:rPr>
      </w:pPr>
    </w:p>
    <w:p>
      <w:pPr>
        <w:ind w:left="340" w:right="119"/>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If we or our licensing or collaboration partners are unable to obtain and maintain effective patent rights for our technologies, product candidates or any future product candidates, or if the scope of the patent rights obtained is not sufficiently broad, our competitors could develop and commercialize products and technology similar or identical to ours, and our, or our collaboration partners’ ability to successfully commercialize our products and technology may be adversely affected.</w:t>
      </w:r>
    </w:p>
    <w:p>
      <w:pPr>
        <w:spacing w:after="0" w:line="176" w:lineRule="exact"/>
        <w:rPr>
          <w:sz w:val="20"/>
          <w:szCs w:val="20"/>
          <w:color w:val="auto"/>
        </w:rPr>
      </w:pPr>
    </w:p>
    <w:p>
      <w:pPr>
        <w:ind w:left="40" w:right="139" w:firstLine="305"/>
        <w:spacing w:after="0" w:line="253" w:lineRule="auto"/>
        <w:rPr>
          <w:sz w:val="20"/>
          <w:szCs w:val="20"/>
          <w:color w:val="auto"/>
        </w:rPr>
      </w:pPr>
      <w:r>
        <w:rPr>
          <w:rFonts w:ascii="Times New Roman" w:cs="Times New Roman" w:eastAsia="Times New Roman" w:hAnsi="Times New Roman"/>
          <w:sz w:val="17"/>
          <w:szCs w:val="17"/>
          <w:color w:val="auto"/>
        </w:rPr>
        <w:t>We rely upon a combination of patents, trade secret protection and confidentiality agreements to protect the intellectual property related to our technologies and product candidates. Our success depends in large part on our and our licensing or collaboration partners’ ability to obtain and maintain patent and other intellectual property protection in the U.S., the EU and other countries with respect to our proprietary technologies and product candidates. In particular, Lilly,</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119"/>
        <w:spacing w:after="0" w:line="256" w:lineRule="auto"/>
        <w:rPr>
          <w:sz w:val="20"/>
          <w:szCs w:val="20"/>
          <w:color w:val="auto"/>
        </w:rPr>
      </w:pPr>
      <w:r>
        <w:rPr>
          <w:rFonts w:ascii="Times New Roman" w:cs="Times New Roman" w:eastAsia="Times New Roman" w:hAnsi="Times New Roman"/>
          <w:sz w:val="17"/>
          <w:szCs w:val="17"/>
          <w:color w:val="auto"/>
        </w:rPr>
        <w:t>Janssen, Takeda or our other licensing or collaboration partners may be dependent on a license with a third party for the development and future commercialization of our product candidates. If such license is not granted or is terminated, Lilly, Janssen, Takeda or other licensing or collaboration partners may be required to cease development and commercialization of our product candidates, any of which could have a material adverse effect on our business, financial condition, results of operations or prospects.</w:t>
      </w:r>
    </w:p>
    <w:p>
      <w:pPr>
        <w:spacing w:after="0" w:line="176" w:lineRule="exact"/>
        <w:rPr>
          <w:sz w:val="20"/>
          <w:szCs w:val="20"/>
          <w:color w:val="auto"/>
        </w:rPr>
      </w:pPr>
    </w:p>
    <w:p>
      <w:pPr>
        <w:ind w:left="40" w:right="99" w:firstLine="305"/>
        <w:spacing w:after="0" w:line="251" w:lineRule="auto"/>
        <w:rPr>
          <w:sz w:val="20"/>
          <w:szCs w:val="20"/>
          <w:color w:val="auto"/>
        </w:rPr>
      </w:pPr>
      <w:r>
        <w:rPr>
          <w:rFonts w:ascii="Times New Roman" w:cs="Times New Roman" w:eastAsia="Times New Roman" w:hAnsi="Times New Roman"/>
          <w:sz w:val="17"/>
          <w:szCs w:val="17"/>
          <w:color w:val="auto"/>
        </w:rPr>
        <w:t>We have sought to protect our proprietary position by filing patent applications in the U.S. and abroad related to any of our novel technologies and products that are important to our business. This process is expensive, time-consuming, and complex, and we may not be able to file and prosecute all necessary or desirable patent applications at a reasonable cost, in a timely manner or in all jurisdictions. It is also possible that we will fail to identify patentable aspects of our or our licensing or collaboration partners’ research and development output before it is too late to obtain patent protection. Moreover, in some circumstances, we do not have the right to control the preparation, filing and prosecution of patent applications, or to maintain the patents, covering technology that we license to or from third parties. Therefore, these patents and applications may not be prosecuted and enforced in a manner consistent with the best interests of our business.</w:t>
      </w:r>
    </w:p>
    <w:p>
      <w:pPr>
        <w:spacing w:after="0" w:line="179" w:lineRule="exact"/>
        <w:rPr>
          <w:sz w:val="20"/>
          <w:szCs w:val="20"/>
          <w:color w:val="auto"/>
        </w:rPr>
      </w:pPr>
    </w:p>
    <w:p>
      <w:pPr>
        <w:ind w:left="40" w:right="99" w:firstLine="305"/>
        <w:spacing w:after="0" w:line="251" w:lineRule="auto"/>
        <w:rPr>
          <w:sz w:val="20"/>
          <w:szCs w:val="20"/>
          <w:color w:val="auto"/>
        </w:rPr>
      </w:pPr>
      <w:r>
        <w:rPr>
          <w:rFonts w:ascii="Times New Roman" w:cs="Times New Roman" w:eastAsia="Times New Roman" w:hAnsi="Times New Roman"/>
          <w:sz w:val="17"/>
          <w:szCs w:val="17"/>
          <w:color w:val="auto"/>
        </w:rPr>
        <w:t>The patent position of pharmaceutical and biopharmaceutical companies generally is highly uncertain and involves complex legal and factual questions for which legal principles remain unsolved. As a result, the inventorship, issuance, scope, validity, enforceability and commercial value of our patent rights are highly uncertain. The pending or future patent applications that we own, co-own or in-license may fail to issue, fail to result in issued patents with claims that cover our product candidates in the U.S. or in other foreign countries, or fail to effectively prevent others from commercializing competitive technologies and product candidates. Changes in either the patent laws or interpretation of the patent laws in the U.S. and other countries may diminish the value of our patents or narrow the scope of our patent protection.</w:t>
      </w:r>
    </w:p>
    <w:p>
      <w:pPr>
        <w:spacing w:after="0" w:line="181" w:lineRule="exact"/>
        <w:rPr>
          <w:sz w:val="20"/>
          <w:szCs w:val="20"/>
          <w:color w:val="auto"/>
        </w:rPr>
      </w:pPr>
    </w:p>
    <w:p>
      <w:pPr>
        <w:ind w:left="40" w:right="99" w:firstLine="305"/>
        <w:spacing w:after="0" w:line="251" w:lineRule="auto"/>
        <w:rPr>
          <w:sz w:val="20"/>
          <w:szCs w:val="20"/>
          <w:color w:val="auto"/>
        </w:rPr>
      </w:pPr>
      <w:r>
        <w:rPr>
          <w:rFonts w:ascii="Times New Roman" w:cs="Times New Roman" w:eastAsia="Times New Roman" w:hAnsi="Times New Roman"/>
          <w:sz w:val="17"/>
          <w:szCs w:val="17"/>
          <w:color w:val="auto"/>
        </w:rPr>
        <w:t>We may not be aware of all third-party intellectual property rights potentially relating to our technologies or product candidates. Publications of discoveries in the scientific literature often lag behind the actual discoveries, and patent applications in the U.S. and other jurisdictions remain confidential for a period of time after filing, and some remain so until issued. Therefore, we cannot be certain that we were the first to file any patent application related to our product candidates or technologies, or whether we were the first to make the inventions claimed in our owned or co-owned patents or pending patent applications, nor can we know whether those from whom we license patents were the first to make the inventions claimed or were the first to file.</w:t>
      </w:r>
    </w:p>
    <w:p>
      <w:pPr>
        <w:spacing w:after="0" w:line="182" w:lineRule="exact"/>
        <w:rPr>
          <w:sz w:val="20"/>
          <w:szCs w:val="20"/>
          <w:color w:val="auto"/>
        </w:rPr>
      </w:pPr>
    </w:p>
    <w:p>
      <w:pPr>
        <w:ind w:left="40" w:right="59" w:firstLine="305"/>
        <w:spacing w:after="0" w:line="250" w:lineRule="auto"/>
        <w:rPr>
          <w:sz w:val="20"/>
          <w:szCs w:val="20"/>
          <w:color w:val="auto"/>
        </w:rPr>
      </w:pPr>
      <w:r>
        <w:rPr>
          <w:rFonts w:ascii="Times New Roman" w:cs="Times New Roman" w:eastAsia="Times New Roman" w:hAnsi="Times New Roman"/>
          <w:sz w:val="17"/>
          <w:szCs w:val="17"/>
          <w:color w:val="auto"/>
        </w:rPr>
        <w:t>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which could allow third parties to commercialize our technology or products and compete directly with us, without payment to us, or result in our or our collaboration partners’ inability to manufacture or commercialize products without infringing third-party patent rights. Furthermore, even if they are unchallenged, our patents and patent applications may not adequately protect our intellectual property, provide exclusivity for our product candidates, prevent others from designing around our claims or provide us with a competitive advantage. Any of these outcomes could impair our ability to prevent competition from third parties, which may have a material adverse effect on our business.</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claims challenging the inventorship of our patents and other intellectual property.</w:t>
      </w:r>
    </w:p>
    <w:p>
      <w:pPr>
        <w:spacing w:after="0" w:line="215" w:lineRule="exact"/>
        <w:rPr>
          <w:sz w:val="20"/>
          <w:szCs w:val="20"/>
          <w:color w:val="auto"/>
        </w:rPr>
      </w:pPr>
    </w:p>
    <w:p>
      <w:pPr>
        <w:jc w:val="both"/>
        <w:ind w:left="40" w:right="139" w:firstLine="305"/>
        <w:spacing w:after="0" w:line="271" w:lineRule="auto"/>
        <w:rPr>
          <w:sz w:val="20"/>
          <w:szCs w:val="20"/>
          <w:color w:val="auto"/>
        </w:rPr>
      </w:pPr>
      <w:r>
        <w:rPr>
          <w:rFonts w:ascii="Times New Roman" w:cs="Times New Roman" w:eastAsia="Times New Roman" w:hAnsi="Times New Roman"/>
          <w:sz w:val="16"/>
          <w:szCs w:val="16"/>
          <w:color w:val="auto"/>
        </w:rPr>
        <w:t>We may be subject to claims that former employees, collaborators or other third parties have an interest or title in our patents or other intellectual property as an inventor or co-inventor. For example, we may have inventorship disputes arise from conflicting obligations of consultants, CROs, CMOs, academic institutions or others who are involved in developing our product candidates.</w:t>
      </w:r>
    </w:p>
    <w:p>
      <w:pPr>
        <w:spacing w:after="0" w:line="2" w:lineRule="exact"/>
        <w:rPr>
          <w:sz w:val="20"/>
          <w:szCs w:val="20"/>
          <w:color w:val="auto"/>
        </w:rPr>
      </w:pPr>
    </w:p>
    <w:p>
      <w:pPr>
        <w:ind w:left="40" w:right="159"/>
        <w:spacing w:after="0" w:line="247" w:lineRule="auto"/>
        <w:rPr>
          <w:sz w:val="20"/>
          <w:szCs w:val="20"/>
          <w:color w:val="auto"/>
        </w:rPr>
      </w:pPr>
      <w:r>
        <w:rPr>
          <w:rFonts w:ascii="Times New Roman" w:cs="Times New Roman" w:eastAsia="Times New Roman" w:hAnsi="Times New Roman"/>
          <w:sz w:val="17"/>
          <w:szCs w:val="17"/>
          <w:color w:val="auto"/>
        </w:rPr>
        <w:t>Litigation may be necessary to defend against these and other claims challenging inventorship or our ownership of our patents or other intellectual property. If we fail in defending any such claims, in addition to paying monetary damages, we may lose valuable intellectual property rights, such as exclusive ownership of, or the right to use, valuable intellectual property. Such an outcome could have a material adverse effect on our business.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619"/>
        <w:spacing w:after="0" w:line="277" w:lineRule="auto"/>
        <w:rPr>
          <w:sz w:val="20"/>
          <w:szCs w:val="20"/>
          <w:color w:val="auto"/>
        </w:rPr>
      </w:pPr>
      <w:r>
        <w:rPr>
          <w:rFonts w:ascii="Times New Roman" w:cs="Times New Roman" w:eastAsia="Times New Roman" w:hAnsi="Times New Roman"/>
          <w:sz w:val="17"/>
          <w:szCs w:val="17"/>
          <w:color w:val="auto"/>
        </w:rPr>
        <w:t>Even if we are successful in defending against such claims, litigation could result in substantial costs and be a distraction to management and other employees.</w:t>
      </w:r>
    </w:p>
    <w:p>
      <w:pPr>
        <w:spacing w:after="0" w:line="154" w:lineRule="exact"/>
        <w:rPr>
          <w:sz w:val="20"/>
          <w:szCs w:val="20"/>
          <w:color w:val="auto"/>
        </w:rPr>
      </w:pPr>
    </w:p>
    <w:p>
      <w:pPr>
        <w:ind w:left="340" w:right="9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Patent policy and rule changes could increase the uncertainties and costs surrounding the prosecution of our patent applications and the enforcement or defense of our issued patents, thereby impairing our ability to protect our technologies and products.</w:t>
      </w:r>
    </w:p>
    <w:p>
      <w:pPr>
        <w:spacing w:after="0" w:line="166" w:lineRule="exact"/>
        <w:rPr>
          <w:sz w:val="20"/>
          <w:szCs w:val="20"/>
          <w:color w:val="auto"/>
        </w:rPr>
      </w:pPr>
    </w:p>
    <w:p>
      <w:pPr>
        <w:ind w:left="40" w:right="119" w:firstLine="305"/>
        <w:spacing w:after="0" w:line="249" w:lineRule="auto"/>
        <w:rPr>
          <w:sz w:val="20"/>
          <w:szCs w:val="20"/>
          <w:color w:val="auto"/>
        </w:rPr>
      </w:pPr>
      <w:r>
        <w:rPr>
          <w:rFonts w:ascii="Times New Roman" w:cs="Times New Roman" w:eastAsia="Times New Roman" w:hAnsi="Times New Roman"/>
          <w:sz w:val="17"/>
          <w:szCs w:val="17"/>
          <w:color w:val="auto"/>
        </w:rPr>
        <w:t xml:space="preserve">Changes in either the patent laws or interpretation of the patent laws in the U.S., EU or elsewhere could increase the uncertainties and costs surrounding the prosecution of patent applications and the enforcement or defense of issued patents. Assuming the other requirements for patentability are met, in the U.S. prior to March 15, 2013, the first to make the claimed invention is entitled to the patent, whereas outside the U.S., the first to file a patent application was entitled to the patent. After March 15, 2013, under the Leahy-Smith America Invents Act (the Leahy-Smith Act), enacted on September 16, 2011, the U.S. has moved to a first-to-file system. Under a first-to-file system, assuming the other requirements for patentability are met, the first inventor to file a patent application generally will be entitled to the patent on an invention regardless of whether a third party was the first to invent the invention. The Leahy-Smith Act also includes a number of significant changes that affect the way patent applications are prosecuted and may also affect patent litigation. These include allowing third-party submission of prior art to the USPTO during patent prosecution and additional procedures to attack the validity of a patent by the USPTO administered during post grant proceedings, including re-examination proceedings,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post-grant review and derivation proceedings. Therefore, the Leahy-Smith Act and its implementation increases the uncertainties and costs surrounding the prosecution of our patent applications and the enforcement or defense of our issued patents, all of which could have a material adverse effect on our business, financial condition, results of operations and prospects. In addition, future actions by the U.S. Congress, the federal courts and the USPTO could cause the laws and regulations governing patents to change in unpredictable ways. Any of the foregoing could harm our business, financial condition and results of operations.</w:t>
      </w:r>
    </w:p>
    <w:p>
      <w:pPr>
        <w:spacing w:after="0" w:line="182" w:lineRule="exact"/>
        <w:rPr>
          <w:sz w:val="20"/>
          <w:szCs w:val="20"/>
          <w:color w:val="auto"/>
        </w:rPr>
      </w:pPr>
    </w:p>
    <w:p>
      <w:pPr>
        <w:ind w:left="40" w:right="179" w:firstLine="305"/>
        <w:spacing w:after="0" w:line="249" w:lineRule="auto"/>
        <w:rPr>
          <w:sz w:val="20"/>
          <w:szCs w:val="20"/>
          <w:color w:val="auto"/>
        </w:rPr>
      </w:pPr>
      <w:r>
        <w:rPr>
          <w:rFonts w:ascii="Times New Roman" w:cs="Times New Roman" w:eastAsia="Times New Roman" w:hAnsi="Times New Roman"/>
          <w:sz w:val="17"/>
          <w:szCs w:val="17"/>
          <w:color w:val="auto"/>
        </w:rPr>
        <w:t>In Europe, the Unified Patent Court (UPC) entered into force in June 2023. The UPC provides a new centralized forum for pan-European litigation in contracting EU Member States (18 out of 27 EU Member States). Litigation of European patents in European Patent Convention countries outside of the EU (e.g. Switzerland, the UK, Turkey) and in non-contracting EU countries (e.g. Spain, Poland) continues to be on a country-by-country basis in front of national courts. During a transition period (initially seven years), patent owners can elect to keep their European patents outside of the jurisdiction of the UPC (“opt-out”). Whilst European patents may be opted-out of the UPC during such transition period, after expiry of such transition period EU legislation provides that the UPC jurisdiction will apply, in respect of the UPC contracting states for all European patents. Accordingly, the emergence of the UPC and its implementation increase the uncertainties surrounding the enforcement or defense of issued patents and related costs, which could have a material adverse effect on our business, financial condition, results of operations and prospects.</w:t>
      </w:r>
    </w:p>
    <w:p>
      <w:pPr>
        <w:spacing w:after="0" w:line="180" w:lineRule="exact"/>
        <w:rPr>
          <w:sz w:val="20"/>
          <w:szCs w:val="20"/>
          <w:color w:val="auto"/>
        </w:rPr>
      </w:pPr>
    </w:p>
    <w:p>
      <w:pPr>
        <w:ind w:left="40" w:right="139" w:firstLine="305"/>
        <w:spacing w:after="0" w:line="270" w:lineRule="auto"/>
        <w:rPr>
          <w:sz w:val="20"/>
          <w:szCs w:val="20"/>
          <w:color w:val="auto"/>
        </w:rPr>
      </w:pPr>
      <w:r>
        <w:rPr>
          <w:rFonts w:ascii="Times New Roman" w:cs="Times New Roman" w:eastAsia="Times New Roman" w:hAnsi="Times New Roman"/>
          <w:sz w:val="16"/>
          <w:szCs w:val="16"/>
          <w:color w:val="auto"/>
        </w:rPr>
        <w:t>In addition, the patent positions of companies in the development and commercialization of biologics and pharmaceuticals are particularly uncertain.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in the U.S.</w:t>
      </w:r>
    </w:p>
    <w:p>
      <w:pPr>
        <w:spacing w:after="0" w:line="163" w:lineRule="exact"/>
        <w:rPr>
          <w:sz w:val="20"/>
          <w:szCs w:val="20"/>
          <w:color w:val="auto"/>
        </w:rPr>
      </w:pPr>
    </w:p>
    <w:p>
      <w:pPr>
        <w:ind w:left="340" w:right="39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maintain effective proprietary rights for our technologies, product candidates or any future product candidates, we may not be able to compete effectively in our markets.</w:t>
      </w:r>
    </w:p>
    <w:p>
      <w:pPr>
        <w:spacing w:after="0" w:line="154" w:lineRule="exact"/>
        <w:rPr>
          <w:sz w:val="20"/>
          <w:szCs w:val="20"/>
          <w:color w:val="auto"/>
        </w:rPr>
      </w:pPr>
    </w:p>
    <w:p>
      <w:pPr>
        <w:ind w:left="40" w:right="119" w:firstLine="305"/>
        <w:spacing w:after="0" w:line="251" w:lineRule="auto"/>
        <w:rPr>
          <w:sz w:val="20"/>
          <w:szCs w:val="20"/>
          <w:color w:val="auto"/>
        </w:rPr>
      </w:pPr>
      <w:r>
        <w:rPr>
          <w:rFonts w:ascii="Times New Roman" w:cs="Times New Roman" w:eastAsia="Times New Roman" w:hAnsi="Times New Roman"/>
          <w:sz w:val="17"/>
          <w:szCs w:val="17"/>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U.S. are less willing or unwilling to protect trade secrets. The EU has introduced a Directive on trade secrets increasing the standards for protection. Because we rely on our advisors, employees and third-party contractors and consultants to research and develop and to manufacture our product</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119"/>
        <w:spacing w:after="0" w:line="249" w:lineRule="auto"/>
        <w:rPr>
          <w:sz w:val="20"/>
          <w:szCs w:val="20"/>
          <w:color w:val="auto"/>
        </w:rPr>
      </w:pPr>
      <w:r>
        <w:rPr>
          <w:rFonts w:ascii="Times New Roman" w:cs="Times New Roman" w:eastAsia="Times New Roman" w:hAnsi="Times New Roman"/>
          <w:sz w:val="17"/>
          <w:szCs w:val="17"/>
          <w:color w:val="auto"/>
        </w:rPr>
        <w:t>candidates, we must, at times, share our intellectual property with them. We seek to protect our intellectual property and other proprietary technology in part by entering into confidentiality agreements, master service agreements, and, if applicable, material transfer agreements, consulting agreements or other similar agreements with our advisors, employees, contractors, consultants, licensing and collaboration partners, and other third parties with confidentiality provisions. These agreements typically limit the rights of these third parties to use or disclose our confidential information, including our intellectual property and trade secrets. These agreements also typically restrict the ability of third parties to publish data potentially relating to our intellectual property, although our agreements may contain certain limited publication rights. For example, any academic institution that we may collaborate with in the future may expect to be granted rights to publish data arising out of such collaboration, provided that we may have the right to be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We also conduct joint research and development programs that may require us to share intellectual property under the terms of our research and development or similar agreements. However, we cannot guarantee that we have entered into such agreements with each party that may have or have had access to our trade secrets or other confidential information or proprietary technology and processes, or that such agreements will not be breached or that our trade secrets or other confidential information will not otherwise be disclosed. Despite the contractual provisions employed when working with these advisors, employees and third-party contractors and consultants, the need to share intellectual property and other confidential information increases the risk that such confidential information becomes known by our competitors, is inadvertently incorporated into the product development of others or is disclosed or used in violation of these agreements. Additionally, our grant agreements typically provide for dissemination of results to academic institutions and to the general public. As a result, our information may be disseminated with the loss of protection status.</w:t>
      </w:r>
    </w:p>
    <w:p>
      <w:pPr>
        <w:spacing w:after="0" w:line="183" w:lineRule="exact"/>
        <w:rPr>
          <w:sz w:val="20"/>
          <w:szCs w:val="20"/>
          <w:color w:val="auto"/>
        </w:rPr>
      </w:pPr>
    </w:p>
    <w:p>
      <w:pPr>
        <w:ind w:left="40" w:right="119" w:firstLine="305"/>
        <w:spacing w:after="0" w:line="266" w:lineRule="auto"/>
        <w:rPr>
          <w:sz w:val="20"/>
          <w:szCs w:val="20"/>
          <w:color w:val="auto"/>
        </w:rPr>
      </w:pPr>
      <w:r>
        <w:rPr>
          <w:rFonts w:ascii="Times New Roman" w:cs="Times New Roman" w:eastAsia="Times New Roman" w:hAnsi="Times New Roman"/>
          <w:sz w:val="16"/>
          <w:szCs w:val="16"/>
          <w:color w:val="auto"/>
        </w:rPr>
        <w:t>We also seek to preserve the integrity and confidentiality of our data and trade secrets by maintaining the physical security of our premises and the physical and electronic security of our information technology systems. Despite our efforts to protect our intellectual property, our competitors may discover our trade secrets through breach of our agreements by third parties, for which we may not have adequate remedies for any breach, or publication of information by any of our CROs, academic partners, funding organizations or our licensing or collaboration partners. Additionally, if the steps we take or that we impose on our CROs to maintain our trade secrets are deemed inadequate by law, we may have insufficient recourse against third parties for misappropriating such trade secrets. Misappropriation or unauthorized disclosure of our trade secrets could impair our competitive position and may have a material adverse effect on our business. Moreover, if any of our trade secrets were to be lawfully obtained or independently developed by a competitor or other third party, we would have no right to prevent such competitor or other third party from using that technology or information to compete with us. A competitor’s or other third party’s discovery of our intellectual property would impair our competitive position and have a material adverse effect on our business.</w:t>
      </w:r>
    </w:p>
    <w:p>
      <w:pPr>
        <w:spacing w:after="0" w:line="168" w:lineRule="exact"/>
        <w:rPr>
          <w:sz w:val="20"/>
          <w:szCs w:val="20"/>
          <w:color w:val="auto"/>
        </w:rPr>
      </w:pPr>
    </w:p>
    <w:p>
      <w:pPr>
        <w:jc w:val="both"/>
        <w:ind w:left="40" w:right="119" w:firstLine="305"/>
        <w:spacing w:after="0" w:line="256" w:lineRule="auto"/>
        <w:rPr>
          <w:sz w:val="20"/>
          <w:szCs w:val="20"/>
          <w:color w:val="auto"/>
        </w:rPr>
      </w:pPr>
      <w:r>
        <w:rPr>
          <w:rFonts w:ascii="Times New Roman" w:cs="Times New Roman" w:eastAsia="Times New Roman" w:hAnsi="Times New Roman"/>
          <w:sz w:val="17"/>
          <w:szCs w:val="17"/>
          <w:color w:val="auto"/>
        </w:rPr>
        <w:t>Further, the laws of some foreign countries do not protect proprietary rights to the same extent or in the same manner as the laws of the U.S. As a result, we may encounter significant problems in protecting and defending our intellectual property both in the U.S. and abroad. If we are unable to prevent material disclosure of the intellectual property related to our technologies to third parties, we will not be able to establish or maintain a competitive advantage in our market, which could materially adversely affect our business, financial condition and results of operations.</w:t>
      </w:r>
    </w:p>
    <w:p>
      <w:pPr>
        <w:spacing w:after="0" w:line="163" w:lineRule="exact"/>
        <w:rPr>
          <w:sz w:val="20"/>
          <w:szCs w:val="20"/>
          <w:color w:val="auto"/>
        </w:rPr>
      </w:pPr>
    </w:p>
    <w:p>
      <w:pPr>
        <w:jc w:val="both"/>
        <w:ind w:left="40" w:right="139" w:firstLine="305"/>
        <w:spacing w:after="0" w:line="310" w:lineRule="auto"/>
        <w:rPr>
          <w:sz w:val="20"/>
          <w:szCs w:val="20"/>
          <w:color w:val="auto"/>
        </w:rPr>
      </w:pPr>
      <w:r>
        <w:rPr>
          <w:rFonts w:ascii="Times New Roman" w:cs="Times New Roman" w:eastAsia="Times New Roman" w:hAnsi="Times New Roman"/>
          <w:sz w:val="16"/>
          <w:szCs w:val="16"/>
          <w:color w:val="auto"/>
        </w:rPr>
        <w:t>Despite confidentiality clauses within our employment and other agreements with employees, we cannot ensure that departing employees will not breach any post-termination commitments in such agreements by allowing others to access our trade secrets.</w:t>
      </w:r>
    </w:p>
    <w:p>
      <w:pPr>
        <w:spacing w:after="0" w:line="130" w:lineRule="exact"/>
        <w:rPr>
          <w:sz w:val="20"/>
          <w:szCs w:val="20"/>
          <w:color w:val="auto"/>
        </w:rPr>
      </w:pPr>
    </w:p>
    <w:p>
      <w:pPr>
        <w:ind w:left="340" w:right="11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our patent protection depends on compliance with various procedural, document-submission, fee-payment and other requirements imposed by governmental patent agencies, and our patent protection could be reduced or eliminated for noncompliance with these requirements.</w:t>
      </w:r>
    </w:p>
    <w:p>
      <w:pPr>
        <w:spacing w:after="0" w:line="166" w:lineRule="exact"/>
        <w:rPr>
          <w:sz w:val="20"/>
          <w:szCs w:val="20"/>
          <w:color w:val="auto"/>
        </w:rPr>
      </w:pPr>
    </w:p>
    <w:p>
      <w:pPr>
        <w:ind w:left="40" w:right="99" w:firstLine="305"/>
        <w:spacing w:after="0" w:line="253" w:lineRule="auto"/>
        <w:rPr>
          <w:sz w:val="20"/>
          <w:szCs w:val="20"/>
          <w:color w:val="auto"/>
        </w:rPr>
      </w:pPr>
      <w:r>
        <w:rPr>
          <w:rFonts w:ascii="Times New Roman" w:cs="Times New Roman" w:eastAsia="Times New Roman" w:hAnsi="Times New Roman"/>
          <w:sz w:val="17"/>
          <w:szCs w:val="17"/>
          <w:color w:val="auto"/>
        </w:rPr>
        <w:t>Periodic maintenance fees, renewal fees, annuity fees and various other government fees on a patent and patent application are due to be paid to the USPTO and foreign patent agencies in several stages over the lifetime of the patent and patent application. The USPTO and various foreign governmental patent agencies require compliance with a number of procedural, documentary, fee-payment and other similar provisions during the patent application process. We employ</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35" w:name="page36"/>
    <w:bookmarkEnd w:id="3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99"/>
        <w:spacing w:after="0" w:line="251" w:lineRule="auto"/>
        <w:rPr>
          <w:sz w:val="20"/>
          <w:szCs w:val="20"/>
          <w:color w:val="auto"/>
        </w:rPr>
      </w:pPr>
      <w:r>
        <w:rPr>
          <w:rFonts w:ascii="Times New Roman" w:cs="Times New Roman" w:eastAsia="Times New Roman" w:hAnsi="Times New Roman"/>
          <w:sz w:val="17"/>
          <w:szCs w:val="17"/>
          <w:color w:val="auto"/>
        </w:rPr>
        <w:t>reputable law firms and other professionals to help us comply with these requirements and we are also dependent on our licensors or collaboration partners to take the necessary action to comply with these requirements with respect to certain of our intellectual property.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The patent protection and patent prosecution for some of our product candidates is dependent on third parties.</w:t>
      </w:r>
    </w:p>
    <w:p>
      <w:pPr>
        <w:spacing w:after="0" w:line="215" w:lineRule="exact"/>
        <w:rPr>
          <w:sz w:val="20"/>
          <w:szCs w:val="20"/>
          <w:color w:val="auto"/>
        </w:rPr>
      </w:pPr>
    </w:p>
    <w:p>
      <w:pPr>
        <w:ind w:left="40" w:right="59" w:firstLine="305"/>
        <w:spacing w:after="0" w:line="268" w:lineRule="auto"/>
        <w:rPr>
          <w:sz w:val="20"/>
          <w:szCs w:val="20"/>
          <w:color w:val="auto"/>
        </w:rPr>
      </w:pPr>
      <w:r>
        <w:rPr>
          <w:rFonts w:ascii="Times New Roman" w:cs="Times New Roman" w:eastAsia="Times New Roman" w:hAnsi="Times New Roman"/>
          <w:sz w:val="16"/>
          <w:szCs w:val="16"/>
          <w:color w:val="auto"/>
        </w:rPr>
        <w:t>Although we normally seek to obtain the right to control prosecution, maintenance and enforcement of the patents relating to our product candidates, there may be times when the filing and prosecution activities for patents relating to our product candidates are controlled by our licensors or collaboration partners. If any of our current or future licensing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or our collaboration partners’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167" w:lineRule="exact"/>
        <w:rPr>
          <w:sz w:val="20"/>
          <w:szCs w:val="20"/>
          <w:color w:val="auto"/>
        </w:rPr>
      </w:pPr>
    </w:p>
    <w:p>
      <w:pPr>
        <w:ind w:left="40" w:right="259" w:firstLine="305"/>
        <w:spacing w:after="0" w:line="277" w:lineRule="auto"/>
        <w:rPr>
          <w:sz w:val="20"/>
          <w:szCs w:val="20"/>
          <w:color w:val="auto"/>
        </w:rPr>
      </w:pPr>
      <w:r>
        <w:rPr>
          <w:rFonts w:ascii="Times New Roman" w:cs="Times New Roman" w:eastAsia="Times New Roman" w:hAnsi="Times New Roman"/>
          <w:sz w:val="17"/>
          <w:szCs w:val="17"/>
          <w:color w:val="auto"/>
        </w:rPr>
        <w:t>Additionally, we may be adversely affected or prejudiced by actions or inactions of our external and internal patent counsels working solely on our projects or our joint patent counsels representing us and our collaboration partners.</w:t>
      </w:r>
    </w:p>
    <w:p>
      <w:pPr>
        <w:spacing w:after="0" w:line="154" w:lineRule="exact"/>
        <w:rPr>
          <w:sz w:val="20"/>
          <w:szCs w:val="20"/>
          <w:color w:val="auto"/>
        </w:rPr>
      </w:pPr>
    </w:p>
    <w:p>
      <w:pPr>
        <w:ind w:left="340" w:right="79"/>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the obligations in our intellectual property agreements, including those under which we license intellectual property and other rights to or from third parties, or otherwise experience disruptions to our business relationships with our licensees, our licensors and collaboration partners, we could lose intellectual property rights that are important to our business.</w:t>
      </w:r>
    </w:p>
    <w:p>
      <w:pPr>
        <w:spacing w:after="0" w:line="176" w:lineRule="exact"/>
        <w:rPr>
          <w:sz w:val="20"/>
          <w:szCs w:val="20"/>
          <w:color w:val="auto"/>
        </w:rPr>
      </w:pPr>
    </w:p>
    <w:p>
      <w:pPr>
        <w:ind w:left="40" w:right="59" w:firstLine="305"/>
        <w:spacing w:after="0" w:line="251" w:lineRule="auto"/>
        <w:rPr>
          <w:sz w:val="20"/>
          <w:szCs w:val="20"/>
          <w:color w:val="auto"/>
        </w:rPr>
      </w:pPr>
      <w:r>
        <w:rPr>
          <w:rFonts w:ascii="Times New Roman" w:cs="Times New Roman" w:eastAsia="Times New Roman" w:hAnsi="Times New Roman"/>
          <w:sz w:val="17"/>
          <w:szCs w:val="17"/>
          <w:color w:val="auto"/>
        </w:rPr>
        <w:t>We are a party to a number of intellectual property license and co-ownership agreements and research and development collaborations that are important to our business and expect to enter into additional such agreements in the future. Under certain circumstances, the royalties payable to us under these agreements are subject to certain reductions, which may have a materially adverse effect on our business, financial condition, results of operations and prospects. In addition, our existing agreements impose, and we expect that future agreements will impose, various diligence, commercialization, milestone payment, royalty and other obligations on us. If we fail to comply with our obligations under these agreements, we may be required to make certain payments to the licensor, we may lose the exclusivity of our license or the licensor may have the right to terminate the license, in which event we would not be able to develop or market products covered by the license.</w:t>
      </w:r>
    </w:p>
    <w:p>
      <w:pPr>
        <w:spacing w:after="0" w:line="179" w:lineRule="exact"/>
        <w:rPr>
          <w:sz w:val="20"/>
          <w:szCs w:val="20"/>
          <w:color w:val="auto"/>
        </w:rPr>
      </w:pPr>
    </w:p>
    <w:p>
      <w:pPr>
        <w:ind w:left="40" w:right="199" w:firstLine="305"/>
        <w:spacing w:after="0" w:line="277" w:lineRule="auto"/>
        <w:rPr>
          <w:sz w:val="20"/>
          <w:szCs w:val="20"/>
          <w:color w:val="auto"/>
        </w:rPr>
      </w:pPr>
      <w:r>
        <w:rPr>
          <w:rFonts w:ascii="Times New Roman" w:cs="Times New Roman" w:eastAsia="Times New Roman" w:hAnsi="Times New Roman"/>
          <w:sz w:val="17"/>
          <w:szCs w:val="17"/>
          <w:color w:val="auto"/>
        </w:rPr>
        <w:t>Licensing of intellectual property is of critical importance to our business and involves complex legal, business and scientific issues. Disputes may arise regarding intellectual property subject to a licensing or co-ownership agreement, including:</w:t>
      </w:r>
    </w:p>
    <w:p>
      <w:pPr>
        <w:spacing w:after="0" w:line="158" w:lineRule="exact"/>
        <w:rPr>
          <w:sz w:val="20"/>
          <w:szCs w:val="20"/>
          <w:color w:val="auto"/>
        </w:rPr>
      </w:pPr>
    </w:p>
    <w:p>
      <w:pPr>
        <w:ind w:left="680" w:hanging="305"/>
        <w:spacing w:after="0"/>
        <w:tabs>
          <w:tab w:leader="none" w:pos="6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of rights granted under the agreement, any restrictions in licensed fields and other interpretation-related issues;</w:t>
      </w:r>
    </w:p>
    <w:p>
      <w:pPr>
        <w:spacing w:after="0" w:line="210" w:lineRule="exact"/>
        <w:rPr>
          <w:rFonts w:ascii="Times New Roman" w:cs="Times New Roman" w:eastAsia="Times New Roman" w:hAnsi="Times New Roman"/>
          <w:sz w:val="17"/>
          <w:szCs w:val="17"/>
          <w:color w:val="auto"/>
        </w:rPr>
      </w:pPr>
    </w:p>
    <w:p>
      <w:pPr>
        <w:ind w:left="680" w:right="559" w:hanging="305"/>
        <w:spacing w:after="0" w:line="262" w:lineRule="auto"/>
        <w:tabs>
          <w:tab w:leader="none" w:pos="6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our technology and processes infringe or otherwise violate the intellectual property of any third parties;</w:t>
      </w:r>
    </w:p>
    <w:p>
      <w:pPr>
        <w:spacing w:after="0" w:line="182"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sublicensing of patents and other intellectual property rights;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329565</wp:posOffset>
            </wp:positionV>
            <wp:extent cx="5657850" cy="241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36" w:name="page37"/>
    <w:bookmarkEnd w:id="3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80" w:right="519" w:hanging="305"/>
        <w:spacing w:after="0" w:line="277" w:lineRule="auto"/>
        <w:tabs>
          <w:tab w:leader="none" w:pos="6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diligence, development and commercialization obligations under the agreement and what activities satisfy those obligations;</w:t>
      </w:r>
    </w:p>
    <w:p>
      <w:pPr>
        <w:spacing w:after="0" w:line="157" w:lineRule="exact"/>
        <w:rPr>
          <w:rFonts w:ascii="Times New Roman" w:cs="Times New Roman" w:eastAsia="Times New Roman" w:hAnsi="Times New Roman"/>
          <w:sz w:val="17"/>
          <w:szCs w:val="17"/>
          <w:color w:val="auto"/>
        </w:rPr>
      </w:pPr>
    </w:p>
    <w:p>
      <w:pPr>
        <w:ind w:left="680" w:right="259" w:hanging="305"/>
        <w:spacing w:after="0" w:line="277" w:lineRule="auto"/>
        <w:tabs>
          <w:tab w:leader="none" w:pos="6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ownership of inventions and know-how resulting from the joint or mutual creation or use of intellectual property by our licensors or collaboration partners and us;</w:t>
      </w:r>
    </w:p>
    <w:p>
      <w:pPr>
        <w:spacing w:after="0" w:line="157"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non-compete commitments; and</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consequences for changes in control.</w:t>
      </w:r>
    </w:p>
    <w:p>
      <w:pPr>
        <w:spacing w:after="0" w:line="211" w:lineRule="exact"/>
        <w:rPr>
          <w:sz w:val="20"/>
          <w:szCs w:val="20"/>
          <w:color w:val="auto"/>
        </w:rPr>
      </w:pPr>
    </w:p>
    <w:p>
      <w:pPr>
        <w:ind w:left="40" w:right="179" w:firstLine="305"/>
        <w:spacing w:after="0" w:line="263" w:lineRule="auto"/>
        <w:rPr>
          <w:sz w:val="20"/>
          <w:szCs w:val="20"/>
          <w:color w:val="auto"/>
        </w:rPr>
      </w:pPr>
      <w:r>
        <w:rPr>
          <w:rFonts w:ascii="Times New Roman" w:cs="Times New Roman" w:eastAsia="Times New Roman" w:hAnsi="Times New Roman"/>
          <w:sz w:val="17"/>
          <w:szCs w:val="17"/>
          <w:color w:val="auto"/>
        </w:rPr>
        <w:t>If disputes over intellectual property and other rights that we own, have licensed or co-own prevent or impair our ability to maintain our current licensing or exclusivity arrangements on acceptable terms, we or our collaboration partners may be unable to successfully develop and commercialize the affected product candidates.</w:t>
      </w:r>
    </w:p>
    <w:p>
      <w:pPr>
        <w:spacing w:after="0" w:line="170" w:lineRule="exact"/>
        <w:rPr>
          <w:sz w:val="20"/>
          <w:szCs w:val="20"/>
          <w:color w:val="auto"/>
        </w:rPr>
      </w:pPr>
    </w:p>
    <w:p>
      <w:pPr>
        <w:ind w:left="40" w:right="279" w:firstLine="305"/>
        <w:spacing w:after="0" w:line="251" w:lineRule="auto"/>
        <w:rPr>
          <w:sz w:val="20"/>
          <w:szCs w:val="20"/>
          <w:color w:val="auto"/>
        </w:rPr>
      </w:pPr>
      <w:r>
        <w:rPr>
          <w:rFonts w:ascii="Times New Roman" w:cs="Times New Roman" w:eastAsia="Times New Roman" w:hAnsi="Times New Roman"/>
          <w:sz w:val="17"/>
          <w:szCs w:val="17"/>
          <w:color w:val="auto"/>
        </w:rPr>
        <w:t>In addition, certain provisions in the agreements under which we currently license intellectual property or technology to and from third parties may be susceptible to multiple interpretations. The resolution of any contract interpretation disagreement that may arise could narrow what we believe to be the scope of our rights to the relevant intellectual property or technology, increase what we believe to be our financial or other obligations under the relevant agreement, or decrease the third party’s financial or other obligations under the relevant agreement, any of which could have a material adverse effect on our business, financial condition, results of operations and prospects.</w:t>
      </w:r>
    </w:p>
    <w:p>
      <w:pPr>
        <w:spacing w:after="0" w:line="178" w:lineRule="exact"/>
        <w:rPr>
          <w:sz w:val="20"/>
          <w:szCs w:val="20"/>
          <w:color w:val="auto"/>
        </w:rPr>
      </w:pPr>
    </w:p>
    <w:p>
      <w:pPr>
        <w:ind w:left="340" w:right="31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or our licensors, licensees or collaborators may not be successful in obtaining or maintaining the necessary rights to our product candidates from third parties through acquisitions and in-licenses.</w:t>
      </w:r>
    </w:p>
    <w:p>
      <w:pPr>
        <w:spacing w:after="0" w:line="154" w:lineRule="exact"/>
        <w:rPr>
          <w:sz w:val="20"/>
          <w:szCs w:val="20"/>
          <w:color w:val="auto"/>
        </w:rPr>
      </w:pPr>
    </w:p>
    <w:p>
      <w:pPr>
        <w:ind w:left="40" w:right="59" w:firstLine="305"/>
        <w:spacing w:after="0" w:line="249" w:lineRule="auto"/>
        <w:rPr>
          <w:sz w:val="20"/>
          <w:szCs w:val="20"/>
          <w:color w:val="auto"/>
        </w:rPr>
      </w:pPr>
      <w:r>
        <w:rPr>
          <w:rFonts w:ascii="Times New Roman" w:cs="Times New Roman" w:eastAsia="Times New Roman" w:hAnsi="Times New Roman"/>
          <w:sz w:val="17"/>
          <w:szCs w:val="17"/>
          <w:color w:val="auto"/>
        </w:rPr>
        <w:t>We or our licensors, licensees or collaborators may require the use of proprietary rights held by third parties in the future, and the growth of our business will likely depend in part on our ability to acquire, in-license, maintain or use these proprietary rights. In addition, our product candidates may require specific processes and/or formulations to work effectively and efficiently and the rights to these processes and/or formulations may be held by others. We or our licensors or licensees may be unable to acquire or in-license from third parties any compositions, methods of use, processes, or other third-party intellectual property rights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or our licensors or licensees also may be unable to license or acquire third-party intellectual property rights on terms that would allow us to make an appropriate return on our investment.</w:t>
      </w:r>
    </w:p>
    <w:p>
      <w:pPr>
        <w:spacing w:after="0" w:line="181" w:lineRule="exact"/>
        <w:rPr>
          <w:sz w:val="20"/>
          <w:szCs w:val="20"/>
          <w:color w:val="auto"/>
        </w:rPr>
      </w:pPr>
    </w:p>
    <w:p>
      <w:pPr>
        <w:ind w:left="40" w:right="159" w:firstLine="305"/>
        <w:spacing w:after="0" w:line="255" w:lineRule="auto"/>
        <w:rPr>
          <w:sz w:val="20"/>
          <w:szCs w:val="20"/>
          <w:color w:val="auto"/>
        </w:rPr>
      </w:pPr>
      <w:r>
        <w:rPr>
          <w:rFonts w:ascii="Times New Roman" w:cs="Times New Roman" w:eastAsia="Times New Roman" w:hAnsi="Times New Roman"/>
          <w:sz w:val="17"/>
          <w:szCs w:val="17"/>
          <w:color w:val="auto"/>
        </w:rPr>
        <w:t>For example, we sometimes collaborate with U.S. and foreign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applicable product candidate or program.</w:t>
      </w:r>
    </w:p>
    <w:p>
      <w:pPr>
        <w:spacing w:after="0" w:line="163" w:lineRule="exact"/>
        <w:rPr>
          <w:sz w:val="20"/>
          <w:szCs w:val="20"/>
          <w:color w:val="auto"/>
        </w:rPr>
      </w:pPr>
    </w:p>
    <w:p>
      <w:pPr>
        <w:jc w:val="both"/>
        <w:ind w:left="40" w:right="259" w:firstLine="305"/>
        <w:spacing w:after="0" w:line="263" w:lineRule="auto"/>
        <w:rPr>
          <w:sz w:val="20"/>
          <w:szCs w:val="20"/>
          <w:color w:val="auto"/>
        </w:rPr>
      </w:pPr>
      <w:r>
        <w:rPr>
          <w:rFonts w:ascii="Times New Roman" w:cs="Times New Roman" w:eastAsia="Times New Roman" w:hAnsi="Times New Roman"/>
          <w:sz w:val="17"/>
          <w:szCs w:val="17"/>
          <w:color w:val="auto"/>
        </w:rPr>
        <w:t>If we are unable to successfully obtain a license to third-party intellectual property rights necessary for the development of a product candidate or program, we may have to abandon development of that product candidate or program and our business and financial condition could suffer.</w:t>
      </w:r>
    </w:p>
    <w:p>
      <w:pPr>
        <w:spacing w:after="0" w:line="166" w:lineRule="exact"/>
        <w:rPr>
          <w:sz w:val="20"/>
          <w:szCs w:val="20"/>
          <w:color w:val="auto"/>
        </w:rPr>
      </w:pPr>
    </w:p>
    <w:p>
      <w:pPr>
        <w:ind w:left="340" w:right="21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Third-party claims of intellectual property infringement may expose us to substantial liability or may prevent or delay our or our collaboration partners’ development and commercialization efforts.</w:t>
      </w:r>
    </w:p>
    <w:p>
      <w:pPr>
        <w:spacing w:after="0" w:line="154" w:lineRule="exact"/>
        <w:rPr>
          <w:sz w:val="20"/>
          <w:szCs w:val="20"/>
          <w:color w:val="auto"/>
        </w:rPr>
      </w:pPr>
    </w:p>
    <w:p>
      <w:pPr>
        <w:ind w:left="40" w:right="419" w:firstLine="305"/>
        <w:spacing w:after="0" w:line="277" w:lineRule="auto"/>
        <w:rPr>
          <w:sz w:val="20"/>
          <w:szCs w:val="20"/>
          <w:color w:val="auto"/>
        </w:rPr>
      </w:pPr>
      <w:r>
        <w:rPr>
          <w:rFonts w:ascii="Times New Roman" w:cs="Times New Roman" w:eastAsia="Times New Roman" w:hAnsi="Times New Roman"/>
          <w:sz w:val="17"/>
          <w:szCs w:val="17"/>
          <w:color w:val="auto"/>
        </w:rPr>
        <w:t>Numerous U.S.- and foreign-issued patents and pending patent applications, which are owned by third parties, exist in the fields in which we are developing product candidates. For example, we are aware of third-party patents or patent</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37" w:name="page38"/>
    <w:bookmarkEnd w:id="3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99"/>
        <w:spacing w:after="0" w:line="250" w:lineRule="auto"/>
        <w:rPr>
          <w:sz w:val="20"/>
          <w:szCs w:val="20"/>
          <w:color w:val="auto"/>
        </w:rPr>
      </w:pPr>
      <w:r>
        <w:rPr>
          <w:rFonts w:ascii="Times New Roman" w:cs="Times New Roman" w:eastAsia="Times New Roman" w:hAnsi="Times New Roman"/>
          <w:sz w:val="17"/>
          <w:szCs w:val="17"/>
          <w:color w:val="auto"/>
        </w:rPr>
        <w:t>applications that may be construed to cover one or more of our product candidates. If these patents are asserted against us or our licensing or collaboration partners and either we or our licensing or collaboration partners are found to infringe any of these patents, and are unsuccessful in demonstrating that such patents are invalid or unenforceable, then we and our licensing or collaboration partners could be required to pay substantial monetary damages or cease further development or commercialization of one or more of our product candidates or be compelled to enter into onerous licenses with such third parties. There may also be other third-party patents or patent applications with claims to materials, formulations, methods of manufacture or methods of treatment related to the use or manufacture of our product candidates and technology. Although we generally conduct a freedom-to-operate search and review with respect to our product candidates, we cannot guarantee that our search and review is complete and thorough, nor can we be sure that we have identified each and every patent and pending application in the U.S. and abroad that is relevant or necessary to the manufacturing or commercialization of our product candidates or use of our technology. Because patent applications can take many years to issue, there may be currently pending patent applications that may later result in issued patents that our product candidates may infringe. In addition, third parties may file and obtain additional patents in the future and claim that use of our technologies infringes upon these patents.</w:t>
      </w:r>
    </w:p>
    <w:p>
      <w:pPr>
        <w:spacing w:after="0" w:line="183" w:lineRule="exact"/>
        <w:rPr>
          <w:sz w:val="20"/>
          <w:szCs w:val="20"/>
          <w:color w:val="auto"/>
        </w:rPr>
      </w:pPr>
    </w:p>
    <w:p>
      <w:pPr>
        <w:ind w:left="40" w:right="79" w:firstLine="305"/>
        <w:spacing w:after="0" w:line="253" w:lineRule="auto"/>
        <w:rPr>
          <w:sz w:val="20"/>
          <w:szCs w:val="20"/>
          <w:color w:val="auto"/>
        </w:rPr>
      </w:pPr>
      <w:r>
        <w:rPr>
          <w:rFonts w:ascii="Times New Roman" w:cs="Times New Roman" w:eastAsia="Times New Roman" w:hAnsi="Times New Roman"/>
          <w:sz w:val="17"/>
          <w:szCs w:val="17"/>
          <w:color w:val="auto"/>
        </w:rPr>
        <w:t>Third parties may assert infringement claims against us based on existing patents or on patents that may be granted in the future, regardless of merit. Even if we believe such claims are without merit, a court of competent jurisdiction could hold that these third-party patents are valid, enforceable and infringed, which could materially and adversely affect our or our collaboration partners’ ability to commercialize our product candidates or technologies covered by the asserted third-party patents.</w:t>
      </w:r>
    </w:p>
    <w:p>
      <w:pPr>
        <w:spacing w:after="0" w:line="178" w:lineRule="exact"/>
        <w:rPr>
          <w:sz w:val="20"/>
          <w:szCs w:val="20"/>
          <w:color w:val="auto"/>
        </w:rPr>
      </w:pPr>
    </w:p>
    <w:p>
      <w:pPr>
        <w:ind w:left="40" w:right="159" w:firstLine="305"/>
        <w:spacing w:after="0" w:line="251" w:lineRule="auto"/>
        <w:rPr>
          <w:sz w:val="20"/>
          <w:szCs w:val="20"/>
          <w:color w:val="auto"/>
        </w:rPr>
      </w:pPr>
      <w:r>
        <w:rPr>
          <w:rFonts w:ascii="Times New Roman" w:cs="Times New Roman" w:eastAsia="Times New Roman" w:hAnsi="Times New Roman"/>
          <w:sz w:val="17"/>
          <w:szCs w:val="17"/>
          <w:color w:val="auto"/>
        </w:rPr>
        <w:t>Parties making claims against us may also obtain injunctive or other equitable relief, which could effectively block our or our collaboration partners’ ability to further develop and commercialize one or more of our product candidates. Defense of these claims, regardless of their merit, would involve substantial litigation expense and would be a substantial diversion of management and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Any of the foregoing could have a material and adverse effect on our business, financial conditions, results of operations and prospects.</w:t>
      </w:r>
    </w:p>
    <w:p>
      <w:pPr>
        <w:spacing w:after="0" w:line="179" w:lineRule="exact"/>
        <w:rPr>
          <w:sz w:val="20"/>
          <w:szCs w:val="20"/>
          <w:color w:val="auto"/>
        </w:rPr>
      </w:pPr>
    </w:p>
    <w:p>
      <w:pPr>
        <w:ind w:left="40" w:right="419" w:firstLine="305"/>
        <w:spacing w:after="0" w:line="277" w:lineRule="auto"/>
        <w:rPr>
          <w:sz w:val="20"/>
          <w:szCs w:val="20"/>
          <w:color w:val="auto"/>
        </w:rPr>
      </w:pPr>
      <w:r>
        <w:rPr>
          <w:rFonts w:ascii="Times New Roman" w:cs="Times New Roman" w:eastAsia="Times New Roman" w:hAnsi="Times New Roman"/>
          <w:sz w:val="17"/>
          <w:szCs w:val="17"/>
          <w:color w:val="auto"/>
        </w:rPr>
        <w:t>In addition, claims that we have misappropriated the confidential information or trade secrets of third parties could have a similar negative impact on our business, financial condition, results of operations and prospects.</w:t>
      </w:r>
    </w:p>
    <w:p>
      <w:pPr>
        <w:spacing w:after="0" w:line="158" w:lineRule="exact"/>
        <w:rPr>
          <w:sz w:val="20"/>
          <w:szCs w:val="20"/>
          <w:color w:val="auto"/>
        </w:rPr>
      </w:pPr>
    </w:p>
    <w:p>
      <w:pPr>
        <w:ind w:left="40" w:right="139" w:firstLine="305"/>
        <w:spacing w:after="0" w:line="255" w:lineRule="auto"/>
        <w:rPr>
          <w:sz w:val="20"/>
          <w:szCs w:val="20"/>
          <w:color w:val="auto"/>
        </w:rPr>
      </w:pPr>
      <w:r>
        <w:rPr>
          <w:rFonts w:ascii="Times New Roman" w:cs="Times New Roman" w:eastAsia="Times New Roman" w:hAnsi="Times New Roman"/>
          <w:sz w:val="17"/>
          <w:szCs w:val="17"/>
          <w:color w:val="auto"/>
        </w:rPr>
        <w:t>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176" w:lineRule="exact"/>
        <w:rPr>
          <w:sz w:val="20"/>
          <w:szCs w:val="20"/>
          <w:color w:val="auto"/>
        </w:rPr>
      </w:pPr>
    </w:p>
    <w:p>
      <w:pPr>
        <w:ind w:left="40" w:right="199" w:firstLine="305"/>
        <w:spacing w:after="0" w:line="251" w:lineRule="auto"/>
        <w:rPr>
          <w:sz w:val="20"/>
          <w:szCs w:val="20"/>
          <w:color w:val="auto"/>
        </w:rPr>
      </w:pPr>
      <w:r>
        <w:rPr>
          <w:rFonts w:ascii="Times New Roman" w:cs="Times New Roman" w:eastAsia="Times New Roman" w:hAnsi="Times New Roman"/>
          <w:sz w:val="17"/>
          <w:szCs w:val="17"/>
          <w:color w:val="auto"/>
        </w:rPr>
        <w:t>Some of our competitors may have substantially greater resources and more mature and developed intellectual property portfolios than we do, and may be able to sustain the costs of complex intellectual property litigation to a greater degree and for longer periods of time than we could. In addition, patent-holding companies that focus solely on extracting royalties and settlements by enforcing patent rights may target us. As the pharmaceutical and biopharmaceutical industries expand and more patents are issued, the risk increases that our product candidates may be subject to claims of infringement of the patent rights of third parties. The uncertainties resulting from the initiation and continuation of patent litigation or other proceedings could have a material adverse effect on our ability to compete in the marketplace.</w:t>
      </w:r>
    </w:p>
    <w:p>
      <w:pPr>
        <w:spacing w:after="0" w:line="177" w:lineRule="exact"/>
        <w:rPr>
          <w:sz w:val="20"/>
          <w:szCs w:val="20"/>
          <w:color w:val="auto"/>
        </w:rPr>
      </w:pPr>
    </w:p>
    <w:p>
      <w:pPr>
        <w:ind w:left="340" w:right="11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66" w:lineRule="exact"/>
        <w:rPr>
          <w:sz w:val="20"/>
          <w:szCs w:val="20"/>
          <w:color w:val="auto"/>
        </w:rPr>
      </w:pPr>
    </w:p>
    <w:p>
      <w:pPr>
        <w:ind w:left="40" w:right="59" w:firstLine="305"/>
        <w:spacing w:after="0" w:line="253" w:lineRule="auto"/>
        <w:rPr>
          <w:sz w:val="20"/>
          <w:szCs w:val="20"/>
          <w:color w:val="auto"/>
        </w:rPr>
      </w:pPr>
      <w:r>
        <w:rPr>
          <w:rFonts w:ascii="Times New Roman" w:cs="Times New Roman" w:eastAsia="Times New Roman" w:hAnsi="Times New Roman"/>
          <w:sz w:val="17"/>
          <w:szCs w:val="17"/>
          <w:color w:val="auto"/>
        </w:rPr>
        <w:t>We employ and utilize the services of individuals who were previously employed or provided services to universities or other pharmaceutical or biopharmaceutical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7"/>
          <w:szCs w:val="17"/>
          <w:color w:val="auto"/>
        </w:rPr>
        <w:t>consultants or independent contractors have inadvertently or otherwise used or disclosed intellectual property, including trade secrets or other proprietary information, of any of our employees’, consultants’ or independent contractors’ former employers or of other third parties. Litigation may be necessary to defend against these claims. If we fail in defending any such claims, in addition to paying monetary damages, we may lose valuable intellectual property rights or personnel, which could have a material adverse effect on our business. Even if we are successful in defending against such claims, litigation could result in substantial costs and be a distraction to management and other employees.</w:t>
      </w:r>
    </w:p>
    <w:p>
      <w:pPr>
        <w:spacing w:after="0" w:line="175" w:lineRule="exact"/>
        <w:rPr>
          <w:sz w:val="20"/>
          <w:szCs w:val="20"/>
          <w:color w:val="auto"/>
        </w:rPr>
      </w:pPr>
    </w:p>
    <w:p>
      <w:pPr>
        <w:ind w:left="40" w:right="119" w:firstLine="305"/>
        <w:spacing w:after="0" w:line="251" w:lineRule="auto"/>
        <w:rPr>
          <w:sz w:val="20"/>
          <w:szCs w:val="20"/>
          <w:color w:val="auto"/>
        </w:rPr>
      </w:pPr>
      <w:r>
        <w:rPr>
          <w:rFonts w:ascii="Times New Roman" w:cs="Times New Roman" w:eastAsia="Times New Roman" w:hAnsi="Times New Roman"/>
          <w:sz w:val="17"/>
          <w:szCs w:val="17"/>
          <w:color w:val="auto"/>
        </w:rPr>
        <w:t>In addition, although it is our policy to require our employees, consultants and independent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protect our intellectual property rights throughout the world.</w:t>
      </w:r>
    </w:p>
    <w:p>
      <w:pPr>
        <w:spacing w:after="0" w:line="215" w:lineRule="exact"/>
        <w:rPr>
          <w:sz w:val="20"/>
          <w:szCs w:val="20"/>
          <w:color w:val="auto"/>
        </w:rPr>
      </w:pPr>
    </w:p>
    <w:p>
      <w:pPr>
        <w:jc w:val="both"/>
        <w:ind w:left="40" w:right="239" w:firstLine="305"/>
        <w:spacing w:after="0" w:line="266" w:lineRule="auto"/>
        <w:rPr>
          <w:sz w:val="20"/>
          <w:szCs w:val="20"/>
          <w:color w:val="auto"/>
        </w:rPr>
      </w:pPr>
      <w:r>
        <w:rPr>
          <w:rFonts w:ascii="Times New Roman" w:cs="Times New Roman" w:eastAsia="Times New Roman" w:hAnsi="Times New Roman"/>
          <w:sz w:val="16"/>
          <w:szCs w:val="16"/>
          <w:color w:val="auto"/>
        </w:rPr>
        <w:t>Filing, prosecuting and defending patents on product candidates in all countries throughout the world would be prohibitively expensive, and our intellectual property rights in some countries outside the U.S. may be less extensive than those in the U.S. In addition, the laws of some foreign countries do not protect intellectual property rights to the same extent as the laws in the U.S.</w:t>
      </w:r>
    </w:p>
    <w:p>
      <w:pPr>
        <w:ind w:left="40" w:right="79"/>
        <w:spacing w:after="0" w:line="248" w:lineRule="auto"/>
        <w:rPr>
          <w:sz w:val="20"/>
          <w:szCs w:val="20"/>
          <w:color w:val="auto"/>
        </w:rPr>
      </w:pPr>
      <w:r>
        <w:rPr>
          <w:rFonts w:ascii="Times New Roman" w:cs="Times New Roman" w:eastAsia="Times New Roman" w:hAnsi="Times New Roman"/>
          <w:sz w:val="17"/>
          <w:szCs w:val="17"/>
          <w:color w:val="auto"/>
        </w:rPr>
        <w:t>Consequently, we may not be able to prevent third parties from practicing our inventions in all countries outside the U.S., or from selling or importing products made using our inventions in and into the U.S. or other jurisdictions. In the ordinary course of prosecution and maintenance activities, we determine whether to seek patent protection outside the U.S. and in which countries. This also applies to patents we have acquired or in-licensed from third parties. In some cases, we, or our predecessors in interest or licensors of patents within our portfolio, have sought patent protection in a limited number of countries for patents covering our product candidates. Competitors may use our technologies and products in jurisdictions where we have not obtained or are unable to adequately enforce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 which would have a material adverse effect on our business and financial positions.</w:t>
      </w:r>
    </w:p>
    <w:p>
      <w:pPr>
        <w:spacing w:after="0" w:line="185" w:lineRule="exact"/>
        <w:rPr>
          <w:sz w:val="20"/>
          <w:szCs w:val="20"/>
          <w:color w:val="auto"/>
        </w:rPr>
      </w:pPr>
    </w:p>
    <w:p>
      <w:pPr>
        <w:ind w:left="40" w:right="159" w:firstLine="305"/>
        <w:spacing w:after="0" w:line="250" w:lineRule="auto"/>
        <w:rPr>
          <w:sz w:val="20"/>
          <w:szCs w:val="20"/>
          <w:color w:val="auto"/>
        </w:rPr>
      </w:pPr>
      <w:r>
        <w:rPr>
          <w:rFonts w:ascii="Times New Roman" w:cs="Times New Roman" w:eastAsia="Times New Roman" w:hAnsi="Times New Roman"/>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misappropriation or other violations of our intellectual property and proprietary rights.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8" w:lineRule="exact"/>
        <w:rPr>
          <w:sz w:val="20"/>
          <w:szCs w:val="20"/>
          <w:color w:val="auto"/>
        </w:rPr>
      </w:pPr>
    </w:p>
    <w:p>
      <w:pPr>
        <w:ind w:left="340" w:right="13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If our trademarks and trade names are not adequately protected, then we may not be able to build name recognition in our markets of interest, our names and brands may be misappropriated by third parties, and our business may be adversely affected.</w:t>
      </w:r>
    </w:p>
    <w:p>
      <w:pPr>
        <w:spacing w:after="0" w:line="166" w:lineRule="exact"/>
        <w:rPr>
          <w:sz w:val="20"/>
          <w:szCs w:val="20"/>
          <w:color w:val="auto"/>
        </w:rPr>
      </w:pPr>
    </w:p>
    <w:p>
      <w:pPr>
        <w:ind w:left="40" w:right="79" w:firstLine="305"/>
        <w:spacing w:after="0" w:line="251" w:lineRule="auto"/>
        <w:rPr>
          <w:sz w:val="20"/>
          <w:szCs w:val="20"/>
          <w:color w:val="auto"/>
        </w:rPr>
      </w:pPr>
      <w:r>
        <w:rPr>
          <w:rFonts w:ascii="Times New Roman" w:cs="Times New Roman" w:eastAsia="Times New Roman" w:hAnsi="Times New Roman"/>
          <w:sz w:val="17"/>
          <w:szCs w:val="17"/>
          <w:color w:val="auto"/>
        </w:rPr>
        <w:t>We have filed trademark applications seeking protection for our corporate name, logo, Nasdaq Global Market symbol and selected names of our technology platforms in selected geographies. While we have been granted registrations in certain geographies for certain trademarks, there is no guarantee that our trademark applications will be approved by the respective authorities at all or that we will not be required to narrow the scope of protection in certain or all geographies. Our applications have in the past faced and may in the future face opposition from third parties, potentially resulting in the lack of protection or narrower protection. Our trademarks or trade names may be challenged, infringed, circumvented, declared generic or determined to be infringing on other marks. We may not be able to protect</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39" w:name="page40"/>
    <w:bookmarkEnd w:id="3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119"/>
        <w:spacing w:after="0" w:line="250" w:lineRule="auto"/>
        <w:rPr>
          <w:sz w:val="20"/>
          <w:szCs w:val="20"/>
          <w:color w:val="auto"/>
        </w:rPr>
      </w:pPr>
      <w:r>
        <w:rPr>
          <w:rFonts w:ascii="Times New Roman" w:cs="Times New Roman" w:eastAsia="Times New Roman" w:hAnsi="Times New Roman"/>
          <w:sz w:val="17"/>
          <w:szCs w:val="17"/>
          <w:color w:val="auto"/>
        </w:rPr>
        <w:t>our rights to these trademarks and trade names, which we need to build name recognition among potential partners or customers in our markets of interest. At times, competitors or other third parties may adopt trade names, domain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and domain names may be ineffective and could result in substantial costs and diversion of resources, and could adversely affect our business, financial condition, results of operations and growth prospects.</w:t>
      </w:r>
    </w:p>
    <w:p>
      <w:pPr>
        <w:spacing w:after="0" w:line="181" w:lineRule="exact"/>
        <w:rPr>
          <w:sz w:val="20"/>
          <w:szCs w:val="20"/>
          <w:color w:val="auto"/>
        </w:rPr>
      </w:pPr>
    </w:p>
    <w:p>
      <w:pPr>
        <w:ind w:left="40" w:right="119" w:firstLine="305"/>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The use of new and evolving technologies, such as artificial intelligence, or AI, in our operations may require us to expend material resources and may present risks and challenges that can impact our business, including by posing security and other risks to our confidential information, proprietary information and personal information, any of which may result in reputational harm and liability, or otherwise adversely affect our business.</w:t>
      </w:r>
    </w:p>
    <w:p>
      <w:pPr>
        <w:spacing w:after="0" w:line="172" w:lineRule="exact"/>
        <w:rPr>
          <w:sz w:val="20"/>
          <w:szCs w:val="20"/>
          <w:color w:val="auto"/>
        </w:rPr>
      </w:pPr>
    </w:p>
    <w:p>
      <w:pPr>
        <w:ind w:left="40" w:right="99" w:firstLine="305"/>
        <w:spacing w:after="0" w:line="249" w:lineRule="auto"/>
        <w:rPr>
          <w:sz w:val="20"/>
          <w:szCs w:val="20"/>
          <w:color w:val="auto"/>
        </w:rPr>
      </w:pPr>
      <w:r>
        <w:rPr>
          <w:rFonts w:ascii="Times New Roman" w:cs="Times New Roman" w:eastAsia="Times New Roman" w:hAnsi="Times New Roman"/>
          <w:sz w:val="17"/>
          <w:szCs w:val="17"/>
          <w:color w:val="auto"/>
        </w:rPr>
        <w:t>We may choose to integrate AI into our operations, and this innovation presents risks and challenges that could affect its adoption, and therefore our business. There are significant risks involved in utilizing AI and no assurance can be provided that the usage of AI will enhance our business or assist our business in becoming more efficient or profitable. The use of certain AI technology can give rise to intellectual property risks, including compromises to intellectual property and proprietary information as well as intellectual property infringement and misappropriation. Other known risks of AI currently include inaccuracy, bias, toxicity, data privacy and cybersecurity issues, and data provenance disputes. In addition, AI may have errors or inadequacies that are not easily detectable. AI may also be subject to data herding and interconnectedness (i.e., multiple market participants utilizing the same data), which may adversely impact our business. If the data used to train AI or the content, analyses, or recommendations that AI applications assist in producing are or are alleged to be deficient, inaccurate, incomplete, overbroad or biased, our business, financial condition, and results of operations may be adversely affected.</w:t>
      </w:r>
    </w:p>
    <w:p>
      <w:pPr>
        <w:spacing w:after="0" w:line="180" w:lineRule="exact"/>
        <w:rPr>
          <w:sz w:val="20"/>
          <w:szCs w:val="20"/>
          <w:color w:val="auto"/>
        </w:rPr>
      </w:pPr>
    </w:p>
    <w:p>
      <w:pPr>
        <w:ind w:left="40" w:right="119" w:firstLine="305"/>
        <w:spacing w:after="0" w:line="265" w:lineRule="auto"/>
        <w:rPr>
          <w:sz w:val="20"/>
          <w:szCs w:val="20"/>
          <w:color w:val="auto"/>
        </w:rPr>
      </w:pPr>
      <w:r>
        <w:rPr>
          <w:rFonts w:ascii="Times New Roman" w:cs="Times New Roman" w:eastAsia="Times New Roman" w:hAnsi="Times New Roman"/>
          <w:sz w:val="16"/>
          <w:szCs w:val="16"/>
          <w:color w:val="auto"/>
        </w:rPr>
        <w:t>Additionally, we expect to see increasing government and supranational regulation and ethical concerns related to AI use, which may also significantly increase the burden and cost of research, development and compliance in this area. For example, the EU’s Artificial Intelligence Act, or the AI Act, — the world’s first comprehensive AI law — entered into force on August 1, 2024 and, with some exceptions, will become effective 24 months thereafter. This legislation imposes significant obligations on providers and deployers of AI systems, and encourages providers and deployers of AI systems to account for certain ethical principles in their design, development and use of these systems. The rapid evolution of AI will require the application of significant resources to design, develop, test and maintain our technology and products to help ensure that AI is implemented in accordance with applicable laws and regulations and in a socially responsible manner and to minimize any real or perceived unintended harmful impacts. The legal landscape and subsequent legal protection for the use of AI remains uncertain, and development of the law in this area could impact our ability to enforce our proprietary rights or protect against infringing uses. If we do not have sufficient rights to use the data on which AI relies or to the outputs produced by AI applications, we may incur liability through the violation of certain laws, third-party privacy or other rights or contracts to which we are a party. Our use of AI applications may also, in the future, result in cybersecurity incidents that implicate the personal data of customers or patients. Any such cybersecurity incidents related to our use of AI applications could adversely affect our reputation and results of operations.</w:t>
      </w:r>
    </w:p>
    <w:p>
      <w:pPr>
        <w:spacing w:after="0" w:line="177" w:lineRule="exact"/>
        <w:rPr>
          <w:sz w:val="20"/>
          <w:szCs w:val="20"/>
          <w:color w:val="auto"/>
        </w:rPr>
      </w:pPr>
    </w:p>
    <w:p>
      <w:pPr>
        <w:ind w:left="40" w:right="59" w:firstLine="305"/>
        <w:spacing w:after="0" w:line="258" w:lineRule="auto"/>
        <w:rPr>
          <w:sz w:val="20"/>
          <w:szCs w:val="20"/>
          <w:color w:val="auto"/>
        </w:rPr>
      </w:pPr>
      <w:r>
        <w:rPr>
          <w:rFonts w:ascii="Times New Roman" w:cs="Times New Roman" w:eastAsia="Times New Roman" w:hAnsi="Times New Roman"/>
          <w:sz w:val="17"/>
          <w:szCs w:val="17"/>
          <w:color w:val="auto"/>
        </w:rPr>
        <w:t>Our collaborators or other third-party service providers may also incorporate AI tools into their own offerings, and the providers of these AI tools may not meet existing or rapidly evolving regulatory or industry standards, including with respect to intellectual property, data privacy and cybersecurity. Any of these effects could damage our reputation, result in the loss of valuable property and information, cause us to breach applicable laws and regulations, or otherwise adversely impact our business.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40" w:name="page41"/>
    <w:bookmarkEnd w:id="4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Risks related to our financial condition and capital requirements</w:t>
      </w:r>
    </w:p>
    <w:p>
      <w:pPr>
        <w:spacing w:after="0" w:line="211" w:lineRule="exact"/>
        <w:rPr>
          <w:sz w:val="20"/>
          <w:szCs w:val="20"/>
          <w:color w:val="auto"/>
        </w:rPr>
      </w:pPr>
    </w:p>
    <w:p>
      <w:pPr>
        <w:ind w:left="340" w:right="19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are a clinical-stage company and have a history of operating losses. We anticipate that we will continue to incur losses for the foreseeable future.</w:t>
      </w:r>
    </w:p>
    <w:p>
      <w:pPr>
        <w:spacing w:after="0" w:line="154" w:lineRule="exact"/>
        <w:rPr>
          <w:sz w:val="20"/>
          <w:szCs w:val="20"/>
          <w:color w:val="auto"/>
        </w:rPr>
      </w:pPr>
    </w:p>
    <w:p>
      <w:pPr>
        <w:ind w:left="40" w:right="159" w:firstLine="305"/>
        <w:spacing w:after="0" w:line="258" w:lineRule="auto"/>
        <w:rPr>
          <w:sz w:val="20"/>
          <w:szCs w:val="20"/>
          <w:color w:val="auto"/>
        </w:rPr>
      </w:pPr>
      <w:r>
        <w:rPr>
          <w:rFonts w:ascii="Times New Roman" w:cs="Times New Roman" w:eastAsia="Times New Roman" w:hAnsi="Times New Roman"/>
          <w:sz w:val="17"/>
          <w:szCs w:val="17"/>
          <w:color w:val="auto"/>
        </w:rPr>
        <w:t>We are a clinical-stage biopharmaceutical company. Since 2003, although we have received upfront and milestone payments from our collaboration partners and certain other contract revenue, we have also incurred significant operating losses. We incurred net losses (defined as net loss attributable to owners of the Company) of CHF 70.4 million for the year ended December 31, 2025. In addition, we had accumulated losses of CHF 439.0 million as of December 31, 2025.</w:t>
      </w:r>
    </w:p>
    <w:p>
      <w:pPr>
        <w:spacing w:after="0" w:line="162" w:lineRule="exact"/>
        <w:rPr>
          <w:sz w:val="20"/>
          <w:szCs w:val="20"/>
          <w:color w:val="auto"/>
        </w:rPr>
      </w:pPr>
    </w:p>
    <w:p>
      <w:pPr>
        <w:ind w:left="40" w:right="139" w:firstLine="305"/>
        <w:spacing w:after="0" w:line="258" w:lineRule="auto"/>
        <w:rPr>
          <w:sz w:val="20"/>
          <w:szCs w:val="20"/>
          <w:color w:val="auto"/>
        </w:rPr>
      </w:pPr>
      <w:r>
        <w:rPr>
          <w:rFonts w:ascii="Times New Roman" w:cs="Times New Roman" w:eastAsia="Times New Roman" w:hAnsi="Times New Roman"/>
          <w:sz w:val="17"/>
          <w:szCs w:val="17"/>
          <w:color w:val="auto"/>
        </w:rPr>
        <w:t>Our losses have resulted principally from research and development expenses and from general business and administrative expenses. We expect to continue to incur significant operating losses in the future as we continue our research and development efforts for our current and future product candidates and seek to obtain regulatory approval and commercialization of such product candidates.</w:t>
      </w:r>
    </w:p>
    <w:p>
      <w:pPr>
        <w:spacing w:after="0" w:line="175" w:lineRule="exact"/>
        <w:rPr>
          <w:sz w:val="20"/>
          <w:szCs w:val="20"/>
          <w:color w:val="auto"/>
        </w:rPr>
      </w:pPr>
    </w:p>
    <w:p>
      <w:pPr>
        <w:ind w:left="40" w:right="199" w:firstLine="305"/>
        <w:spacing w:after="0" w:line="251" w:lineRule="auto"/>
        <w:rPr>
          <w:sz w:val="20"/>
          <w:szCs w:val="20"/>
          <w:color w:val="auto"/>
        </w:rPr>
      </w:pPr>
      <w:r>
        <w:rPr>
          <w:rFonts w:ascii="Times New Roman" w:cs="Times New Roman" w:eastAsia="Times New Roman" w:hAnsi="Times New Roman"/>
          <w:sz w:val="17"/>
          <w:szCs w:val="17"/>
          <w:color w:val="auto"/>
        </w:rPr>
        <w:t>To date, the Company has financed its liquidity requirements primarily from its public offerings, share issuances, contract revenues from option, license and collaboration agreements and grants. We have no products approved for commercialization and have never generated any revenues from product sales. Biopharmaceutical and pharmaceutical product development is a highly speculative undertaking and involves a substantial degree of risk. It may be several years, if ever, before we or our collaboration partners complete pivotal clinical studies and have a product candidate approved for commercialization and we begin to generate revenue or royalties from product sales.</w:t>
      </w:r>
    </w:p>
    <w:p>
      <w:pPr>
        <w:spacing w:after="0" w:line="178" w:lineRule="exact"/>
        <w:rPr>
          <w:sz w:val="20"/>
          <w:szCs w:val="20"/>
          <w:color w:val="auto"/>
        </w:rPr>
      </w:pPr>
    </w:p>
    <w:p>
      <w:pPr>
        <w:ind w:left="340" w:right="839"/>
        <w:spacing w:after="0" w:line="315" w:lineRule="auto"/>
        <w:rPr>
          <w:sz w:val="20"/>
          <w:szCs w:val="20"/>
          <w:color w:val="auto"/>
        </w:rPr>
      </w:pPr>
      <w:r>
        <w:rPr>
          <w:rFonts w:ascii="Times New Roman" w:cs="Times New Roman" w:eastAsia="Times New Roman" w:hAnsi="Times New Roman"/>
          <w:sz w:val="16"/>
          <w:szCs w:val="16"/>
          <w:b w:val="1"/>
          <w:bCs w:val="1"/>
          <w:i w:val="1"/>
          <w:iCs w:val="1"/>
          <w:color w:val="auto"/>
        </w:rPr>
        <w:t>Although we have generated revenues from upfront and milestone payments related to our option, license and collaboration agreements, we have never generated any revenue from product sales and may never be profitable.</w:t>
      </w:r>
    </w:p>
    <w:p>
      <w:pPr>
        <w:spacing w:after="0" w:line="130" w:lineRule="exact"/>
        <w:rPr>
          <w:sz w:val="20"/>
          <w:szCs w:val="20"/>
          <w:color w:val="auto"/>
        </w:rPr>
      </w:pPr>
    </w:p>
    <w:p>
      <w:pPr>
        <w:ind w:left="40" w:right="99" w:firstLine="305"/>
        <w:spacing w:after="0" w:line="251" w:lineRule="auto"/>
        <w:rPr>
          <w:sz w:val="20"/>
          <w:szCs w:val="20"/>
          <w:color w:val="auto"/>
        </w:rPr>
      </w:pPr>
      <w:r>
        <w:rPr>
          <w:rFonts w:ascii="Times New Roman" w:cs="Times New Roman" w:eastAsia="Times New Roman" w:hAnsi="Times New Roman"/>
          <w:sz w:val="17"/>
          <w:szCs w:val="17"/>
          <w:color w:val="auto"/>
        </w:rPr>
        <w:t>Although we have generated contract revenue from upfront and milestone payments related to our option, license and collaboration agreements, we have no products approved for commercialization and have never generated any revenue from product sales. Our ability to generate revenue and achieve profitability depends on our and our licensors’ and collaboration partners’ ability to successfully complete the development of, and obtain the marketing approvals necessary, to commercialize one or more of our product candidates. We do not anticipate generating revenue from product sales unless and until we or our collaboration partners obtain regulatory approval for, and commercialize, our product candidates. Our ability to generate future revenue from product sales depends heavily on our and our collaboration partners’ success in many areas, including but not limited to:</w:t>
      </w:r>
    </w:p>
    <w:p>
      <w:pPr>
        <w:spacing w:after="0" w:line="179" w:lineRule="exact"/>
        <w:rPr>
          <w:sz w:val="20"/>
          <w:szCs w:val="20"/>
          <w:color w:val="auto"/>
        </w:rPr>
      </w:pPr>
    </w:p>
    <w:p>
      <w:pPr>
        <w:ind w:left="680" w:right="139" w:hanging="305"/>
        <w:spacing w:after="0" w:line="277" w:lineRule="auto"/>
        <w:tabs>
          <w:tab w:leader="none" w:pos="6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completing research and clinical development of our product candidates, by us or our collaboration partners, as the case may be;</w:t>
      </w:r>
    </w:p>
    <w:p>
      <w:pPr>
        <w:spacing w:after="0" w:line="157" w:lineRule="exact"/>
        <w:rPr>
          <w:rFonts w:ascii="Times New Roman" w:cs="Times New Roman" w:eastAsia="Times New Roman" w:hAnsi="Times New Roman"/>
          <w:sz w:val="17"/>
          <w:szCs w:val="17"/>
          <w:color w:val="auto"/>
        </w:rPr>
      </w:pPr>
    </w:p>
    <w:p>
      <w:pPr>
        <w:ind w:left="680" w:right="299" w:hanging="305"/>
        <w:spacing w:after="0" w:line="253" w:lineRule="auto"/>
        <w:tabs>
          <w:tab w:leader="none" w:pos="6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marketing approvals for our clinical product candidates, including our active immunotherapies (ACI-35.030, ACI-24.060 and ACI-7104.056), our small molecule drugs (ACI-19764 NLRP3 inhibitor, Morphomer-Tau, and Morphomer-a-syn), and diagnostics including Tau-PET tracer PI-2620, for which we or our collaboration partners complete clinical studies;</w:t>
      </w:r>
    </w:p>
    <w:p>
      <w:pPr>
        <w:spacing w:after="0" w:line="178" w:lineRule="exact"/>
        <w:rPr>
          <w:rFonts w:ascii="Times New Roman" w:cs="Times New Roman" w:eastAsia="Times New Roman" w:hAnsi="Times New Roman"/>
          <w:sz w:val="17"/>
          <w:szCs w:val="17"/>
          <w:color w:val="auto"/>
        </w:rPr>
      </w:pPr>
    </w:p>
    <w:p>
      <w:pPr>
        <w:ind w:left="680" w:right="199" w:hanging="305"/>
        <w:spacing w:after="0" w:line="253" w:lineRule="auto"/>
        <w:tabs>
          <w:tab w:leader="none" w:pos="6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 sustainable and scalable manufacturing process for any approved product candidates, and maintaining supply and manufacturing relationships with third parties that can conduct the process and provide adequate (in amount, quality and time) products to support clinical development and the market demand for our product candidates, if approved;</w:t>
      </w:r>
    </w:p>
    <w:p>
      <w:pPr>
        <w:spacing w:after="0" w:line="178" w:lineRule="exact"/>
        <w:rPr>
          <w:rFonts w:ascii="Times New Roman" w:cs="Times New Roman" w:eastAsia="Times New Roman" w:hAnsi="Times New Roman"/>
          <w:sz w:val="17"/>
          <w:szCs w:val="17"/>
          <w:color w:val="auto"/>
        </w:rPr>
      </w:pPr>
    </w:p>
    <w:p>
      <w:pPr>
        <w:ind w:left="680" w:right="459" w:hanging="305"/>
        <w:spacing w:after="0" w:line="277" w:lineRule="auto"/>
        <w:tabs>
          <w:tab w:leader="none" w:pos="6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launching and commercializing product candidates for which we obtain marketing approval, either directly or with a collaborator or distributor;</w:t>
      </w:r>
    </w:p>
    <w:p>
      <w:pPr>
        <w:spacing w:after="0" w:line="157"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market acceptance of our product candidates as viable treatment or diagnostic options;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41" w:name="page42"/>
    <w:bookmarkEnd w:id="4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80" w:hanging="305"/>
        <w:spacing w:after="0"/>
        <w:tabs>
          <w:tab w:leader="none" w:pos="6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addressing any competing technological and market developments;</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assessing, acquiring and/or developing new product candidates;</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negotiating favorable terms in any collaboration, licensing, or other similar arrangements into which we may enter;</w:t>
      </w:r>
    </w:p>
    <w:p>
      <w:pPr>
        <w:spacing w:after="0" w:line="210" w:lineRule="exact"/>
        <w:rPr>
          <w:rFonts w:ascii="Times New Roman" w:cs="Times New Roman" w:eastAsia="Times New Roman" w:hAnsi="Times New Roman"/>
          <w:sz w:val="17"/>
          <w:szCs w:val="17"/>
          <w:color w:val="auto"/>
        </w:rPr>
      </w:pPr>
    </w:p>
    <w:p>
      <w:pPr>
        <w:ind w:left="680" w:right="419" w:hanging="305"/>
        <w:spacing w:after="0" w:line="277" w:lineRule="auto"/>
        <w:tabs>
          <w:tab w:leader="none" w:pos="6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protecting, acquiring and expanding our portfolio of intellectual property rights, including patents, trade secrets and know-how; and</w:t>
      </w:r>
    </w:p>
    <w:p>
      <w:pPr>
        <w:spacing w:after="0" w:line="157"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attracting, hiring and retaining qualified personnel.</w:t>
      </w:r>
    </w:p>
    <w:p>
      <w:pPr>
        <w:spacing w:after="0" w:line="211" w:lineRule="exact"/>
        <w:rPr>
          <w:sz w:val="20"/>
          <w:szCs w:val="20"/>
          <w:color w:val="auto"/>
        </w:rPr>
      </w:pPr>
    </w:p>
    <w:p>
      <w:pPr>
        <w:ind w:left="40" w:right="119" w:firstLine="305"/>
        <w:spacing w:after="0" w:line="267" w:lineRule="auto"/>
        <w:rPr>
          <w:sz w:val="20"/>
          <w:szCs w:val="20"/>
          <w:color w:val="auto"/>
        </w:rPr>
      </w:pPr>
      <w:r>
        <w:rPr>
          <w:rFonts w:ascii="Times New Roman" w:cs="Times New Roman" w:eastAsia="Times New Roman" w:hAnsi="Times New Roman"/>
          <w:sz w:val="16"/>
          <w:szCs w:val="16"/>
          <w:color w:val="auto"/>
        </w:rPr>
        <w:t>Because of the numerous risks and uncertainties with biopharmaceutical and pharmaceutical product development, we are unable to accurately predict the timing or amount of increased expenses and when, or if, we will be able to achieve profitability. Our expenses could increase beyond expectations if we are required by the FDA, the EMA or other regulatory agencies, domestic or foreign, to change our manufacturing processes, or to perform clinical, nonclinical or other types of studies in addition to those that we currently anticipate. In cases where we are successful in obtaining regulatory approvals to market one or more of our product candidates, our revenue will be dependent, in part, upon the size of the markets in the territories for which we gain regulatory approval, the accepted price for the product, the ability to obtain coverage and reimbursement at any price, and whether we own the commercial rights for that territory. If the number of our addressable patients is not as significant as we estimate, the indication approved by regulatory authorities is narrower than we expect, the treatment population is narrowed by competition, physician choice or treatment guidelines or other commercial related factors we may not generate significant revenue from sales of such products, even if approved. Accordingly, we may not be profitable in the future from the sale of any approved products.</w:t>
      </w:r>
    </w:p>
    <w:p>
      <w:pPr>
        <w:spacing w:after="0" w:line="173" w:lineRule="exact"/>
        <w:rPr>
          <w:sz w:val="20"/>
          <w:szCs w:val="20"/>
          <w:color w:val="auto"/>
        </w:rPr>
      </w:pPr>
    </w:p>
    <w:p>
      <w:pPr>
        <w:jc w:val="both"/>
        <w:ind w:left="40" w:right="99" w:firstLine="305"/>
        <w:spacing w:after="0" w:line="252" w:lineRule="auto"/>
        <w:rPr>
          <w:sz w:val="20"/>
          <w:szCs w:val="20"/>
          <w:color w:val="auto"/>
        </w:rPr>
      </w:pPr>
      <w:r>
        <w:rPr>
          <w:rFonts w:ascii="Times New Roman" w:cs="Times New Roman" w:eastAsia="Times New Roman" w:hAnsi="Times New Roman"/>
          <w:sz w:val="17"/>
          <w:szCs w:val="17"/>
          <w:color w:val="auto"/>
        </w:rPr>
        <w:t>We or our collaboration partners may be unable to develop and commercialize any of our current or future product candidates and, even if we do, may not achieve profitability in the future. Even if we do achieve profitability in the future, we may not be able to sustain or increase profitability on a quarterly or annual basis. Our failure to be profitable in the future would decrease the value of our company and could impair our ability to raise capital, expand our business or continue our operations. A decline in the value of our company could cause you to lose all or part of your investment.</w:t>
      </w:r>
    </w:p>
    <w:p>
      <w:pPr>
        <w:spacing w:after="0" w:line="175" w:lineRule="exact"/>
        <w:rPr>
          <w:sz w:val="20"/>
          <w:szCs w:val="20"/>
          <w:color w:val="auto"/>
        </w:rPr>
      </w:pPr>
    </w:p>
    <w:p>
      <w:pPr>
        <w:ind w:left="340" w:right="89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If we fail to obtain additional funding, we may delay, reduce or eliminate our product development programs or commercialization efforts.</w:t>
      </w:r>
    </w:p>
    <w:p>
      <w:pPr>
        <w:spacing w:after="0" w:line="154" w:lineRule="exact"/>
        <w:rPr>
          <w:sz w:val="20"/>
          <w:szCs w:val="20"/>
          <w:color w:val="auto"/>
        </w:rPr>
      </w:pPr>
    </w:p>
    <w:p>
      <w:pPr>
        <w:ind w:left="40" w:right="99" w:firstLine="305"/>
        <w:spacing w:after="0" w:line="252" w:lineRule="auto"/>
        <w:rPr>
          <w:sz w:val="20"/>
          <w:szCs w:val="20"/>
          <w:color w:val="auto"/>
        </w:rPr>
      </w:pPr>
      <w:r>
        <w:rPr>
          <w:rFonts w:ascii="Times New Roman" w:cs="Times New Roman" w:eastAsia="Times New Roman" w:hAnsi="Times New Roman"/>
          <w:sz w:val="17"/>
          <w:szCs w:val="17"/>
          <w:color w:val="auto"/>
        </w:rPr>
        <w:t>We are currently advancing our clinical product candidates through clinical development, either together with a collaboration partner (ACI 24.060, ACI35.030 and PI2620) or independently (ACI-7104.056 and ACI-19764). We expect our research and development expenses to continue to increase in connection with our ongoing activities, particularly as we and/or our collaboration partners continue our ongoing studies and initiate new studies of ACI-35.030, ACI-24.060, ACI-7104.056, and Morphomer Tau, and initiate preclinical and clinical development of our other product candidates.</w:t>
      </w:r>
    </w:p>
    <w:p>
      <w:pPr>
        <w:spacing w:after="0" w:line="179" w:lineRule="exact"/>
        <w:rPr>
          <w:sz w:val="20"/>
          <w:szCs w:val="20"/>
          <w:color w:val="auto"/>
        </w:rPr>
      </w:pPr>
    </w:p>
    <w:p>
      <w:pPr>
        <w:ind w:left="40" w:right="59" w:firstLine="305"/>
        <w:spacing w:after="0" w:line="251" w:lineRule="auto"/>
        <w:rPr>
          <w:sz w:val="20"/>
          <w:szCs w:val="20"/>
          <w:color w:val="auto"/>
        </w:rPr>
      </w:pPr>
      <w:r>
        <w:rPr>
          <w:rFonts w:ascii="Times New Roman" w:cs="Times New Roman" w:eastAsia="Times New Roman" w:hAnsi="Times New Roman"/>
          <w:sz w:val="17"/>
          <w:szCs w:val="17"/>
          <w:color w:val="auto"/>
        </w:rPr>
        <w:t>As of December 31, 2025, we had cash and cash equivalents of CHF 26.8 million and short-term financial assets of CHF 64.6 million resulting in a total liquidity position of CHF 91.4 million. We currently believe that our existing capital resources, assuming no other milestone payments, will be sufficient to meet our projected operating requirements until the end of Q3 2027. We have based this estimate on assumptions with inherent uncertainty, and we could exhaust our capital resources sooner than we currently expect. In addition, changing circumstances, including inflation, may cause us to adjust our projected spending to amounts more than currently expected. We may also need to raise additional funds sooner than we anticipate due to various factors such as the scope and rate of progress of our development activities, regulatory approval outcomes and emergence of competing technologies, among others.</w:t>
      </w:r>
    </w:p>
    <w:p>
      <w:pPr>
        <w:spacing w:after="0" w:line="179" w:lineRule="exact"/>
        <w:rPr>
          <w:sz w:val="20"/>
          <w:szCs w:val="20"/>
          <w:color w:val="auto"/>
        </w:rPr>
      </w:pPr>
    </w:p>
    <w:p>
      <w:pPr>
        <w:ind w:left="40" w:right="79" w:firstLine="305"/>
        <w:spacing w:after="0" w:line="258" w:lineRule="auto"/>
        <w:rPr>
          <w:sz w:val="20"/>
          <w:szCs w:val="20"/>
          <w:color w:val="auto"/>
        </w:rPr>
      </w:pPr>
      <w:r>
        <w:rPr>
          <w:rFonts w:ascii="Times New Roman" w:cs="Times New Roman" w:eastAsia="Times New Roman" w:hAnsi="Times New Roman"/>
          <w:sz w:val="17"/>
          <w:szCs w:val="17"/>
          <w:color w:val="auto"/>
        </w:rPr>
        <w:t>We expect that we will require additional capital to develop and commercialize certain of our product candidates. If we receive regulatory approval for our current and future product candidates, and if we have not already licensed such product candidate to a collaboration partner and choose to commercialize such product candidate independently, we expect to incur significant commercialization expenses related to product manufacturing, sales, marketing, distribution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329565</wp:posOffset>
            </wp:positionV>
            <wp:extent cx="5657850" cy="24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42" w:name="page43"/>
    <w:bookmarkEnd w:id="4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7"/>
          <w:szCs w:val="17"/>
          <w:color w:val="auto"/>
        </w:rPr>
        <w:t>and establishing a regulatory structure, depending on where we choose to commercialize. Additional funds may not be available on a timely basis, on favorable terms, or at all, and such funds, if raised, may not be sufficient to enable us to continue to implement our long-term business strategy, in particular as a result of inflation. Additionally, we may be dependent on the status of the capital markets at the time such capital is sought. In addition, our ability to raise sufficient capital under our “at the market” program may be diminished depending on the market price of our shares. If we are not able to raise capital when needed, we could be forced to delay, reduce or eliminate our product development programs or commercialization efforts.</w:t>
      </w:r>
    </w:p>
    <w:p>
      <w:pPr>
        <w:spacing w:after="0" w:line="171" w:lineRule="exact"/>
        <w:rPr>
          <w:sz w:val="20"/>
          <w:szCs w:val="20"/>
          <w:color w:val="auto"/>
        </w:rPr>
      </w:pPr>
    </w:p>
    <w:p>
      <w:pPr>
        <w:ind w:left="340" w:right="15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Raising additional capital may cause dilution to our shareholders, restrict our operations or require us to relinquish rights to our intellectual property or future revenue streams.</w:t>
      </w:r>
    </w:p>
    <w:p>
      <w:pPr>
        <w:spacing w:after="0" w:line="166" w:lineRule="exact"/>
        <w:rPr>
          <w:sz w:val="20"/>
          <w:szCs w:val="20"/>
          <w:color w:val="auto"/>
        </w:rPr>
      </w:pPr>
    </w:p>
    <w:p>
      <w:pPr>
        <w:ind w:left="40" w:right="119" w:firstLine="305"/>
        <w:spacing w:after="0" w:line="250" w:lineRule="auto"/>
        <w:rPr>
          <w:sz w:val="20"/>
          <w:szCs w:val="20"/>
          <w:color w:val="auto"/>
        </w:rPr>
      </w:pPr>
      <w:r>
        <w:rPr>
          <w:rFonts w:ascii="Times New Roman" w:cs="Times New Roman" w:eastAsia="Times New Roman" w:hAnsi="Times New Roman"/>
          <w:sz w:val="17"/>
          <w:szCs w:val="17"/>
          <w:color w:val="auto"/>
        </w:rPr>
        <w:t>Until such time, if ever, as we can generate substantial product royalty revenue, we expect to finance our liquidity needs through a combination of equity offerings, debt financings, grants, and license and development agreements in connection with collaborations. In September 2020, the Company established an “at the market offering” (ATM) for the sale of up to USD 80.0 (CHF 64.0) million worth of our common shares from time to time by entering into an Open Market Sale Agreement (Sales Agreement) with Jefferies LLC (Jefferies). In Q1 2024, we filed a new registration statement on Form F-3 to replace the Company’s expiring registration statement on Form F-3 that had been filed in 2021. In Q3 2024, we entered into a new Open Market Sale Agreement with Jefferies dated August 6, 2024 to replace and extend the ATM program. In accordance with the terms of the Sales Agreement, we may offer and sell our common shares having an aggregate offering price up to USD 80.0 (CHF 64.0) million from time to time through Jefferies LLC, acting as our sales agent. We do not have any material committed external source of funds. In the event we need to seek additional funds, we may raise additional capital through the sale of equity, convertible debt or other securities. In such an event, your ownership interest will be diluted, and the terms of these securities may include liquidation or other preferences that adversely affect your rights as a holder of our common shares. Debt financing, if available, may involve agreements that include covenants limiting or restricting our ability to take specific actions, such as incurring additional debt, making capital expenditures, or proposing dividends to our shareholders.</w:t>
      </w:r>
    </w:p>
    <w:p>
      <w:pPr>
        <w:spacing w:after="0" w:line="170" w:lineRule="exact"/>
        <w:rPr>
          <w:sz w:val="20"/>
          <w:szCs w:val="20"/>
          <w:color w:val="auto"/>
        </w:rPr>
      </w:pPr>
    </w:p>
    <w:p>
      <w:pPr>
        <w:ind w:left="40" w:right="359" w:firstLine="305"/>
        <w:spacing w:after="0" w:line="263" w:lineRule="auto"/>
        <w:rPr>
          <w:sz w:val="20"/>
          <w:szCs w:val="20"/>
          <w:color w:val="auto"/>
        </w:rPr>
      </w:pPr>
      <w:r>
        <w:rPr>
          <w:rFonts w:ascii="Times New Roman" w:cs="Times New Roman" w:eastAsia="Times New Roman" w:hAnsi="Times New Roman"/>
          <w:sz w:val="17"/>
          <w:szCs w:val="17"/>
          <w:color w:val="auto"/>
        </w:rPr>
        <w:t>If we raise additional funds through collaborations, strategic alliances, or marketing, distribution or licensing arrangements with third parties, we may have to grant or otherwise relinquish valuable rights to our intellectual property or future revenue streams.</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use tax loss carry-forwards in Switzerland may be limited.</w:t>
      </w:r>
    </w:p>
    <w:p>
      <w:pPr>
        <w:spacing w:after="0" w:line="215" w:lineRule="exact"/>
        <w:rPr>
          <w:sz w:val="20"/>
          <w:szCs w:val="20"/>
          <w:color w:val="auto"/>
        </w:rPr>
      </w:pPr>
    </w:p>
    <w:p>
      <w:pPr>
        <w:ind w:left="40" w:right="199" w:firstLine="305"/>
        <w:spacing w:after="0" w:line="252" w:lineRule="auto"/>
        <w:rPr>
          <w:sz w:val="20"/>
          <w:szCs w:val="20"/>
          <w:color w:val="auto"/>
        </w:rPr>
      </w:pPr>
      <w:r>
        <w:rPr>
          <w:rFonts w:ascii="Times New Roman" w:cs="Times New Roman" w:eastAsia="Times New Roman" w:hAnsi="Times New Roman"/>
          <w:sz w:val="17"/>
          <w:szCs w:val="17"/>
          <w:color w:val="auto"/>
        </w:rPr>
        <w:t>As of December 31, 2025, we reported tax loss carry-forwards from financial years 2019 until 2025 for purposes of Swiss corporate income tax in the aggregate amount of CHF 362.3 million, which could be available to offset future taxable income. If not used, these tax losses will expire 7 years after the year in which they were incurred. Due to our limited income, there is a high risk that the tax loss carry-forwards will expire partly or entirely, and we will not be able to use them to offset future taxable income thereafter for Swiss corporate income tax purposes.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Exchange rate fluctuations may materially affect our results of operations and financial condition.</w:t>
      </w:r>
    </w:p>
    <w:p>
      <w:pPr>
        <w:spacing w:after="0" w:line="215" w:lineRule="exact"/>
        <w:rPr>
          <w:sz w:val="20"/>
          <w:szCs w:val="20"/>
          <w:color w:val="auto"/>
        </w:rPr>
      </w:pPr>
    </w:p>
    <w:p>
      <w:pPr>
        <w:ind w:left="40" w:right="159" w:firstLine="305"/>
        <w:spacing w:after="0" w:line="251" w:lineRule="auto"/>
        <w:rPr>
          <w:sz w:val="20"/>
          <w:szCs w:val="20"/>
          <w:color w:val="auto"/>
        </w:rPr>
      </w:pPr>
      <w:r>
        <w:rPr>
          <w:rFonts w:ascii="Times New Roman" w:cs="Times New Roman" w:eastAsia="Times New Roman" w:hAnsi="Times New Roman"/>
          <w:sz w:val="17"/>
          <w:szCs w:val="17"/>
          <w:color w:val="auto"/>
        </w:rPr>
        <w:t>Under our existing agreements, we receive and make a significant amount of payments in Swiss Franc, USD and EUR. As a result, changes and fluctuations in currency exchange rates between the Swiss Franc and other currencies, especially the USD and EUR, could have a materially adverse effect on our operating results. As our reporting currency is the Swiss Franc, financial line items are converted into Swiss Francs at the applicable exchange rates. We also expect that in the future, a significant portion of our revenues and expenses will be denominated in Swiss Franc, USD and EUR. Therefore, unfavorable developments in the value of the Swiss Franc as compared to the USD and EUR or any other currency could have a material adverse effect on our business, financial condition and results of operations.</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Our significant in-process research and development (IPR&amp;D) asset may become impaired.</w:t>
      </w:r>
    </w:p>
    <w:p>
      <w:pPr>
        <w:spacing w:after="0" w:line="215" w:lineRule="exact"/>
        <w:rPr>
          <w:sz w:val="20"/>
          <w:szCs w:val="20"/>
          <w:color w:val="auto"/>
        </w:rPr>
      </w:pPr>
    </w:p>
    <w:p>
      <w:pPr>
        <w:ind w:left="40" w:right="179" w:firstLine="305"/>
        <w:spacing w:after="0" w:line="263" w:lineRule="auto"/>
        <w:rPr>
          <w:sz w:val="20"/>
          <w:szCs w:val="20"/>
          <w:color w:val="auto"/>
        </w:rPr>
      </w:pPr>
      <w:r>
        <w:rPr>
          <w:rFonts w:ascii="Times New Roman" w:cs="Times New Roman" w:eastAsia="Times New Roman" w:hAnsi="Times New Roman"/>
          <w:sz w:val="17"/>
          <w:szCs w:val="17"/>
          <w:color w:val="auto"/>
        </w:rPr>
        <w:t>Our consolidated balance sheets contain a material IPR&amp;D asset of CHF 50.4 million. For an IPR&amp;D asset, the risk of failure is significant, and there can be no certainty that the asset will become a successful candidate. Our ability to realize value on this significant investment is often contingent upon, among other things, regulatory approvals and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43" w:name="page44"/>
    <w:bookmarkEnd w:id="4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319"/>
        <w:spacing w:after="0" w:line="310" w:lineRule="auto"/>
        <w:rPr>
          <w:sz w:val="20"/>
          <w:szCs w:val="20"/>
          <w:color w:val="auto"/>
        </w:rPr>
      </w:pPr>
      <w:r>
        <w:rPr>
          <w:rFonts w:ascii="Times New Roman" w:cs="Times New Roman" w:eastAsia="Times New Roman" w:hAnsi="Times New Roman"/>
          <w:sz w:val="16"/>
          <w:szCs w:val="16"/>
          <w:color w:val="auto"/>
        </w:rPr>
        <w:t>market acceptance. As such, this IPR&amp;D may become impaired and/or be written off at some time in the future if the associated R&amp;D effort is abandoned or is curtailed. For a complete discussion of our IPR&amp;D asset, see “Note 6. Intangible assets”.</w:t>
      </w:r>
    </w:p>
    <w:p>
      <w:pPr>
        <w:spacing w:after="0" w:line="1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Risks related to the regulatory environment</w:t>
      </w:r>
    </w:p>
    <w:p>
      <w:pPr>
        <w:spacing w:after="0" w:line="211" w:lineRule="exact"/>
        <w:rPr>
          <w:sz w:val="20"/>
          <w:szCs w:val="20"/>
          <w:color w:val="auto"/>
        </w:rPr>
      </w:pPr>
    </w:p>
    <w:p>
      <w:pPr>
        <w:ind w:left="340" w:right="49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cannot give any assurance that any of our product candidates will receive regulatory approval, which is necessary before they can be commercialized.</w:t>
      </w:r>
    </w:p>
    <w:p>
      <w:pPr>
        <w:spacing w:after="0" w:line="154" w:lineRule="exact"/>
        <w:rPr>
          <w:sz w:val="20"/>
          <w:szCs w:val="20"/>
          <w:color w:val="auto"/>
        </w:rPr>
      </w:pPr>
    </w:p>
    <w:p>
      <w:pPr>
        <w:ind w:left="40" w:right="199" w:firstLine="305"/>
        <w:spacing w:after="0" w:line="251" w:lineRule="auto"/>
        <w:rPr>
          <w:sz w:val="20"/>
          <w:szCs w:val="20"/>
          <w:color w:val="auto"/>
        </w:rPr>
      </w:pPr>
      <w:r>
        <w:rPr>
          <w:rFonts w:ascii="Times New Roman" w:cs="Times New Roman" w:eastAsia="Times New Roman" w:hAnsi="Times New Roman"/>
          <w:sz w:val="17"/>
          <w:szCs w:val="17"/>
          <w:color w:val="auto"/>
        </w:rPr>
        <w:t>Our future success is dependent on our and our collaboration partners’ ability to successfully develop, obtain regulatory approval for, and then successfully commercialize one or more product candidates. We are currently advancing therapeutic and diagnostic programs, targeting five different types of misfolded pathological proteins related to AD, PD and other neurodegenerative disorders. We are not permitted to market or promote any of our product candidates before we receive regulatory approval from the FDA, EMA or comparable foreign regulatory authorities, and we may never receive such regulatory approval for any of our product candidates.</w:t>
      </w:r>
    </w:p>
    <w:p>
      <w:pPr>
        <w:spacing w:after="0" w:line="182" w:lineRule="exact"/>
        <w:rPr>
          <w:sz w:val="20"/>
          <w:szCs w:val="20"/>
          <w:color w:val="auto"/>
        </w:rPr>
      </w:pPr>
    </w:p>
    <w:p>
      <w:pPr>
        <w:ind w:left="40" w:right="139" w:firstLine="305"/>
        <w:spacing w:after="0" w:line="263" w:lineRule="auto"/>
        <w:rPr>
          <w:sz w:val="20"/>
          <w:szCs w:val="20"/>
          <w:color w:val="auto"/>
        </w:rPr>
      </w:pPr>
      <w:r>
        <w:rPr>
          <w:rFonts w:ascii="Times New Roman" w:cs="Times New Roman" w:eastAsia="Times New Roman" w:hAnsi="Times New Roman"/>
          <w:sz w:val="17"/>
          <w:szCs w:val="17"/>
          <w:color w:val="auto"/>
        </w:rPr>
        <w:t>We cannot be certain that any of our product candidates will be successful in clinical studies or receive regulatory approval. Applications for our product candidates could fail to receive regulatory approval for many reasons, including but not limited to the following:</w:t>
      </w:r>
    </w:p>
    <w:p>
      <w:pPr>
        <w:spacing w:after="0" w:line="157" w:lineRule="exact"/>
        <w:rPr>
          <w:sz w:val="20"/>
          <w:szCs w:val="20"/>
          <w:color w:val="auto"/>
        </w:rPr>
      </w:pPr>
    </w:p>
    <w:p>
      <w:pPr>
        <w:ind w:left="680" w:right="499" w:hanging="305"/>
        <w:spacing w:after="0" w:line="277" w:lineRule="auto"/>
        <w:tabs>
          <w:tab w:leader="none" w:pos="6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comparable foreign regulatory authorities may disagree with the design or implementation of our clinical studies;</w:t>
      </w:r>
    </w:p>
    <w:p>
      <w:pPr>
        <w:spacing w:after="0" w:line="157" w:lineRule="exact"/>
        <w:rPr>
          <w:rFonts w:ascii="Times New Roman" w:cs="Times New Roman" w:eastAsia="Times New Roman" w:hAnsi="Times New Roman"/>
          <w:sz w:val="17"/>
          <w:szCs w:val="17"/>
          <w:color w:val="auto"/>
        </w:rPr>
      </w:pPr>
    </w:p>
    <w:p>
      <w:pPr>
        <w:ind w:left="680" w:right="259" w:hanging="305"/>
        <w:spacing w:after="0" w:line="277" w:lineRule="auto"/>
        <w:tabs>
          <w:tab w:leader="none" w:pos="6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population studied in the clinical program may not be sufficiently broad or representative to assure safety in the full population for which we seek approval;</w:t>
      </w:r>
    </w:p>
    <w:p>
      <w:pPr>
        <w:spacing w:after="0" w:line="157" w:lineRule="exact"/>
        <w:rPr>
          <w:rFonts w:ascii="Times New Roman" w:cs="Times New Roman" w:eastAsia="Times New Roman" w:hAnsi="Times New Roman"/>
          <w:sz w:val="17"/>
          <w:szCs w:val="17"/>
          <w:color w:val="auto"/>
        </w:rPr>
      </w:pPr>
    </w:p>
    <w:p>
      <w:pPr>
        <w:ind w:left="680" w:right="79" w:hanging="305"/>
        <w:spacing w:after="0" w:line="277" w:lineRule="auto"/>
        <w:tabs>
          <w:tab w:leader="none" w:pos="6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comparable foreign regulatory authorities may disagree with our interpretation of data from nonclinical or clinical studies;</w:t>
      </w:r>
    </w:p>
    <w:p>
      <w:pPr>
        <w:spacing w:after="0" w:line="157" w:lineRule="exact"/>
        <w:rPr>
          <w:rFonts w:ascii="Times New Roman" w:cs="Times New Roman" w:eastAsia="Times New Roman" w:hAnsi="Times New Roman"/>
          <w:sz w:val="17"/>
          <w:szCs w:val="17"/>
          <w:color w:val="auto"/>
        </w:rPr>
      </w:pPr>
    </w:p>
    <w:p>
      <w:pPr>
        <w:ind w:left="680" w:right="339" w:hanging="305"/>
        <w:spacing w:after="0" w:line="277" w:lineRule="auto"/>
        <w:tabs>
          <w:tab w:leader="none" w:pos="6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data collected from clinical studies of our product candidates may not be sufficient to support the submission of an NDA or other submission or to obtain regulatory approval in the U.S. or elsewhere;</w:t>
      </w:r>
    </w:p>
    <w:p>
      <w:pPr>
        <w:spacing w:after="0" w:line="157" w:lineRule="exact"/>
        <w:rPr>
          <w:rFonts w:ascii="Times New Roman" w:cs="Times New Roman" w:eastAsia="Times New Roman" w:hAnsi="Times New Roman"/>
          <w:sz w:val="17"/>
          <w:szCs w:val="17"/>
          <w:color w:val="auto"/>
        </w:rPr>
      </w:pPr>
    </w:p>
    <w:p>
      <w:pPr>
        <w:ind w:left="680" w:right="799" w:hanging="305"/>
        <w:spacing w:after="0" w:line="277" w:lineRule="auto"/>
        <w:tabs>
          <w:tab w:leader="none" w:pos="6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demonstrate to the FDA, EMA or comparable foreign regulatory authorities that a product candidate’s benefit-risk ratio for its proposed indication is acceptable;</w:t>
      </w:r>
    </w:p>
    <w:p>
      <w:pPr>
        <w:spacing w:after="0" w:line="157" w:lineRule="exact"/>
        <w:rPr>
          <w:rFonts w:ascii="Times New Roman" w:cs="Times New Roman" w:eastAsia="Times New Roman" w:hAnsi="Times New Roman"/>
          <w:sz w:val="17"/>
          <w:szCs w:val="17"/>
          <w:color w:val="auto"/>
        </w:rPr>
      </w:pPr>
    </w:p>
    <w:p>
      <w:pPr>
        <w:ind w:left="680" w:right="139" w:hanging="305"/>
        <w:spacing w:after="0" w:line="310" w:lineRule="auto"/>
        <w:tabs>
          <w:tab w:leader="none" w:pos="6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EMA or other regulatory authorities may fail to approve the manufacturing processes, test procedures and specifications, or facilities of third-party manufacturers with which we contract for clinical and commercial supplies; and</w:t>
      </w:r>
    </w:p>
    <w:p>
      <w:pPr>
        <w:spacing w:after="0" w:line="133" w:lineRule="exact"/>
        <w:rPr>
          <w:rFonts w:ascii="Times New Roman" w:cs="Times New Roman" w:eastAsia="Times New Roman" w:hAnsi="Times New Roman"/>
          <w:sz w:val="16"/>
          <w:szCs w:val="16"/>
          <w:color w:val="auto"/>
        </w:rPr>
      </w:pPr>
    </w:p>
    <w:p>
      <w:pPr>
        <w:ind w:left="680" w:right="779" w:hanging="305"/>
        <w:spacing w:after="0" w:line="277" w:lineRule="auto"/>
        <w:tabs>
          <w:tab w:leader="none" w:pos="6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policies or regulations of the FDA, EMA or comparable foreign regulatory authorities may change significantly in a manner rendering our clinical data insufficient for approval.</w:t>
      </w:r>
    </w:p>
    <w:p>
      <w:pPr>
        <w:spacing w:after="0" w:line="158" w:lineRule="exact"/>
        <w:rPr>
          <w:sz w:val="20"/>
          <w:szCs w:val="20"/>
          <w:color w:val="auto"/>
        </w:rPr>
      </w:pPr>
    </w:p>
    <w:p>
      <w:pPr>
        <w:ind w:left="40" w:right="159" w:firstLine="305"/>
        <w:spacing w:after="0" w:line="203" w:lineRule="exact"/>
        <w:rPr>
          <w:sz w:val="20"/>
          <w:szCs w:val="20"/>
          <w:color w:val="auto"/>
        </w:rPr>
      </w:pPr>
      <w:r>
        <w:rPr>
          <w:rFonts w:ascii="Times New Roman" w:cs="Times New Roman" w:eastAsia="Times New Roman" w:hAnsi="Times New Roman"/>
          <w:sz w:val="17"/>
          <w:szCs w:val="17"/>
          <w:color w:val="auto"/>
        </w:rPr>
        <w:t>In response to scrutiny of the accelerated approval pathway, Section 3210 of the FDORA (incorporated in the 2023 Appropriations Act) revised this pathway to, among other things: require the FDA to specify the conditions for required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marketing trials; permit the FDA to require such trials to be underway prior to approval, or within a specific period after approval; require sponsors to provide reports on postmarketing trial progress no later than 180 days after approval and every 180 days thereafter until such trials are completed; make the failure to conduct required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marketing trials with due diligence and the failure to submit the required reports prohibited acts; and detail procedures the FDA must follow to withdraw an accelerated approval on an expedited basis. This legislation did not, however, change the standard for accelerated approval. Even prior to this legislation, the FDA had held Oncologic Drugs Advisory Committee meetings to discuss accelerated approvals for which confirmatory trials have not verified clinical benefit, resulting in voluntary withdrawals of certain products and indications approved on an accelerated basis. While it is not clear at this time how these legislative and regulatory initiatives will affect our ability to pursue accelerated approval for any of our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44" w:name="page45"/>
    <w:bookmarkEnd w:id="4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359"/>
        <w:spacing w:after="0" w:line="277" w:lineRule="auto"/>
        <w:rPr>
          <w:sz w:val="20"/>
          <w:szCs w:val="20"/>
          <w:color w:val="auto"/>
        </w:rPr>
      </w:pPr>
      <w:r>
        <w:rPr>
          <w:rFonts w:ascii="Times New Roman" w:cs="Times New Roman" w:eastAsia="Times New Roman" w:hAnsi="Times New Roman"/>
          <w:sz w:val="17"/>
          <w:szCs w:val="17"/>
          <w:color w:val="auto"/>
        </w:rPr>
        <w:t>product candidates, these developments may have a material adverse impact on our business, financial condition, and results of operations.</w:t>
      </w:r>
    </w:p>
    <w:p>
      <w:pPr>
        <w:spacing w:after="0" w:line="158" w:lineRule="exact"/>
        <w:rPr>
          <w:sz w:val="20"/>
          <w:szCs w:val="20"/>
          <w:color w:val="auto"/>
        </w:rPr>
      </w:pPr>
    </w:p>
    <w:p>
      <w:pPr>
        <w:ind w:left="40" w:right="99" w:firstLine="305"/>
        <w:spacing w:after="0" w:line="250" w:lineRule="auto"/>
        <w:rPr>
          <w:sz w:val="20"/>
          <w:szCs w:val="20"/>
          <w:color w:val="auto"/>
        </w:rPr>
      </w:pPr>
      <w:r>
        <w:rPr>
          <w:rFonts w:ascii="Times New Roman" w:cs="Times New Roman" w:eastAsia="Times New Roman" w:hAnsi="Times New Roman"/>
          <w:sz w:val="17"/>
          <w:szCs w:val="17"/>
          <w:color w:val="auto"/>
        </w:rPr>
        <w:t>We generally plan to seek regulatory approval to commercialize our product candidates in the U.S., the EU and in additional foreign countries where we have commercial and typically intellectual property rights. To obtain regulatory approval in other countries, we must comply with numerous and varying regulatory requirements of such other countries regarding safety, efficacy, chemistry, manufacturing and controls, clinical studies, commercial sales, pricing, marketing and distribution of our product candidates. Even if we are successful in obtaining approval in one jurisdiction, we cannot ensure that we will obtain approval in any other jurisdictions. Failure to obtain marketing authorization for our product candidates will result in our being unable to market and sell such products, which would materially adversely affect our business, financial condition and results of operations. If we fail to obtain approval in any jurisdiction, the geographic market for our product candidates could be limited. Similarly, regulatory agencies may not approve the labeling claims that are necessary or desirable for the successful commercialization of our product candidates.</w:t>
      </w:r>
    </w:p>
    <w:p>
      <w:pPr>
        <w:spacing w:after="0" w:line="181" w:lineRule="exact"/>
        <w:rPr>
          <w:sz w:val="20"/>
          <w:szCs w:val="20"/>
          <w:color w:val="auto"/>
        </w:rPr>
      </w:pPr>
    </w:p>
    <w:p>
      <w:pPr>
        <w:ind w:left="340" w:right="279"/>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Clinical drug development involves a lengthy and expensive process with uncertain timelines and uncertain outcomes. If clinical studies of our product candidates are prolonged or delayed, we may be unable to obtain required regulatory approvals, and therefore be unable to commercialize our product candidates on a timely basis or at all.</w:t>
      </w:r>
    </w:p>
    <w:p>
      <w:pPr>
        <w:spacing w:after="0" w:line="173" w:lineRule="exact"/>
        <w:rPr>
          <w:sz w:val="20"/>
          <w:szCs w:val="20"/>
          <w:color w:val="auto"/>
        </w:rPr>
      </w:pPr>
    </w:p>
    <w:p>
      <w:pPr>
        <w:ind w:left="40" w:right="79" w:firstLine="305"/>
        <w:spacing w:after="0" w:line="250" w:lineRule="auto"/>
        <w:rPr>
          <w:sz w:val="20"/>
          <w:szCs w:val="20"/>
          <w:color w:val="auto"/>
        </w:rPr>
      </w:pPr>
      <w:r>
        <w:rPr>
          <w:rFonts w:ascii="Times New Roman" w:cs="Times New Roman" w:eastAsia="Times New Roman" w:hAnsi="Times New Roman"/>
          <w:sz w:val="17"/>
          <w:szCs w:val="17"/>
          <w:color w:val="auto"/>
        </w:rPr>
        <w:t>To obtain the necessary regulatory approvals to market and sell any of our product candidates, we must demonstrate through extensive preclinical and clinical studies that our products are safe and effective in humans. Clinical testing is expensive and can take many years to complete, and its outcome is inherently uncertain. Failure can occur at any time during the clinical study process. The results of preclinical and early clinical studies of our product candidates may not be predictive of the results of later-stage clinical studies. For example, the positive results generated to date in clinical studies for our product candidates do not ensure that later clinical studies will demonstrate similar results. Product candidates in later stages of clinical studies may fail to show the desired safety and efficacy traits despite having progressed through preclinical studies and initial clinical studies. A number of companies in the pharmaceutical or biopharmaceutical industry, including us, have suffered significant setbacks in advanced clinical studies due to lack of efficacy or adverse safety profiles, notwithstanding promising results in earlier studies. Our future clinical study results may not be successful.</w:t>
      </w:r>
    </w:p>
    <w:p>
      <w:pPr>
        <w:spacing w:after="0" w:line="185" w:lineRule="exact"/>
        <w:rPr>
          <w:sz w:val="20"/>
          <w:szCs w:val="20"/>
          <w:color w:val="auto"/>
        </w:rPr>
      </w:pPr>
    </w:p>
    <w:p>
      <w:pPr>
        <w:ind w:left="40" w:right="319" w:firstLine="305"/>
        <w:spacing w:after="0" w:line="251" w:lineRule="auto"/>
        <w:rPr>
          <w:sz w:val="20"/>
          <w:szCs w:val="20"/>
          <w:color w:val="auto"/>
        </w:rPr>
      </w:pPr>
      <w:r>
        <w:rPr>
          <w:rFonts w:ascii="Times New Roman" w:cs="Times New Roman" w:eastAsia="Times New Roman" w:hAnsi="Times New Roman"/>
          <w:sz w:val="17"/>
          <w:szCs w:val="17"/>
          <w:color w:val="auto"/>
        </w:rPr>
        <w:t>Clinical studies must be conducted in accordance with the legal requirements, regulations and guidelines of the FDA, EMA and comparable foreign regulatory authorities, and are subject to oversight by these governmental agencies and Institutional Review Boards (IRBs) at the medical institutions where the clinical studies are conducted. In addition, clinical studies must be conducted with supplies of our product candidates produced under cGMP and other requirements. We depend on medical institutions and CROs to conduct our clinical studies in compliance with cGCP standards. To the extent the CROs fail to enroll participants for our clinical studies, fail to conduct the study to cGCP standards or are delayed for a significant time in the execution of studies, including achieving full enrollment, we may be affected by increased costs, program delays or both, which may harm our business.</w:t>
      </w:r>
    </w:p>
    <w:p>
      <w:pPr>
        <w:spacing w:after="0" w:line="179" w:lineRule="exact"/>
        <w:rPr>
          <w:sz w:val="20"/>
          <w:szCs w:val="20"/>
          <w:color w:val="auto"/>
        </w:rPr>
      </w:pPr>
    </w:p>
    <w:p>
      <w:pPr>
        <w:ind w:left="40" w:right="299" w:firstLine="305"/>
        <w:spacing w:after="0" w:line="277" w:lineRule="auto"/>
        <w:rPr>
          <w:sz w:val="20"/>
          <w:szCs w:val="20"/>
          <w:color w:val="auto"/>
        </w:rPr>
      </w:pPr>
      <w:r>
        <w:rPr>
          <w:rFonts w:ascii="Times New Roman" w:cs="Times New Roman" w:eastAsia="Times New Roman" w:hAnsi="Times New Roman"/>
          <w:sz w:val="17"/>
          <w:szCs w:val="17"/>
          <w:color w:val="auto"/>
        </w:rPr>
        <w:t>To date, neither we nor our collaboration partners have completed all clinical studies required for the approval of any of our product candidates.</w:t>
      </w:r>
    </w:p>
    <w:p>
      <w:pPr>
        <w:spacing w:after="0" w:line="158" w:lineRule="exact"/>
        <w:rPr>
          <w:sz w:val="20"/>
          <w:szCs w:val="20"/>
          <w:color w:val="auto"/>
        </w:rPr>
      </w:pPr>
    </w:p>
    <w:p>
      <w:pPr>
        <w:ind w:left="40" w:right="379" w:firstLine="305"/>
        <w:spacing w:after="0" w:line="262" w:lineRule="auto"/>
        <w:rPr>
          <w:sz w:val="20"/>
          <w:szCs w:val="20"/>
          <w:color w:val="auto"/>
        </w:rPr>
      </w:pPr>
      <w:r>
        <w:rPr>
          <w:rFonts w:ascii="Times New Roman" w:cs="Times New Roman" w:eastAsia="Times New Roman" w:hAnsi="Times New Roman"/>
          <w:sz w:val="17"/>
          <w:szCs w:val="17"/>
          <w:color w:val="auto"/>
        </w:rPr>
        <w:t>The completion of clinical studies for our product candidates may be delayed, suspended or terminated as a result of many factors, including but not limited to:</w:t>
      </w:r>
    </w:p>
    <w:p>
      <w:pPr>
        <w:spacing w:after="0" w:line="170" w:lineRule="exact"/>
        <w:rPr>
          <w:sz w:val="20"/>
          <w:szCs w:val="20"/>
          <w:color w:val="auto"/>
        </w:rPr>
      </w:pPr>
    </w:p>
    <w:p>
      <w:pPr>
        <w:ind w:left="680" w:right="319" w:hanging="305"/>
        <w:spacing w:after="0" w:line="277" w:lineRule="auto"/>
        <w:tabs>
          <w:tab w:leader="none" w:pos="6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delay or refusal of regulators or IRBs to authorize us to commence or amend a clinical study at a prospective study site or changes in regulatory requirements, policies and guidelines;</w:t>
      </w:r>
    </w:p>
    <w:p>
      <w:pPr>
        <w:spacing w:after="0" w:line="157" w:lineRule="exact"/>
        <w:rPr>
          <w:rFonts w:ascii="Times New Roman" w:cs="Times New Roman" w:eastAsia="Times New Roman" w:hAnsi="Times New Roman"/>
          <w:sz w:val="17"/>
          <w:szCs w:val="17"/>
          <w:color w:val="auto"/>
        </w:rPr>
      </w:pPr>
    </w:p>
    <w:p>
      <w:pPr>
        <w:ind w:left="680" w:right="439" w:hanging="305"/>
        <w:spacing w:after="0" w:line="277" w:lineRule="auto"/>
        <w:tabs>
          <w:tab w:leader="none" w:pos="6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or failure to reach agreement on acceptable terms with prospective CROs and clinical study sites, the terms of which can be subject to extensive negotiation and may vary significantly among different CROs and study sites;</w:t>
      </w:r>
    </w:p>
    <w:p>
      <w:pPr>
        <w:spacing w:after="0" w:line="157"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patient enrollment and variability in the number and types of patients available for clinical studies;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45" w:name="page46"/>
    <w:bookmarkEnd w:id="4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80" w:right="239" w:hanging="305"/>
        <w:spacing w:after="0" w:line="277" w:lineRule="auto"/>
        <w:tabs>
          <w:tab w:leader="none" w:pos="6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enroll a sufficient number of patients in studies to ensure adequate statistical power to detect statistically significant treatment effects;</w:t>
      </w:r>
    </w:p>
    <w:p>
      <w:pPr>
        <w:spacing w:after="0" w:line="157" w:lineRule="exact"/>
        <w:rPr>
          <w:rFonts w:ascii="Times New Roman" w:cs="Times New Roman" w:eastAsia="Times New Roman" w:hAnsi="Times New Roman"/>
          <w:sz w:val="17"/>
          <w:szCs w:val="17"/>
          <w:color w:val="auto"/>
        </w:rPr>
      </w:pPr>
    </w:p>
    <w:p>
      <w:pPr>
        <w:ind w:left="680" w:right="219" w:hanging="305"/>
        <w:spacing w:after="0" w:line="277" w:lineRule="auto"/>
        <w:tabs>
          <w:tab w:leader="none" w:pos="6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or inconclusive results, which may require us to conduct additional preclinical or clinical studies or to abandon projects that we expected to be promising;</w:t>
      </w:r>
    </w:p>
    <w:p>
      <w:pPr>
        <w:spacing w:after="0" w:line="157" w:lineRule="exact"/>
        <w:rPr>
          <w:rFonts w:ascii="Times New Roman" w:cs="Times New Roman" w:eastAsia="Times New Roman" w:hAnsi="Times New Roman"/>
          <w:sz w:val="17"/>
          <w:szCs w:val="17"/>
          <w:color w:val="auto"/>
        </w:rPr>
      </w:pPr>
    </w:p>
    <w:p>
      <w:pPr>
        <w:ind w:left="680" w:right="319" w:hanging="305"/>
        <w:spacing w:after="0" w:line="277" w:lineRule="auto"/>
        <w:tabs>
          <w:tab w:leader="none" w:pos="6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safety or tolerability concerns, which could cause us to suspend or terminate a study if we find that the participants are being exposed to unacceptable health risks;</w:t>
      </w:r>
    </w:p>
    <w:p>
      <w:pPr>
        <w:spacing w:after="0" w:line="157" w:lineRule="exact"/>
        <w:rPr>
          <w:rFonts w:ascii="Times New Roman" w:cs="Times New Roman" w:eastAsia="Times New Roman" w:hAnsi="Times New Roman"/>
          <w:sz w:val="17"/>
          <w:szCs w:val="17"/>
          <w:color w:val="auto"/>
        </w:rPr>
      </w:pPr>
    </w:p>
    <w:p>
      <w:pPr>
        <w:ind w:left="680" w:right="559" w:hanging="305"/>
        <w:spacing w:after="0" w:line="277" w:lineRule="auto"/>
        <w:tabs>
          <w:tab w:leader="none" w:pos="6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regulators or IRBs requiring that we or our investigators suspend or terminate clinical research for various reasons, including noncompliance with regulatory requirements or safety concerns, among others;</w:t>
      </w:r>
    </w:p>
    <w:p>
      <w:pPr>
        <w:spacing w:after="0" w:line="157"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than anticipated retention rates of patients and volunteers in clinical studies;</w:t>
      </w:r>
    </w:p>
    <w:p>
      <w:pPr>
        <w:spacing w:after="0" w:line="210" w:lineRule="exact"/>
        <w:rPr>
          <w:rFonts w:ascii="Times New Roman" w:cs="Times New Roman" w:eastAsia="Times New Roman" w:hAnsi="Times New Roman"/>
          <w:sz w:val="17"/>
          <w:szCs w:val="17"/>
          <w:color w:val="auto"/>
        </w:rPr>
      </w:pPr>
    </w:p>
    <w:p>
      <w:pPr>
        <w:ind w:left="680" w:right="99" w:hanging="305"/>
        <w:spacing w:after="0" w:line="277" w:lineRule="auto"/>
        <w:tabs>
          <w:tab w:leader="none" w:pos="6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CROs or clinical study sites failing to comply with regulatory requirements or meet their contractual obligations to us in a timely manner, or at all, deviating from the protocol or dropping out of a study;</w:t>
      </w:r>
    </w:p>
    <w:p>
      <w:pPr>
        <w:spacing w:after="0" w:line="157"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relating to adding new clinical study sites;</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in maintaining contact with patients after treatment, resulting in incomplete data;</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establishing the appropriate dosage levels;</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quality or stability of the product candidate falling below acceptable standards;</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produce or obtain sufficient quantities of the product candidate to complete clinical studies; and</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exceeding budgeted costs due to difficulty in accurately predicting costs associated with clinical studies.</w:t>
      </w:r>
    </w:p>
    <w:p>
      <w:pPr>
        <w:spacing w:after="0" w:line="211" w:lineRule="exact"/>
        <w:rPr>
          <w:sz w:val="20"/>
          <w:szCs w:val="20"/>
          <w:color w:val="auto"/>
        </w:rPr>
      </w:pPr>
    </w:p>
    <w:p>
      <w:pPr>
        <w:ind w:left="40" w:right="79" w:firstLine="305"/>
        <w:spacing w:after="0" w:line="258" w:lineRule="auto"/>
        <w:rPr>
          <w:sz w:val="20"/>
          <w:szCs w:val="20"/>
          <w:color w:val="auto"/>
        </w:rPr>
      </w:pPr>
      <w:r>
        <w:rPr>
          <w:rFonts w:ascii="Times New Roman" w:cs="Times New Roman" w:eastAsia="Times New Roman" w:hAnsi="Times New Roman"/>
          <w:sz w:val="17"/>
          <w:szCs w:val="17"/>
          <w:color w:val="auto"/>
        </w:rPr>
        <w:t>Further, with the passage of FDORA, Congress clarified the FDA’s authority to conduct inspections by expressly permitting inspection of facilities involved in the preparation, conduct or analysis of clinical and nonclinical studies submitted to FDA, as well as of other persons holding study records or otherwise involved in the study process, which could delay or add complexity to our clinical trials.</w:t>
      </w:r>
    </w:p>
    <w:p>
      <w:pPr>
        <w:spacing w:after="0" w:line="175" w:lineRule="exact"/>
        <w:rPr>
          <w:sz w:val="20"/>
          <w:szCs w:val="20"/>
          <w:color w:val="auto"/>
        </w:rPr>
      </w:pPr>
    </w:p>
    <w:p>
      <w:pPr>
        <w:ind w:left="40" w:right="139" w:firstLine="305"/>
        <w:spacing w:after="0" w:line="252" w:lineRule="auto"/>
        <w:rPr>
          <w:sz w:val="20"/>
          <w:szCs w:val="20"/>
          <w:color w:val="auto"/>
        </w:rPr>
      </w:pPr>
      <w:r>
        <w:rPr>
          <w:rFonts w:ascii="Times New Roman" w:cs="Times New Roman" w:eastAsia="Times New Roman" w:hAnsi="Times New Roman"/>
          <w:sz w:val="17"/>
          <w:szCs w:val="17"/>
          <w:color w:val="auto"/>
        </w:rPr>
        <w:t>Any delays in completing our clinical studies will increase our costs, slow our product candidate development and approval process, and jeopardize our ability to commence product sales and generate sales revenues. Any of these occurrences may significantly harm our business, financial condition and prospects. In addition, many of the factors that cause, or lead to, a delay in the commencement or completion of clinical studies may also ultimately lead to the denial of regulatory approval of our product candidates.</w:t>
      </w:r>
    </w:p>
    <w:p>
      <w:pPr>
        <w:spacing w:after="0" w:line="175" w:lineRule="exact"/>
        <w:rPr>
          <w:sz w:val="20"/>
          <w:szCs w:val="20"/>
          <w:color w:val="auto"/>
        </w:rPr>
      </w:pPr>
    </w:p>
    <w:p>
      <w:pPr>
        <w:ind w:left="340" w:right="23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Even if we obtain and maintain approval for our product candidates from one jurisdiction, we may never obtain approval for our product candidates in other jurisdictions, which would limit our market opportunities and adversely affect our business.</w:t>
      </w:r>
    </w:p>
    <w:p>
      <w:pPr>
        <w:spacing w:after="0" w:line="166" w:lineRule="exact"/>
        <w:rPr>
          <w:sz w:val="20"/>
          <w:szCs w:val="20"/>
          <w:color w:val="auto"/>
        </w:rPr>
      </w:pPr>
    </w:p>
    <w:p>
      <w:pPr>
        <w:ind w:left="40" w:right="119" w:firstLine="305"/>
        <w:spacing w:after="0" w:line="250" w:lineRule="auto"/>
        <w:rPr>
          <w:sz w:val="20"/>
          <w:szCs w:val="20"/>
          <w:color w:val="auto"/>
        </w:rPr>
      </w:pPr>
      <w:r>
        <w:rPr>
          <w:rFonts w:ascii="Times New Roman" w:cs="Times New Roman" w:eastAsia="Times New Roman" w:hAnsi="Times New Roman"/>
          <w:sz w:val="17"/>
          <w:szCs w:val="17"/>
          <w:color w:val="auto"/>
        </w:rPr>
        <w:t>Sales by us of our approved drugs will be subject to U.S. and non-U.S. regulatory requirements governing clinical studies and regulatory approval, and we plan to seek regulatory approval to commercialize our product candidates in the U.S., the European Economic Area (EEA), and other countries. Clinical studies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approval in the U.S. by the FDA does not ensure approval by the regulatory authorities in other countries or jurisdictions, and similarly, approval by a non-U.S. regulatory authority, such as the EMA, does not ensure approval by regulatory authorities in other countries, including by the FDA. Approval processes and regulatory requirements vary among countries and can involve additional drug testing and validation and</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329565</wp:posOffset>
            </wp:positionV>
            <wp:extent cx="5657850" cy="241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46" w:name="page47"/>
    <w:bookmarkEnd w:id="4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139"/>
        <w:spacing w:after="0" w:line="250" w:lineRule="auto"/>
        <w:rPr>
          <w:sz w:val="20"/>
          <w:szCs w:val="20"/>
          <w:color w:val="auto"/>
        </w:rPr>
      </w:pPr>
      <w:r>
        <w:rPr>
          <w:rFonts w:ascii="Times New Roman" w:cs="Times New Roman" w:eastAsia="Times New Roman" w:hAnsi="Times New Roman"/>
          <w:sz w:val="17"/>
          <w:szCs w:val="17"/>
          <w:color w:val="auto"/>
        </w:rPr>
        <w:t>additional administrative review periods. Even if a drug is approved, the FDA or EMA, as the case may be, may limit the indications for which the drug may be marketed, require extensive warnings on the drug labeling, or require expensive and time-consuming clinical studies or reporting as conditions of approval. In many countries outside the U.S., a product candidate must be approved for reimbursement before it can be approved for sale in that country. In some cases, the price that would be charged for a drug is also subject to approval. Regulatory authorities in other countries also have their own requirements for approval of product candidates with which we must comply prior to marketing in those countries. Obtaining non-U.S. regulatory approvals and compliance with such non-U.S. regulatory requirements could result in significant delays, difficulties and costs for us and could delay or prevent the introduction of our current and any future drugs, in certain countries.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 candidates will be unrealized.</w:t>
      </w:r>
    </w:p>
    <w:p>
      <w:pPr>
        <w:spacing w:after="0" w:line="180" w:lineRule="exact"/>
        <w:rPr>
          <w:sz w:val="20"/>
          <w:szCs w:val="20"/>
          <w:color w:val="auto"/>
        </w:rPr>
      </w:pPr>
    </w:p>
    <w:p>
      <w:pPr>
        <w:ind w:left="340" w:right="319"/>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Even if our product candidates obtain regulatory approval, we will be subject to ongoing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76" w:lineRule="exact"/>
        <w:rPr>
          <w:sz w:val="20"/>
          <w:szCs w:val="20"/>
          <w:color w:val="auto"/>
        </w:rPr>
      </w:pPr>
    </w:p>
    <w:p>
      <w:pPr>
        <w:ind w:left="40" w:right="99" w:firstLine="305"/>
        <w:spacing w:after="0" w:line="250" w:lineRule="auto"/>
        <w:rPr>
          <w:sz w:val="20"/>
          <w:szCs w:val="20"/>
          <w:color w:val="auto"/>
        </w:rPr>
      </w:pPr>
      <w:r>
        <w:rPr>
          <w:rFonts w:ascii="Times New Roman" w:cs="Times New Roman" w:eastAsia="Times New Roman" w:hAnsi="Times New Roman"/>
          <w:sz w:val="17"/>
          <w:szCs w:val="17"/>
          <w:color w:val="auto"/>
        </w:rPr>
        <w:t>If a marketing authorization is obtained for any of our product candidates, the product will remain subject to continual regulatory review and therefore authorization could be subsequently withdrawn or restricted.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studies and surveillance to monitor the safety and efficacy of the product candidate. In addition, if the FDA or a comparable foreign regulatory authority approves any of our product candidates, we will be subject to ongoing regulatory obligations and oversight by regulatory authorities, including with respect to the manufacturing processes, labeling, packing, distribution, adverse event reporting, storage, advertising and marketing restrictions, and record-keeping and, potentially, other post-marketing obligations, all of which may result in significant expense and limit our or our collaboration partners’ ability to commercialize such products. These requirements include submissions of safety and other post-marketing information and reports, registration, as well as continued compliance with cGMP and cGCP requirements for any clinical studies that we conduct post-approval. Later discovery of previously unknown problems with a product, including AEs of unanticipated severity or frequency, or with our third-party manufacturers or manufacturing processes, or failure to comply with regulatory requirements, may result in, among other things:</w:t>
      </w:r>
    </w:p>
    <w:p>
      <w:pPr>
        <w:spacing w:after="0" w:line="170" w:lineRule="exact"/>
        <w:rPr>
          <w:sz w:val="20"/>
          <w:szCs w:val="20"/>
          <w:color w:val="auto"/>
        </w:rPr>
      </w:pPr>
    </w:p>
    <w:p>
      <w:pPr>
        <w:ind w:left="680" w:right="119" w:hanging="305"/>
        <w:spacing w:after="0" w:line="277" w:lineRule="auto"/>
        <w:tabs>
          <w:tab w:leader="none" w:pos="6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the marketing or manufacturing of the product, withdrawal of the product from the market, or voluntary or mandatory product recalls;</w:t>
      </w:r>
    </w:p>
    <w:p>
      <w:pPr>
        <w:spacing w:after="0" w:line="157"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fines, warning letters or holds on clinical studies;</w:t>
      </w:r>
    </w:p>
    <w:p>
      <w:pPr>
        <w:spacing w:after="0" w:line="210" w:lineRule="exact"/>
        <w:rPr>
          <w:rFonts w:ascii="Times New Roman" w:cs="Times New Roman" w:eastAsia="Times New Roman" w:hAnsi="Times New Roman"/>
          <w:sz w:val="17"/>
          <w:szCs w:val="17"/>
          <w:color w:val="auto"/>
        </w:rPr>
      </w:pPr>
    </w:p>
    <w:p>
      <w:pPr>
        <w:ind w:left="680" w:right="99" w:hanging="305"/>
        <w:spacing w:after="0" w:line="310" w:lineRule="auto"/>
        <w:tabs>
          <w:tab w:leader="none" w:pos="6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refusal by the FDA or an applicable foreign regulatory authority to approve pending applications or supplements to approved applications filed by us or our collaborations partners, or suspension or revocation of product license approvals;</w:t>
      </w:r>
    </w:p>
    <w:p>
      <w:pPr>
        <w:spacing w:after="0" w:line="133" w:lineRule="exact"/>
        <w:rPr>
          <w:rFonts w:ascii="Times New Roman" w:cs="Times New Roman" w:eastAsia="Times New Roman" w:hAnsi="Times New Roman"/>
          <w:sz w:val="16"/>
          <w:szCs w:val="16"/>
          <w:color w:val="auto"/>
        </w:rPr>
      </w:pPr>
    </w:p>
    <w:p>
      <w:pPr>
        <w:ind w:left="680" w:hanging="305"/>
        <w:spacing w:after="0"/>
        <w:tabs>
          <w:tab w:leader="none" w:pos="6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constraints in promotion and distribution of drug products in various markets;</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seizure or detention, or refusal to permit the import or export of products; and</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injunctions or the imposition of civil or criminal penalties.</w:t>
      </w:r>
    </w:p>
    <w:p>
      <w:pPr>
        <w:spacing w:after="0" w:line="211" w:lineRule="exact"/>
        <w:rPr>
          <w:sz w:val="20"/>
          <w:szCs w:val="20"/>
          <w:color w:val="auto"/>
        </w:rPr>
      </w:pPr>
    </w:p>
    <w:p>
      <w:pPr>
        <w:ind w:left="40" w:right="199" w:firstLine="305"/>
        <w:spacing w:after="0" w:line="256" w:lineRule="auto"/>
        <w:rPr>
          <w:sz w:val="20"/>
          <w:szCs w:val="20"/>
          <w:color w:val="auto"/>
        </w:rPr>
      </w:pPr>
      <w:r>
        <w:rPr>
          <w:rFonts w:ascii="Times New Roman" w:cs="Times New Roman" w:eastAsia="Times New Roman" w:hAnsi="Times New Roman"/>
          <w:sz w:val="17"/>
          <w:szCs w:val="17"/>
          <w:color w:val="auto"/>
        </w:rPr>
        <w:t>If any of these events occurs, our ability to sell such product may be impaired, and we may incur substantial additional expense to comply with regulatory requirements, which could materially adversely affect our business, financial condition and results of operations. The FDA’s or those of an applicable foreign regulatory authority’s policies may change and additional government regulations may be enacted that could prevent, limit or delay regulatory approval of our product candidates. If we are slow or unable to adapt to changes in existing requirements or the adoption of new</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47" w:name="page48"/>
    <w:bookmarkEnd w:id="4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79"/>
        <w:spacing w:after="0" w:line="277" w:lineRule="auto"/>
        <w:rPr>
          <w:sz w:val="20"/>
          <w:szCs w:val="20"/>
          <w:color w:val="auto"/>
        </w:rPr>
      </w:pPr>
      <w:r>
        <w:rPr>
          <w:rFonts w:ascii="Times New Roman" w:cs="Times New Roman" w:eastAsia="Times New Roman" w:hAnsi="Times New Roman"/>
          <w:sz w:val="17"/>
          <w:szCs w:val="17"/>
          <w:color w:val="auto"/>
        </w:rPr>
        <w:t>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54" w:lineRule="exact"/>
        <w:rPr>
          <w:sz w:val="20"/>
          <w:szCs w:val="20"/>
          <w:color w:val="auto"/>
        </w:rPr>
      </w:pPr>
    </w:p>
    <w:p>
      <w:pPr>
        <w:ind w:left="340" w:right="5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have conducted and may in the future conduct clinical studies for our product candidates outside the U.S., and the FDA and applicable foreign regulatory authorities may not accept data from such studies.</w:t>
      </w:r>
    </w:p>
    <w:p>
      <w:pPr>
        <w:spacing w:after="0" w:line="154" w:lineRule="exact"/>
        <w:rPr>
          <w:sz w:val="20"/>
          <w:szCs w:val="20"/>
          <w:color w:val="auto"/>
        </w:rPr>
      </w:pPr>
    </w:p>
    <w:p>
      <w:pPr>
        <w:ind w:left="40" w:right="59" w:firstLine="305"/>
        <w:spacing w:after="0" w:line="265" w:lineRule="auto"/>
        <w:rPr>
          <w:sz w:val="20"/>
          <w:szCs w:val="20"/>
          <w:color w:val="auto"/>
        </w:rPr>
      </w:pPr>
      <w:r>
        <w:rPr>
          <w:rFonts w:ascii="Times New Roman" w:cs="Times New Roman" w:eastAsia="Times New Roman" w:hAnsi="Times New Roman"/>
          <w:sz w:val="16"/>
          <w:szCs w:val="16"/>
          <w:color w:val="auto"/>
        </w:rPr>
        <w:t>We have conducted and may in the future choose to conduct one or more of our clinical studies outside the U.S., including in Germany, Austria, Denmark, Sweden, Finland, the UK, Poland, Spain and the Netherlands. The acceptance of study data from clinical studies conducted outside the U.S. or another jurisdiction by the FDA or applicable foreign regulatory authority may be subject to certain conditions. In cases where data from foreign clinical studies are intended to serve as the basis for marketing approval in the U.S., the FDA will not approve the application on the basis of foreign data alone unless the following are true: the data are applicable to the U.S. population and U.S.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Additionally, the FDA’s clinical study requirements, including sufficient size of patient populations and statistical powering, must be met. Many foreign regulatory bodies have similar requirements. In addition, such foreign studies would be subject to the applicable local laws of the foreign jurisdictions in which the studies are conducted. There can be no assurance that the FDA or any applicable foreign regulatory authority will accept data from studies conducted outside of the U.S. or the applicable jurisdiction. If the FDA or any applicable foreign regulatory authority does not accept such data, it would result in the need for additional studies, which would be costly and time-consuming and delay aspects of our business plan, and which may result in our drugs or product candidates not receiving approval or clearance for commercialization in the applicable jurisdiction.</w:t>
      </w:r>
    </w:p>
    <w:p>
      <w:pPr>
        <w:spacing w:after="0" w:line="172" w:lineRule="exact"/>
        <w:rPr>
          <w:sz w:val="20"/>
          <w:szCs w:val="20"/>
          <w:color w:val="auto"/>
        </w:rPr>
      </w:pPr>
    </w:p>
    <w:p>
      <w:pPr>
        <w:ind w:left="340" w:right="103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Enacted and future legislation may increase the difficulty and cost for us to obtain marketing approval of and commercialize our product candidates and may affect the prices we may set.</w:t>
      </w:r>
    </w:p>
    <w:p>
      <w:pPr>
        <w:spacing w:after="0" w:line="154" w:lineRule="exact"/>
        <w:rPr>
          <w:sz w:val="20"/>
          <w:szCs w:val="20"/>
          <w:color w:val="auto"/>
        </w:rPr>
      </w:pPr>
    </w:p>
    <w:p>
      <w:pPr>
        <w:ind w:left="40" w:right="459" w:firstLine="305"/>
        <w:spacing w:after="0" w:line="253" w:lineRule="auto"/>
        <w:rPr>
          <w:sz w:val="20"/>
          <w:szCs w:val="20"/>
          <w:color w:val="auto"/>
        </w:rPr>
      </w:pPr>
      <w:r>
        <w:rPr>
          <w:rFonts w:ascii="Times New Roman" w:cs="Times New Roman" w:eastAsia="Times New Roman" w:hAnsi="Times New Roman"/>
          <w:sz w:val="17"/>
          <w:szCs w:val="17"/>
          <w:color w:val="auto"/>
        </w:rPr>
        <w:t>In the U.S., the EU and some foreign jurisdictions, there have been a number of adopted and proposed legislative and regulatory changes regarding the healthcare system that could prevent or delay regulatory approval of our product candidates, restrict or regulate post-approval activities and affect our ability to profitably sell any of our product candidates for which we obtain regulatory approval.</w:t>
      </w:r>
    </w:p>
    <w:p>
      <w:pPr>
        <w:spacing w:after="0" w:line="178" w:lineRule="exact"/>
        <w:rPr>
          <w:sz w:val="20"/>
          <w:szCs w:val="20"/>
          <w:color w:val="auto"/>
        </w:rPr>
      </w:pPr>
    </w:p>
    <w:p>
      <w:pPr>
        <w:ind w:left="40" w:right="59" w:firstLine="305"/>
        <w:spacing w:after="0" w:line="251" w:lineRule="auto"/>
        <w:rPr>
          <w:sz w:val="20"/>
          <w:szCs w:val="20"/>
          <w:color w:val="auto"/>
        </w:rPr>
      </w:pPr>
      <w:r>
        <w:rPr>
          <w:rFonts w:ascii="Times New Roman" w:cs="Times New Roman" w:eastAsia="Times New Roman" w:hAnsi="Times New Roman"/>
          <w:sz w:val="17"/>
          <w:szCs w:val="17"/>
          <w:color w:val="auto"/>
        </w:rPr>
        <w:t>In the U.S., the Medicare Prescription Drug, Improvement, and Modernization Act of 2003 (“MMA”) changed the way Medicare covers and pays for pharmaceutical products. Cost reduction initiatives and other provisions of this legislation could limit the coverage and reimbursement rate that we receive for any of our approved product candidates. While the MMA only applies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182" w:lineRule="exact"/>
        <w:rPr>
          <w:sz w:val="20"/>
          <w:szCs w:val="20"/>
          <w:color w:val="auto"/>
        </w:rPr>
      </w:pPr>
    </w:p>
    <w:p>
      <w:pPr>
        <w:jc w:val="both"/>
        <w:ind w:left="40" w:right="59" w:firstLine="305"/>
        <w:spacing w:after="0" w:line="249" w:lineRule="auto"/>
        <w:rPr>
          <w:sz w:val="20"/>
          <w:szCs w:val="20"/>
          <w:color w:val="auto"/>
        </w:rPr>
      </w:pPr>
      <w:r>
        <w:rPr>
          <w:rFonts w:ascii="Times New Roman" w:cs="Times New Roman" w:eastAsia="Times New Roman" w:hAnsi="Times New Roman"/>
          <w:sz w:val="17"/>
          <w:szCs w:val="17"/>
          <w:color w:val="auto"/>
        </w:rPr>
        <w:t>In March 2010, the Patient Protection and Affordable Care Act, as amended by the Health Care and Education Reconciliation Act of 2010 (collectively, the Health Care Reform Law), was enacted. The Health Care Reform Law was intended to broaden access to health insurance, reduce or constrain the growth of healthcare spending, enhance remedies against healthcare fraud and abuse, add new transparency requirements for healthcare and health insurance industries, impose new taxes and fees on the health industry and impose additional health policy reforms. The Health Care Reform Law increased manufacturers’ rebate liability under the Medicaid Drug Rebate Program by increasing the minimum rebate amount for both branded and generic drugs and revised the definition of “average manufacturer price” (“AMP”), which may also increase the amount of Medicaid drug rebates manufacturers are required to pay to states. The legislation also expanded Medicaid drug rebates and created an alternative rebate formula for certain new formulations of certain existing products that is intended to increase the rebates due on those drugs. The Centers for Medicare &amp; Medicaid Services, which administers the Medicaid Drug Rebate Program, also has proposed to expand Medicaid rebates to the utilization that occurs in the territories of the U.S., such as Puerto Rico and the Virgin Islands. Further, beginning in 2011, the Health Care Reform Law imposed a significant annual fee on companies that manufacture or import branded prescription drug</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48" w:name="page49"/>
    <w:bookmarkEnd w:id="4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59"/>
        <w:spacing w:after="0" w:line="277" w:lineRule="auto"/>
        <w:rPr>
          <w:sz w:val="20"/>
          <w:szCs w:val="20"/>
          <w:color w:val="auto"/>
        </w:rPr>
      </w:pPr>
      <w:r>
        <w:rPr>
          <w:rFonts w:ascii="Times New Roman" w:cs="Times New Roman" w:eastAsia="Times New Roman" w:hAnsi="Times New Roman"/>
          <w:sz w:val="17"/>
          <w:szCs w:val="17"/>
          <w:color w:val="auto"/>
        </w:rPr>
        <w:t>products. Legislative and regulatory proposals have been introduced at both the state and federal level to expand post-approval requirements and restrict sales and promotional activities for pharmaceutical products.</w:t>
      </w:r>
    </w:p>
    <w:p>
      <w:pPr>
        <w:spacing w:after="0" w:line="158" w:lineRule="exact"/>
        <w:rPr>
          <w:sz w:val="20"/>
          <w:szCs w:val="20"/>
          <w:color w:val="auto"/>
        </w:rPr>
      </w:pPr>
    </w:p>
    <w:p>
      <w:pPr>
        <w:ind w:left="40" w:right="259" w:firstLine="305"/>
        <w:spacing w:after="0" w:line="256" w:lineRule="auto"/>
        <w:rPr>
          <w:sz w:val="20"/>
          <w:szCs w:val="20"/>
          <w:color w:val="auto"/>
        </w:rPr>
      </w:pPr>
      <w:r>
        <w:rPr>
          <w:rFonts w:ascii="Times New Roman" w:cs="Times New Roman" w:eastAsia="Times New Roman" w:hAnsi="Times New Roman"/>
          <w:sz w:val="17"/>
          <w:szCs w:val="17"/>
          <w:color w:val="auto"/>
        </w:rPr>
        <w:t>We are not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approval testing and other requirements.</w:t>
      </w:r>
    </w:p>
    <w:p>
      <w:pPr>
        <w:spacing w:after="0" w:line="163" w:lineRule="exact"/>
        <w:rPr>
          <w:sz w:val="20"/>
          <w:szCs w:val="20"/>
          <w:color w:val="auto"/>
        </w:rPr>
      </w:pPr>
    </w:p>
    <w:p>
      <w:pPr>
        <w:ind w:left="40" w:right="59" w:firstLine="305"/>
        <w:spacing w:after="0" w:line="249" w:lineRule="auto"/>
        <w:rPr>
          <w:sz w:val="20"/>
          <w:szCs w:val="20"/>
          <w:color w:val="auto"/>
        </w:rPr>
      </w:pPr>
      <w:r>
        <w:rPr>
          <w:rFonts w:ascii="Times New Roman" w:cs="Times New Roman" w:eastAsia="Times New Roman" w:hAnsi="Times New Roman"/>
          <w:sz w:val="17"/>
          <w:szCs w:val="17"/>
          <w:color w:val="auto"/>
        </w:rPr>
        <w:t>In addition, there has been heightened governmental scrutiny in the U.S.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both the federal and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One significant example of recent legislative action is the Inflation Reduction Act of 2022 (the “IRA”), which has been considered a scaled-back version of the Build Back Better Act. The IRA was signed into law on August 16, 2022. While the IRA is still subject to rulemaking (with more information to come via guidance documents from the responsible federal agencies), the IRA, as written, will, among other changes, give HHS the ability and authority to directly negotiate with manufacturers the price that Medicare will pay for certain high-priced drugs. The IRA will also require manufacturers of certain Part B and Part D drugs to issue to HHS rebates based on certain calculations and triggers (i.e. when drug prices increase and outpace the rate of inflation). On March 15, 2023 and June 30, 2023, HHS issued guidance regarding implementation of the Medicare drug price negotiation program in initial price applicability year 2026. On January 17, 2025, HHS announced 15 additional drugs selected for Medicare pricing negotiations, and these negotiations with participating drug companies are slated to occur in 2025, with any negotiated prices becoming effective in 2027. Several manufacturers and industry groups have challenged the drug price negotiation program for Medicare Parts B and D in federal court. These lawsuits are ongoing, and additional lawsuits may be filed in the future related to provisions of the IRA. It is unknown whether such litigation or other litigation, if brought, will be successful. For these and other reasons, we cannot predict the implications the IRA provisions will have on our business.</w:t>
      </w:r>
    </w:p>
    <w:p>
      <w:pPr>
        <w:spacing w:after="0" w:line="183" w:lineRule="exact"/>
        <w:rPr>
          <w:sz w:val="20"/>
          <w:szCs w:val="20"/>
          <w:color w:val="auto"/>
        </w:rPr>
      </w:pPr>
    </w:p>
    <w:p>
      <w:pPr>
        <w:ind w:left="40" w:right="79" w:firstLine="305"/>
        <w:spacing w:after="0" w:line="249" w:lineRule="auto"/>
        <w:rPr>
          <w:sz w:val="20"/>
          <w:szCs w:val="20"/>
          <w:color w:val="auto"/>
        </w:rPr>
      </w:pPr>
      <w:r>
        <w:rPr>
          <w:rFonts w:ascii="Times New Roman" w:cs="Times New Roman" w:eastAsia="Times New Roman" w:hAnsi="Times New Roman"/>
          <w:sz w:val="17"/>
          <w:szCs w:val="17"/>
          <w:color w:val="auto"/>
        </w:rPr>
        <w:t xml:space="preserve">Further, the current administration has issued executive orders focused on decreasing prescription drug prices, including directing the Secretary of HHS to establish a mechanism through which American patients can buy drugs directly from manufacturers who sell at a </w:t>
      </w:r>
      <w:r>
        <w:rPr>
          <w:rFonts w:ascii="Times New Roman" w:cs="Times New Roman" w:eastAsia="Times New Roman" w:hAnsi="Times New Roman"/>
          <w:sz w:val="17"/>
          <w:szCs w:val="17"/>
          <w:i w:val="1"/>
          <w:iCs w:val="1"/>
          <w:color w:val="auto"/>
        </w:rPr>
        <w:t>most-favored-nation</w:t>
      </w:r>
      <w:r>
        <w:rPr>
          <w:rFonts w:ascii="Times New Roman" w:cs="Times New Roman" w:eastAsia="Times New Roman" w:hAnsi="Times New Roman"/>
          <w:sz w:val="17"/>
          <w:szCs w:val="17"/>
          <w:color w:val="auto"/>
        </w:rPr>
        <w:t xml:space="preserve"> price and directing the United States Trade Representative and Secretary of Commerce to take action to ensure foreign countries are not engaged in practices that purposefully and unfairly undercut market prices and drive price hikes in the United States. In November 2025, CMS announced a voluntary initiative called the GENEROUS Model (GENErating cost Reductions fOr U.S. Medicaid Model) to introduce the option of </w:t>
      </w:r>
      <w:r>
        <w:rPr>
          <w:rFonts w:ascii="Times New Roman" w:cs="Times New Roman" w:eastAsia="Times New Roman" w:hAnsi="Times New Roman"/>
          <w:sz w:val="17"/>
          <w:szCs w:val="17"/>
          <w:i w:val="1"/>
          <w:iCs w:val="1"/>
          <w:color w:val="auto"/>
        </w:rPr>
        <w:t>most-favored-nation</w:t>
      </w:r>
      <w:r>
        <w:rPr>
          <w:rFonts w:ascii="Times New Roman" w:cs="Times New Roman" w:eastAsia="Times New Roman" w:hAnsi="Times New Roman"/>
          <w:sz w:val="17"/>
          <w:szCs w:val="17"/>
          <w:color w:val="auto"/>
        </w:rPr>
        <w:t xml:space="preserve"> pricing to the Medicaid program, whereby a drug manufacturer may voluntarily offer supplemental rebates to participating state Medicaid programs for a manufacturer’s covered outpatient drugs. Government agreements with pharmaceutical companies and other measures that use </w:t>
      </w:r>
      <w:r>
        <w:rPr>
          <w:rFonts w:ascii="Times New Roman" w:cs="Times New Roman" w:eastAsia="Times New Roman" w:hAnsi="Times New Roman"/>
          <w:sz w:val="17"/>
          <w:szCs w:val="17"/>
          <w:i w:val="1"/>
          <w:iCs w:val="1"/>
          <w:color w:val="auto"/>
        </w:rPr>
        <w:t>most-favored-nation</w:t>
      </w:r>
      <w:r>
        <w:rPr>
          <w:rFonts w:ascii="Times New Roman" w:cs="Times New Roman" w:eastAsia="Times New Roman" w:hAnsi="Times New Roman"/>
          <w:sz w:val="17"/>
          <w:szCs w:val="17"/>
          <w:color w:val="auto"/>
        </w:rPr>
        <w:t xml:space="preserve"> pricing targets for prescription drugs or that increase generic and biosimilar drug entry sooner than expected could have a material adverse effect on our industry, ability to set adequate pricing for new drugs to recover research and development costs, ability to attract potential investors and potential buyers in the future, or the pricing of products in the United States and in foreign countries. The impact of these and any future healthcare measures, executive orders, and agency rules implemented by the current administration on us and the pharmaceutical industry as a whole is unclear. The implementation of cost containment measures or other healthcare reforms may prevent us from being able to generate revenue, attain profitability, or commercialize our product candidates, if approved.</w:t>
      </w:r>
    </w:p>
    <w:p>
      <w:pPr>
        <w:spacing w:after="0" w:line="169" w:lineRule="exact"/>
        <w:rPr>
          <w:sz w:val="20"/>
          <w:szCs w:val="20"/>
          <w:color w:val="auto"/>
        </w:rPr>
      </w:pPr>
    </w:p>
    <w:p>
      <w:pPr>
        <w:ind w:left="40" w:right="59" w:firstLine="305"/>
        <w:spacing w:after="0" w:line="256" w:lineRule="auto"/>
        <w:rPr>
          <w:sz w:val="20"/>
          <w:szCs w:val="20"/>
          <w:color w:val="auto"/>
        </w:rPr>
      </w:pPr>
      <w:r>
        <w:rPr>
          <w:rFonts w:ascii="Times New Roman" w:cs="Times New Roman" w:eastAsia="Times New Roman" w:hAnsi="Times New Roman"/>
          <w:sz w:val="17"/>
          <w:szCs w:val="17"/>
          <w:color w:val="auto"/>
        </w:rPr>
        <w:t>Additionally, in the EU, the new clinical trial regulation came into force on January 31, 2022. This new legislation enforces the centralization of clinical trial applications (CTAs) and approvals, which eliminates redundancy, but in some cases, this may extend timelines for clinical study approvals, due to potentially longer review times. Austerity measures in certain European nations may also affect the prices we are able to seek if our products are approved. Both in the U.S. and in the EU, legislative and regulatory proposals have been made to expand post-approval requirements and restrict</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49" w:name="page50"/>
    <w:bookmarkEnd w:id="4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79"/>
        <w:spacing w:after="0" w:line="263" w:lineRule="auto"/>
        <w:rPr>
          <w:sz w:val="20"/>
          <w:szCs w:val="20"/>
          <w:color w:val="auto"/>
        </w:rPr>
      </w:pPr>
      <w:r>
        <w:rPr>
          <w:rFonts w:ascii="Times New Roman" w:cs="Times New Roman" w:eastAsia="Times New Roman" w:hAnsi="Times New Roman"/>
          <w:sz w:val="17"/>
          <w:szCs w:val="17"/>
          <w:color w:val="auto"/>
        </w:rPr>
        <w:t>sales and promotional activities for pharmaceutical and biopharmaceutical products. We do not know whether additional legislative changes will be enacted, whether the regulations, guidance or interpretations will be changed, or what the impact of such changes on the marketing approvals of our product candidates, if any, may be.</w:t>
      </w:r>
    </w:p>
    <w:p>
      <w:pPr>
        <w:spacing w:after="0" w:line="166" w:lineRule="exact"/>
        <w:rPr>
          <w:sz w:val="20"/>
          <w:szCs w:val="20"/>
          <w:color w:val="auto"/>
        </w:rPr>
      </w:pPr>
    </w:p>
    <w:p>
      <w:pPr>
        <w:jc w:val="both"/>
        <w:ind w:left="340" w:right="35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We could be subject to liabilities under environmental, health and safety laws or regulations, or fines, penalties or other sanctions, if we fail to comply with such laws or regulations or otherwise incur costs that could have a material adverse effect on the success of our business.</w:t>
      </w:r>
    </w:p>
    <w:p>
      <w:pPr>
        <w:spacing w:after="0" w:line="166" w:lineRule="exact"/>
        <w:rPr>
          <w:sz w:val="20"/>
          <w:szCs w:val="20"/>
          <w:color w:val="auto"/>
        </w:rPr>
      </w:pPr>
    </w:p>
    <w:p>
      <w:pPr>
        <w:ind w:left="40" w:right="139" w:firstLine="305"/>
        <w:spacing w:after="0" w:line="249" w:lineRule="auto"/>
        <w:rPr>
          <w:sz w:val="20"/>
          <w:szCs w:val="20"/>
          <w:color w:val="auto"/>
        </w:rPr>
      </w:pPr>
      <w:r>
        <w:rPr>
          <w:rFonts w:ascii="Times New Roman" w:cs="Times New Roman" w:eastAsia="Times New Roman" w:hAnsi="Times New Roman"/>
          <w:sz w:val="17"/>
          <w:szCs w:val="17"/>
          <w:color w:val="auto"/>
        </w:rPr>
        <w:t>We are subject to numerous environmental, health and safety laws, regulations, and permitting requirements, including those governing laboratory procedures, decontamination activities, and the handling, transportation, use, remediation, storage, treatment and disposal of hazardous materials, human substances and wastes. Our operations involve the use of hazardous and flammable materials, including chemicals and biological materials that produce hazardous waste products. We generally contract with third parties for the disposal of these materials and wastes. We cannot eliminate the risk of contamination or injury from these materials or wastes either at our sites or at third-party disposal sites. In the event of such contamination or injury,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human substances or other work-related injuries, this insurance may not provide adequate coverage against potential liabilities.</w:t>
      </w:r>
    </w:p>
    <w:p>
      <w:pPr>
        <w:spacing w:after="0" w:line="180" w:lineRule="exact"/>
        <w:rPr>
          <w:sz w:val="20"/>
          <w:szCs w:val="20"/>
          <w:color w:val="auto"/>
        </w:rPr>
      </w:pPr>
    </w:p>
    <w:p>
      <w:pPr>
        <w:ind w:left="40" w:right="79" w:firstLine="305"/>
        <w:spacing w:after="0" w:line="258" w:lineRule="auto"/>
        <w:rPr>
          <w:sz w:val="20"/>
          <w:szCs w:val="20"/>
          <w:color w:val="auto"/>
        </w:rPr>
      </w:pPr>
      <w:r>
        <w:rPr>
          <w:rFonts w:ascii="Times New Roman" w:cs="Times New Roman" w:eastAsia="Times New Roman" w:hAnsi="Times New Roman"/>
          <w:sz w:val="17"/>
          <w:szCs w:val="17"/>
          <w:color w:val="auto"/>
        </w:rPr>
        <w:t>In addition, we may incur substantial costs in order to comply with current or future environmental, health and safety laws, regulations or permitting requirements. Such laws, regulations and requirements are becoming increasingly more stringent and may impair our research, development or production efforts. Failure to comply with these laws, regulations and permitting requirements also may result in substantial fines, penalties or other sanctions.</w:t>
      </w:r>
    </w:p>
    <w:p>
      <w:pPr>
        <w:spacing w:after="0" w:line="171" w:lineRule="exact"/>
        <w:rPr>
          <w:sz w:val="20"/>
          <w:szCs w:val="20"/>
          <w:color w:val="auto"/>
        </w:rPr>
      </w:pPr>
    </w:p>
    <w:p>
      <w:pPr>
        <w:ind w:left="340" w:right="79"/>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Our relationships with clinical centers are, and potentials customers and payors will be, subject to applicable anti-kickback, fraud and abuse and other healthcare laws and regulations, which, if violated, could expose us to criminal sanctions, civil penalties, exclusion from government healthcare programs, contractual damages, reputational harm and diminished profits and future earnings.</w:t>
      </w:r>
    </w:p>
    <w:p>
      <w:pPr>
        <w:spacing w:after="0" w:line="176" w:lineRule="exact"/>
        <w:rPr>
          <w:sz w:val="20"/>
          <w:szCs w:val="20"/>
          <w:color w:val="auto"/>
        </w:rPr>
      </w:pPr>
    </w:p>
    <w:p>
      <w:pPr>
        <w:ind w:left="40" w:right="79" w:firstLine="305"/>
        <w:spacing w:after="0" w:line="256" w:lineRule="auto"/>
        <w:rPr>
          <w:sz w:val="20"/>
          <w:szCs w:val="20"/>
          <w:color w:val="auto"/>
        </w:rPr>
      </w:pPr>
      <w:r>
        <w:rPr>
          <w:rFonts w:ascii="Times New Roman" w:cs="Times New Roman" w:eastAsia="Times New Roman" w:hAnsi="Times New Roman"/>
          <w:sz w:val="17"/>
          <w:szCs w:val="17"/>
          <w:color w:val="auto"/>
        </w:rPr>
        <w:t>Healthcare providers, physicians and others play a primary role in the recommendation and prescription of any products for which we obtain marketing approval. Our future arrangements with third-party payors and customers may expose us to broadly applicable fraud and abuse and other healthcare laws and regulations, which constrain the business or financial arrangements and relationships through which we market, sell and distribute our products for which we obtain marketing approval. Restrictions under applicable healthcare laws and regulations include the following:</w:t>
      </w:r>
    </w:p>
    <w:p>
      <w:pPr>
        <w:spacing w:after="0" w:line="163" w:lineRule="exact"/>
        <w:rPr>
          <w:sz w:val="20"/>
          <w:szCs w:val="20"/>
          <w:color w:val="auto"/>
        </w:rPr>
      </w:pPr>
    </w:p>
    <w:p>
      <w:pPr>
        <w:ind w:left="680" w:right="79" w:hanging="305"/>
        <w:spacing w:after="0" w:line="258" w:lineRule="auto"/>
        <w:tabs>
          <w:tab w:leader="none" w:pos="6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U.S. government healthcare programs such as Medicare and Medicaid;</w:t>
      </w:r>
    </w:p>
    <w:p>
      <w:pPr>
        <w:spacing w:after="0" w:line="158" w:lineRule="exact"/>
        <w:rPr>
          <w:rFonts w:ascii="Times New Roman" w:cs="Times New Roman" w:eastAsia="Times New Roman" w:hAnsi="Times New Roman"/>
          <w:sz w:val="17"/>
          <w:szCs w:val="17"/>
          <w:color w:val="auto"/>
        </w:rPr>
      </w:pPr>
    </w:p>
    <w:p>
      <w:pPr>
        <w:ind w:left="680" w:right="219" w:hanging="305"/>
        <w:spacing w:after="0" w:line="260" w:lineRule="auto"/>
        <w:tabs>
          <w:tab w:leader="none" w:pos="6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U.S. False Claims Act imposes criminal and civil penalties, including civil whistleblower or </w:t>
      </w:r>
      <w:r>
        <w:rPr>
          <w:rFonts w:ascii="Times New Roman" w:cs="Times New Roman" w:eastAsia="Times New Roman" w:hAnsi="Times New Roman"/>
          <w:sz w:val="17"/>
          <w:szCs w:val="17"/>
          <w:i w:val="1"/>
          <w:iCs w:val="1"/>
          <w:color w:val="auto"/>
        </w:rPr>
        <w:t>qui tam</w:t>
      </w:r>
      <w:r>
        <w:rPr>
          <w:rFonts w:ascii="Times New Roman" w:cs="Times New Roman" w:eastAsia="Times New Roman" w:hAnsi="Times New Roman"/>
          <w:sz w:val="17"/>
          <w:szCs w:val="17"/>
          <w:color w:val="auto"/>
        </w:rPr>
        <w:t xml:space="preserve"> actions, against individuals or entities for knowingly presenting, or causing to be presented, to the U.S. government, claims for payment that are false or fraudulent or making a false statement to avoid, decrease or conceal an obligation to pay money to the federal government;</w:t>
      </w:r>
    </w:p>
    <w:p>
      <w:pPr>
        <w:spacing w:after="0" w:line="159" w:lineRule="exact"/>
        <w:rPr>
          <w:rFonts w:ascii="Times New Roman" w:cs="Times New Roman" w:eastAsia="Times New Roman" w:hAnsi="Times New Roman"/>
          <w:sz w:val="17"/>
          <w:szCs w:val="17"/>
          <w:color w:val="auto"/>
        </w:rPr>
      </w:pPr>
    </w:p>
    <w:p>
      <w:pPr>
        <w:ind w:left="680" w:right="179" w:hanging="305"/>
        <w:spacing w:after="0" w:line="277" w:lineRule="auto"/>
        <w:tabs>
          <w:tab w:leader="none" w:pos="6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HIPAA imposes criminal and civil liability for executing a scheme to defraud any healthcare benefit program or making false statements relating to healthcare matters;</w:t>
      </w:r>
    </w:p>
    <w:p>
      <w:pPr>
        <w:spacing w:after="0" w:line="157" w:lineRule="exact"/>
        <w:rPr>
          <w:rFonts w:ascii="Times New Roman" w:cs="Times New Roman" w:eastAsia="Times New Roman" w:hAnsi="Times New Roman"/>
          <w:sz w:val="17"/>
          <w:szCs w:val="17"/>
          <w:color w:val="auto"/>
        </w:rPr>
      </w:pPr>
    </w:p>
    <w:p>
      <w:pPr>
        <w:ind w:left="680" w:right="119" w:hanging="305"/>
        <w:spacing w:after="0" w:line="263" w:lineRule="auto"/>
        <w:tabs>
          <w:tab w:leader="none" w:pos="6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HIPAA, as amended by the Health Information Technology for Economic and Clinical Health Act, imposes obligations, including mandatory contractual terms, with respect to safeguarding the privacy, security and transmission of individually identifiable health information;</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50" w:name="page51"/>
    <w:bookmarkEnd w:id="5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80" w:right="159" w:hanging="305"/>
        <w:spacing w:after="0" w:line="258" w:lineRule="auto"/>
        <w:tabs>
          <w:tab w:leader="none" w:pos="68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transparency requirements under the Health Care Reform Law require manufacturers of drugs, devices, biologics and medical supplies to report to the U.S. Department of Health and Human Services information related to payments and other transfers of value made by such manufacturers to physicians and teaching hospitals, and ownership and investment interests held by physicians or their immediate family members; and</w:t>
      </w:r>
    </w:p>
    <w:p>
      <w:pPr>
        <w:spacing w:after="0" w:line="162" w:lineRule="exact"/>
        <w:rPr>
          <w:rFonts w:ascii="Times New Roman" w:cs="Times New Roman" w:eastAsia="Times New Roman" w:hAnsi="Times New Roman"/>
          <w:sz w:val="17"/>
          <w:szCs w:val="17"/>
          <w:color w:val="auto"/>
        </w:rPr>
      </w:pPr>
    </w:p>
    <w:p>
      <w:pPr>
        <w:ind w:left="680" w:right="79" w:hanging="305"/>
        <w:spacing w:after="0" w:line="254" w:lineRule="auto"/>
        <w:tabs>
          <w:tab w:leader="none" w:pos="68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analogous laws and regulations, such as state anti-kickback and false claims laws, will apply to sales or marketing arrangements, consultancy and service agreements, and claims involving healthcare items or services reimbursed by nongovernmental third-party payors, including private insurers, and some state laws require pharmaceutical and biopharmaceutical companies to comply with the pharmaceutical and biopharmaceutical industries’ voluntary compliance guidelines and the relevant compliance guidance promulgated by the federal government, in addition to requiring manufacturers to report information related to payments to physicians and other healthcare providers or marketing expenditures.</w:t>
      </w:r>
    </w:p>
    <w:p>
      <w:pPr>
        <w:spacing w:after="0" w:line="164" w:lineRule="exact"/>
        <w:rPr>
          <w:sz w:val="20"/>
          <w:szCs w:val="20"/>
          <w:color w:val="auto"/>
        </w:rPr>
      </w:pPr>
    </w:p>
    <w:p>
      <w:pPr>
        <w:ind w:left="40" w:right="79" w:firstLine="305"/>
        <w:spacing w:after="0" w:line="254" w:lineRule="auto"/>
        <w:rPr>
          <w:sz w:val="20"/>
          <w:szCs w:val="20"/>
          <w:color w:val="auto"/>
        </w:rPr>
      </w:pPr>
      <w:r>
        <w:rPr>
          <w:rFonts w:ascii="Times New Roman" w:cs="Times New Roman" w:eastAsia="Times New Roman" w:hAnsi="Times New Roman"/>
          <w:sz w:val="17"/>
          <w:szCs w:val="17"/>
          <w:color w:val="auto"/>
        </w:rPr>
        <w:t>Because of the breadth of these laws and the narrowness of the statutory exceptions and safe harbors available under the U.S. federal Anti-Kickback Statute, it is possible that some of our future business activities could be subject to challenge under one or more of such laws. In addition, recent healthcare-reform legislation has strengthened these laws. For example, the Health Care Reform Law, among other things, amends the intent requirement of the federal anti-kickback and criminal healthcare fraud statutes. A person or entity no longer needs to have actual knowledge of this statute or specific intent to violate it. Moreover, the Health Care Reform Law provides that the government may assert that a claim including items or services resulting from a violation of the federal anti-kickback statute constitutes a false or fraudulent claim for purposes of the False Claims Act.</w:t>
      </w:r>
    </w:p>
    <w:p>
      <w:pPr>
        <w:spacing w:after="0" w:line="164" w:lineRule="exact"/>
        <w:rPr>
          <w:sz w:val="20"/>
          <w:szCs w:val="20"/>
          <w:color w:val="auto"/>
        </w:rPr>
      </w:pPr>
    </w:p>
    <w:p>
      <w:pPr>
        <w:ind w:left="40" w:right="79" w:firstLine="305"/>
        <w:spacing w:after="0" w:line="250" w:lineRule="auto"/>
        <w:rPr>
          <w:sz w:val="20"/>
          <w:szCs w:val="20"/>
          <w:color w:val="auto"/>
        </w:rPr>
      </w:pPr>
      <w:r>
        <w:rPr>
          <w:rFonts w:ascii="Times New Roman" w:cs="Times New Roman" w:eastAsia="Times New Roman" w:hAnsi="Times New Roman"/>
          <w:sz w:val="17"/>
          <w:szCs w:val="17"/>
          <w:color w:val="auto"/>
        </w:rPr>
        <w:t>Jurisdictions outside of the U.S. have enacted laws and regulations defining the framework of business practices of pharmaceutical organizations in their interactions with government offices, medical institutions and healthcare professionals (HCP) in order to safeguard the independence of medical judgement and of prescription and purchasing decisions. These regulations typically prohibit illegitimate payments and other transfers of values to institutional players and HCPs and regulate the bases for their remuneration, such as for consultancy and other service arrangements, as well as the reimbursement of costs; in certain jurisdictions, regulations prescribe the disclosure of the existing relationships and/or the remunerations paid. In addition to government regulations, pharmaceutical industry associations, such as the European Federation of Pharmaceutical Industries and Associations (EFPIA), of which we have been a member since 2021, have enacted industry codes of conduct providing their own rules of compliance for their members’ interactions with government offices, medical institutions and HCPs.</w:t>
      </w:r>
    </w:p>
    <w:p>
      <w:pPr>
        <w:spacing w:after="0" w:line="185" w:lineRule="exact"/>
        <w:rPr>
          <w:sz w:val="20"/>
          <w:szCs w:val="20"/>
          <w:color w:val="auto"/>
        </w:rPr>
      </w:pPr>
    </w:p>
    <w:p>
      <w:pPr>
        <w:ind w:left="40" w:right="59" w:firstLine="305"/>
        <w:spacing w:after="0" w:line="250" w:lineRule="auto"/>
        <w:rPr>
          <w:sz w:val="20"/>
          <w:szCs w:val="20"/>
          <w:color w:val="auto"/>
        </w:rPr>
      </w:pPr>
      <w:r>
        <w:rPr>
          <w:rFonts w:ascii="Times New Roman" w:cs="Times New Roman" w:eastAsia="Times New Roman" w:hAnsi="Times New Roman"/>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U.S. government-funded healthcare programs, such as Medicare and Medicaid, other foreign healthcare reimbursement and procurement programs, and the curtailment or restructuring of our operations. If any of the physicians or other providers or entities with whom we expect to do business with is found to be not in compliance with applicable laws, they may be subject to criminal, civil or administrative sanctions, including exclusions from government-funded healthcare programs.</w:t>
      </w:r>
    </w:p>
    <w:p>
      <w:pPr>
        <w:spacing w:after="0" w:line="181" w:lineRule="exact"/>
        <w:rPr>
          <w:sz w:val="20"/>
          <w:szCs w:val="20"/>
          <w:color w:val="auto"/>
        </w:rPr>
      </w:pPr>
    </w:p>
    <w:p>
      <w:pPr>
        <w:ind w:left="340" w:right="21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154" w:lineRule="exact"/>
        <w:rPr>
          <w:sz w:val="20"/>
          <w:szCs w:val="20"/>
          <w:color w:val="auto"/>
        </w:rPr>
      </w:pPr>
    </w:p>
    <w:p>
      <w:pPr>
        <w:ind w:left="40" w:right="139" w:firstLine="305"/>
        <w:spacing w:after="0" w:line="251" w:lineRule="auto"/>
        <w:rPr>
          <w:sz w:val="20"/>
          <w:szCs w:val="20"/>
          <w:color w:val="auto"/>
        </w:rPr>
      </w:pPr>
      <w:r>
        <w:rPr>
          <w:rFonts w:ascii="Times New Roman" w:cs="Times New Roman" w:eastAsia="Times New Roman" w:hAnsi="Times New Roman"/>
          <w:sz w:val="17"/>
          <w:szCs w:val="17"/>
          <w:color w:val="auto"/>
        </w:rPr>
        <w:t>We cannot ensure that our compliance controls, policies, and procedures will in every instance protect us from acts committed by our employees, agents, contractors, collaborators, or other parties, which would violate the laws or regulations of the jurisdictions in which we operate, including, without limitation, healthcare, employment, foreign corrupt practices, environmental, health and safety competition, and patient privacy and other privacy laws and regulations. Such improper actions could subject us to civil or criminal investigations, and monetary and injunctive penalties, and could adversely impact our operating results, our ability to conduct business and our reputation.</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51" w:name="page52"/>
    <w:bookmarkEnd w:id="5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79" w:firstLine="305"/>
        <w:spacing w:after="0" w:line="250" w:lineRule="auto"/>
        <w:rPr>
          <w:sz w:val="20"/>
          <w:szCs w:val="20"/>
          <w:color w:val="auto"/>
        </w:rPr>
      </w:pPr>
      <w:r>
        <w:rPr>
          <w:rFonts w:ascii="Times New Roman" w:cs="Times New Roman" w:eastAsia="Times New Roman" w:hAnsi="Times New Roman"/>
          <w:sz w:val="17"/>
          <w:szCs w:val="17"/>
          <w:color w:val="auto"/>
        </w:rPr>
        <w:t>We are exposed to the risk of employee fraud or other misconduct. Misconduct by employees could include intentional failures to comply with FDA or EMA regulations, to provide accurate information to the FDA or the EMA, or intentional failures to report financial information or data accurately or to disclose unauthorized activities to us. Employee misconduct could also involve the improper use of information obtained in the course of clinical studies, which could result in regulatory sanctions and serious harm to our reputation. In October 2025, we amended our code of conduct,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81" w:lineRule="exact"/>
        <w:rPr>
          <w:sz w:val="20"/>
          <w:szCs w:val="20"/>
          <w:color w:val="auto"/>
        </w:rPr>
      </w:pPr>
    </w:p>
    <w:p>
      <w:pPr>
        <w:ind w:left="340" w:right="43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Our business activities may be subject to the Foreign Corrupt Practices Act (FCPA), and similar anti-bribery and anti-corruption laws.</w:t>
      </w:r>
    </w:p>
    <w:p>
      <w:pPr>
        <w:spacing w:after="0" w:line="154" w:lineRule="exact"/>
        <w:rPr>
          <w:sz w:val="20"/>
          <w:szCs w:val="20"/>
          <w:color w:val="auto"/>
        </w:rPr>
      </w:pPr>
    </w:p>
    <w:p>
      <w:pPr>
        <w:ind w:left="40" w:right="99" w:firstLine="305"/>
        <w:spacing w:after="0" w:line="248" w:lineRule="auto"/>
        <w:rPr>
          <w:sz w:val="20"/>
          <w:szCs w:val="20"/>
          <w:color w:val="auto"/>
        </w:rPr>
      </w:pPr>
      <w:r>
        <w:rPr>
          <w:rFonts w:ascii="Times New Roman" w:cs="Times New Roman" w:eastAsia="Times New Roman" w:hAnsi="Times New Roman"/>
          <w:sz w:val="17"/>
          <w:szCs w:val="17"/>
          <w:color w:val="auto"/>
        </w:rPr>
        <w:t>Our business activities may be subject to the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healthcare providers who prescribe pharmaceuticals or biopharmaceuticals and the investigators who perform our studies are employed by their government, and the purchasers of pharmaceuticals are government entities; therefore, our dealings with these decision makers are subject to regulation under the FCPA. The SEC and the Department of Justice have increased their FCPA enforcement activities with respect to pharmaceutical companies. There is no certainty that all of our employees, agents, contractors, collaborators, or other parties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Risks related to our common shares</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The price of our common shares is volatile and may fluctuate due to factors beyond our control.</w:t>
      </w:r>
    </w:p>
    <w:p>
      <w:pPr>
        <w:spacing w:after="0" w:line="215" w:lineRule="exact"/>
        <w:rPr>
          <w:sz w:val="20"/>
          <w:szCs w:val="20"/>
          <w:color w:val="auto"/>
        </w:rPr>
      </w:pPr>
    </w:p>
    <w:p>
      <w:pPr>
        <w:ind w:left="40" w:right="239" w:firstLine="305"/>
        <w:spacing w:after="0" w:line="263" w:lineRule="auto"/>
        <w:rPr>
          <w:sz w:val="20"/>
          <w:szCs w:val="20"/>
          <w:color w:val="auto"/>
        </w:rPr>
      </w:pPr>
      <w:r>
        <w:rPr>
          <w:rFonts w:ascii="Times New Roman" w:cs="Times New Roman" w:eastAsia="Times New Roman" w:hAnsi="Times New Roman"/>
          <w:sz w:val="17"/>
          <w:szCs w:val="17"/>
          <w:color w:val="auto"/>
        </w:rPr>
        <w:t>The share prices of publicly traded pharmaceutical, biopharmaceutical and drug discovery and development companies have been highly volatile and are likely to remain highly volatile in the future. The market price of our common shares may fluctuate significantly due to a variety of factors, including:</w:t>
      </w:r>
    </w:p>
    <w:p>
      <w:pPr>
        <w:spacing w:after="0" w:line="170" w:lineRule="exact"/>
        <w:rPr>
          <w:sz w:val="20"/>
          <w:szCs w:val="20"/>
          <w:color w:val="auto"/>
        </w:rPr>
      </w:pPr>
    </w:p>
    <w:p>
      <w:pPr>
        <w:ind w:left="680" w:hanging="305"/>
        <w:spacing w:after="0"/>
        <w:tabs>
          <w:tab w:leader="none" w:pos="6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positive or negative results of testing and clinical studies by us, strategic partners, or competitors;</w:t>
      </w:r>
    </w:p>
    <w:p>
      <w:pPr>
        <w:spacing w:after="0" w:line="210" w:lineRule="exact"/>
        <w:rPr>
          <w:rFonts w:ascii="Times New Roman" w:cs="Times New Roman" w:eastAsia="Times New Roman" w:hAnsi="Times New Roman"/>
          <w:sz w:val="17"/>
          <w:szCs w:val="17"/>
          <w:color w:val="auto"/>
        </w:rPr>
      </w:pPr>
    </w:p>
    <w:p>
      <w:pPr>
        <w:ind w:left="680" w:right="579" w:hanging="305"/>
        <w:spacing w:after="0" w:line="262" w:lineRule="auto"/>
        <w:tabs>
          <w:tab w:leader="none" w:pos="6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entering into strategic relationships with respect to development and/or commercialization of our product candidates or entry into strategic relationships on terms that are not deemed to be favorable to us;</w:t>
      </w:r>
    </w:p>
    <w:p>
      <w:pPr>
        <w:spacing w:after="0" w:line="182" w:lineRule="exact"/>
        <w:rPr>
          <w:rFonts w:ascii="Times New Roman" w:cs="Times New Roman" w:eastAsia="Times New Roman" w:hAnsi="Times New Roman"/>
          <w:sz w:val="17"/>
          <w:szCs w:val="17"/>
          <w:color w:val="auto"/>
        </w:rPr>
      </w:pPr>
    </w:p>
    <w:p>
      <w:pPr>
        <w:ind w:left="680" w:right="519" w:hanging="305"/>
        <w:spacing w:after="0" w:line="255" w:lineRule="auto"/>
        <w:tabs>
          <w:tab w:leader="none" w:pos="6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sentiment of retail investors, including the perception of our clinical trial results by such retail investors, which investors may be subject to the influence of information provided by social media, third party investor websites and independent authors distributing information on the internet;</w:t>
      </w:r>
    </w:p>
    <w:p>
      <w:pPr>
        <w:spacing w:after="0" w:line="189"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technological innovations or commercial product introductions by us or our collaboration partners or competitors;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329565</wp:posOffset>
            </wp:positionV>
            <wp:extent cx="5657850" cy="241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52" w:name="page53"/>
    <w:bookmarkEnd w:id="5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80" w:hanging="305"/>
        <w:spacing w:after="0"/>
        <w:tabs>
          <w:tab w:leader="none" w:pos="6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government regulations;</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concerning proprietary rights, including patents and litigation matters;</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concern relating to the commercial value or safety of any of our product candidates;</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financing or other corporate transactions;</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publication of research reports or comments by securities or industry analysts or key opinion leaders;</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market conditions in the pharmaceutical or biopharmaceutical industry or in the economy as a whole; or</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events and factors beyond our control.</w:t>
      </w:r>
    </w:p>
    <w:p>
      <w:pPr>
        <w:spacing w:after="0" w:line="211" w:lineRule="exact"/>
        <w:rPr>
          <w:sz w:val="20"/>
          <w:szCs w:val="20"/>
          <w:color w:val="auto"/>
        </w:rPr>
      </w:pPr>
    </w:p>
    <w:p>
      <w:pPr>
        <w:ind w:left="40" w:right="199" w:firstLine="305"/>
        <w:spacing w:after="0" w:line="250" w:lineRule="auto"/>
        <w:rPr>
          <w:sz w:val="20"/>
          <w:szCs w:val="20"/>
          <w:color w:val="auto"/>
        </w:rPr>
      </w:pPr>
      <w:r>
        <w:rPr>
          <w:rFonts w:ascii="Times New Roman" w:cs="Times New Roman" w:eastAsia="Times New Roman" w:hAnsi="Times New Roman"/>
          <w:sz w:val="17"/>
          <w:szCs w:val="17"/>
          <w:color w:val="auto"/>
        </w:rPr>
        <w:t>Broad market and industry factors may materially affect the market price of companies’ stock, including ours, regardless of actual operating performance. Furthermore, issuers such as ourselves, whose securities have historically had limited trading volumes and/or have been susceptible to relatively high volatility levels, can be particularly vulnerable to short-seller attacks and trading in our common shares by non-fundamental investors such as hedge funds and others who may enter and exit positions in our common shares frequently and suddenly, causing increased volatility of our share price. Short selling is the practice of selling securities that the seller does not own but rather has borrowed or intends to borrow from a third party with the intention of buying identical securities at a later date to return to the lender, and profit from a decline in the value of the securities in the process. The publication of any commentary by short sellers with the intent of creating negative market momentum may bring about a temporary, or possibly long-term, decline in the market price of our common shares.</w:t>
      </w:r>
    </w:p>
    <w:p>
      <w:pPr>
        <w:spacing w:after="0" w:line="181" w:lineRule="exact"/>
        <w:rPr>
          <w:sz w:val="20"/>
          <w:szCs w:val="20"/>
          <w:color w:val="auto"/>
        </w:rPr>
      </w:pPr>
    </w:p>
    <w:p>
      <w:pPr>
        <w:ind w:left="340" w:right="13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There is only a limited free float of our common shares; this may have a negative impact on the liquidity of and the market price for our common shares.</w:t>
      </w:r>
    </w:p>
    <w:p>
      <w:pPr>
        <w:spacing w:after="0" w:line="154" w:lineRule="exact"/>
        <w:rPr>
          <w:sz w:val="20"/>
          <w:szCs w:val="20"/>
          <w:color w:val="auto"/>
        </w:rPr>
      </w:pPr>
    </w:p>
    <w:p>
      <w:pPr>
        <w:ind w:left="40" w:right="339" w:firstLine="305"/>
        <w:spacing w:after="0" w:line="253" w:lineRule="auto"/>
        <w:rPr>
          <w:sz w:val="20"/>
          <w:szCs w:val="20"/>
          <w:color w:val="auto"/>
        </w:rPr>
      </w:pPr>
      <w:r>
        <w:rPr>
          <w:rFonts w:ascii="Times New Roman" w:cs="Times New Roman" w:eastAsia="Times New Roman" w:hAnsi="Times New Roman"/>
          <w:sz w:val="17"/>
          <w:szCs w:val="17"/>
          <w:color w:val="auto"/>
        </w:rPr>
        <w:t>As of the date hereof, certain principal shareholders controlling 5% or more of our common shares as well as our executive officers and directors together beneficially own approximately 59.3% of our common shares. The limited free float may have a negative impact on the liquidity of our common shares and result in a low trading volume of our common shares, which could adversely affect the price of our common shares.</w:t>
      </w:r>
    </w:p>
    <w:p>
      <w:pPr>
        <w:spacing w:after="0" w:line="174" w:lineRule="exact"/>
        <w:rPr>
          <w:sz w:val="20"/>
          <w:szCs w:val="20"/>
          <w:color w:val="auto"/>
        </w:rPr>
      </w:pPr>
    </w:p>
    <w:p>
      <w:pPr>
        <w:ind w:left="340" w:right="19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Certain of our existing shareholders exercise significant control over us, and your interests may conflict with the interests of such shareholders.</w:t>
      </w:r>
    </w:p>
    <w:p>
      <w:pPr>
        <w:spacing w:after="0" w:line="154" w:lineRule="exact"/>
        <w:rPr>
          <w:sz w:val="20"/>
          <w:szCs w:val="20"/>
          <w:color w:val="auto"/>
        </w:rPr>
      </w:pPr>
    </w:p>
    <w:p>
      <w:pPr>
        <w:ind w:left="40" w:right="119" w:firstLine="305"/>
        <w:spacing w:after="0" w:line="251" w:lineRule="auto"/>
        <w:rPr>
          <w:sz w:val="20"/>
          <w:szCs w:val="20"/>
          <w:color w:val="auto"/>
        </w:rPr>
      </w:pPr>
      <w:r>
        <w:rPr>
          <w:rFonts w:ascii="Times New Roman" w:cs="Times New Roman" w:eastAsia="Times New Roman" w:hAnsi="Times New Roman"/>
          <w:sz w:val="17"/>
          <w:szCs w:val="17"/>
          <w:color w:val="auto"/>
        </w:rPr>
        <w:t>Certain principal shareholders as well as our executive officers and directors together beneficially own approximately 59.3% of our common shares. Depending on the level of attendance at our general meetings of shareholders, these shareholders may be in a position to determine the outcome of decisions taken at any such general meeting. To the extent that the interests of these shareholders may differ from the interests of the Company’s other shareholders, the latter may be disadvantaged by any action that these shareholders may seek to pursue. Among other consequences, this concentration of ownership may have the effect of delaying or preventing a change in control and might therefore negatively affect the market price of our common shares.</w:t>
      </w:r>
    </w:p>
    <w:p>
      <w:pPr>
        <w:spacing w:after="0" w:line="178" w:lineRule="exact"/>
        <w:rPr>
          <w:sz w:val="20"/>
          <w:szCs w:val="20"/>
          <w:color w:val="auto"/>
        </w:rPr>
      </w:pPr>
    </w:p>
    <w:p>
      <w:pPr>
        <w:ind w:left="340" w:right="35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Future sales, or the possibility of future sales, of a substantial number of our common shares could adversely affect the price of our common shares.</w:t>
      </w:r>
    </w:p>
    <w:p>
      <w:pPr>
        <w:spacing w:after="0" w:line="154" w:lineRule="exact"/>
        <w:rPr>
          <w:sz w:val="20"/>
          <w:szCs w:val="20"/>
          <w:color w:val="auto"/>
        </w:rPr>
      </w:pPr>
    </w:p>
    <w:p>
      <w:pPr>
        <w:ind w:left="40" w:right="119" w:firstLine="305"/>
        <w:spacing w:after="0" w:line="251" w:lineRule="auto"/>
        <w:rPr>
          <w:sz w:val="20"/>
          <w:szCs w:val="20"/>
          <w:color w:val="auto"/>
        </w:rPr>
      </w:pPr>
      <w:r>
        <w:rPr>
          <w:rFonts w:ascii="Times New Roman" w:cs="Times New Roman" w:eastAsia="Times New Roman" w:hAnsi="Times New Roman"/>
          <w:sz w:val="17"/>
          <w:szCs w:val="17"/>
          <w:color w:val="auto"/>
        </w:rPr>
        <w:t>Future sales of a substantial number of our common shares, or the perception that such sales will occur, could cause a decline in the market price of our common shares. If certain of our shareholders sell substantial amounts of common shares in the public market, or the market perceives that such sales may occur, the market price of our common shares and our ability to raise capital through an issue of equity securities in the future could be adversely affected. In 2019, we adopted a new omnibus equity incentive plan under which we have the discretion to grant a broad range of equity-based awards to eligible participants. These shares were registered pursuant to the registration statement on Form S-8 that we</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53" w:name="page54"/>
    <w:bookmarkEnd w:id="5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40" w:right="99"/>
        <w:spacing w:after="0" w:line="263" w:lineRule="auto"/>
        <w:rPr>
          <w:sz w:val="20"/>
          <w:szCs w:val="20"/>
          <w:color w:val="auto"/>
        </w:rPr>
      </w:pPr>
      <w:r>
        <w:rPr>
          <w:rFonts w:ascii="Times New Roman" w:cs="Times New Roman" w:eastAsia="Times New Roman" w:hAnsi="Times New Roman"/>
          <w:sz w:val="17"/>
          <w:szCs w:val="17"/>
          <w:color w:val="auto"/>
        </w:rPr>
        <w:t>filed with the SEC and, therefore, can be freely sold in the public market upon issuance, subject to volume limitations applicable to affiliates. If a large number of our common shares are sold in the public market after they become eligible for sale, the sales could reduce the trading price of our common shares and impede our ability to raise future capital.</w:t>
      </w:r>
    </w:p>
    <w:p>
      <w:pPr>
        <w:spacing w:after="0" w:line="166" w:lineRule="exact"/>
        <w:rPr>
          <w:sz w:val="20"/>
          <w:szCs w:val="20"/>
          <w:color w:val="auto"/>
        </w:rPr>
      </w:pPr>
    </w:p>
    <w:p>
      <w:pPr>
        <w:ind w:left="340" w:right="29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have broad discretion in the use of our cash and cash equivalents and short-term financial assets (liquidity) and may not use them effectively.</w:t>
      </w:r>
    </w:p>
    <w:p>
      <w:pPr>
        <w:spacing w:after="0" w:line="154" w:lineRule="exact"/>
        <w:rPr>
          <w:sz w:val="20"/>
          <w:szCs w:val="20"/>
          <w:color w:val="auto"/>
        </w:rPr>
      </w:pPr>
    </w:p>
    <w:p>
      <w:pPr>
        <w:ind w:left="40" w:right="99" w:firstLine="305"/>
        <w:spacing w:after="0" w:line="266" w:lineRule="auto"/>
        <w:rPr>
          <w:sz w:val="20"/>
          <w:szCs w:val="20"/>
          <w:color w:val="auto"/>
        </w:rPr>
      </w:pPr>
      <w:r>
        <w:rPr>
          <w:rFonts w:ascii="Times New Roman" w:cs="Times New Roman" w:eastAsia="Times New Roman" w:hAnsi="Times New Roman"/>
          <w:sz w:val="16"/>
          <w:szCs w:val="16"/>
          <w:color w:val="auto"/>
        </w:rPr>
        <w:t>Our management has broad discretion in the application of our cash and cash equivalents and short-term financial assets. Our or our collaboration partners’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If we make incorrect determinations regarding the viability or market potential of any of our programs or product candidates or misread trends in the pharmaceutical or biopharmaceutical industry, in particular for neurodegenerative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We do not expect to pay dividends in the foreseeable future.</w:t>
      </w:r>
    </w:p>
    <w:p>
      <w:pPr>
        <w:spacing w:after="0" w:line="215" w:lineRule="exact"/>
        <w:rPr>
          <w:sz w:val="20"/>
          <w:szCs w:val="20"/>
          <w:color w:val="auto"/>
        </w:rPr>
      </w:pPr>
    </w:p>
    <w:p>
      <w:pPr>
        <w:ind w:left="40" w:right="99" w:firstLine="305"/>
        <w:spacing w:after="0" w:line="250" w:lineRule="auto"/>
        <w:rPr>
          <w:sz w:val="20"/>
          <w:szCs w:val="20"/>
          <w:color w:val="auto"/>
        </w:rPr>
      </w:pPr>
      <w:r>
        <w:rPr>
          <w:rFonts w:ascii="Times New Roman" w:cs="Times New Roman" w:eastAsia="Times New Roman" w:hAnsi="Times New Roman"/>
          <w:sz w:val="17"/>
          <w:szCs w:val="17"/>
          <w:color w:val="auto"/>
        </w:rPr>
        <w:t>We have not paid any dividends since our incorporation. Even if future operations lead to significant levels of distributable profits, we currently intend that any earnings will be reinvested in our business and that dividends will not be paid until we have an established revenue stream to support continuing dividends. Based on Swiss law and our articles of association, the declaration of dividends requires a resolution passed by a simple majority of the votes cast at a shareholders’ meeting regardless of abstentions and empty or invalid votes. The proposal to pay future dividends to shareholders will in addition effectively be at the discretion of our board of directors after considering various factors including our business prospects, liquidity requirements, financial performance and new product development. In addition, payment of future dividends is subject to certain limitations pursuant to Swiss law or by our articles of association compliance with which must be confirmed by our auditors. Accordingly, investors cannot rely on dividend income from our common shares and any returns on an investment in our common shares will likely depend entirely upon any future appreciation in the price of our common shares.</w:t>
      </w:r>
    </w:p>
    <w:p>
      <w:pPr>
        <w:spacing w:after="0" w:line="143" w:lineRule="exact"/>
        <w:rPr>
          <w:sz w:val="20"/>
          <w:szCs w:val="20"/>
          <w:color w:val="auto"/>
        </w:rPr>
      </w:pPr>
    </w:p>
    <w:p>
      <w:pPr>
        <w:ind w:left="340" w:right="19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are a Swiss corporation. The rights of our shareholders may be different from the rights of shareholders in companies governed by the laws of U.S. jurisdictions.</w:t>
      </w:r>
    </w:p>
    <w:p>
      <w:pPr>
        <w:spacing w:after="0" w:line="154" w:lineRule="exact"/>
        <w:rPr>
          <w:sz w:val="20"/>
          <w:szCs w:val="20"/>
          <w:color w:val="auto"/>
        </w:rPr>
      </w:pPr>
    </w:p>
    <w:p>
      <w:pPr>
        <w:ind w:left="40" w:right="79" w:firstLine="305"/>
        <w:spacing w:after="0" w:line="249" w:lineRule="auto"/>
        <w:rPr>
          <w:sz w:val="20"/>
          <w:szCs w:val="20"/>
          <w:color w:val="auto"/>
        </w:rPr>
      </w:pPr>
      <w:r>
        <w:rPr>
          <w:rFonts w:ascii="Times New Roman" w:cs="Times New Roman" w:eastAsia="Times New Roman" w:hAnsi="Times New Roman"/>
          <w:sz w:val="17"/>
          <w:szCs w:val="17"/>
          <w:color w:val="auto"/>
        </w:rPr>
        <w:t>We are a Swiss corporation. Our corporate affairs are governed by our articles of association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U.S. jurisdictions. In the performance of its duties, our board of directors is required by Swiss law to consider the interests of our Company first, then of our shareholders, our employees and other stakeholders, in all cases, with due observation of their fiduciary duties of care and loyalty. It is possible that some of these parties will have interests that are different from, or in addition to, your interests as a shareholder. Swiss corporate law limits the ability of our shareholders to challenge resolutions made or other actions taken by our board of directors in court. Our shareholders generally are not permitted to file a suit to reverse a decision or an action taken by our board of directors but are instead only permitted to seek damages for breaches of their fiduciary duties by the directors. As a matter of Swiss law, shareholder claims against a member of our board of directors for breach of fiduciary duty would have to be brought in Lausanne, Switzerland, or the country in which the relevant member of our board of directors is domiciled. In addition, under Swiss law, any claims by our shareholders against us must be in principle brought exclusively in Lausanne, Switzerland (except for certain U.S. securities and other claims that may be brought in U.S. federal court).</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54" w:name="page55"/>
    <w:bookmarkEnd w:id="5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right="5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Our common shares are issued under the laws of Switzerland, which may not protect investors in a similar fashion afforded by incorporation in a U.S. state.</w:t>
      </w:r>
    </w:p>
    <w:p>
      <w:pPr>
        <w:spacing w:after="0" w:line="154" w:lineRule="exact"/>
        <w:rPr>
          <w:sz w:val="20"/>
          <w:szCs w:val="20"/>
          <w:color w:val="auto"/>
        </w:rPr>
      </w:pPr>
    </w:p>
    <w:p>
      <w:pPr>
        <w:ind w:left="40" w:right="99" w:firstLine="305"/>
        <w:spacing w:after="0" w:line="263" w:lineRule="auto"/>
        <w:rPr>
          <w:sz w:val="20"/>
          <w:szCs w:val="20"/>
          <w:color w:val="auto"/>
        </w:rPr>
      </w:pPr>
      <w:r>
        <w:rPr>
          <w:rFonts w:ascii="Times New Roman" w:cs="Times New Roman" w:eastAsia="Times New Roman" w:hAnsi="Times New Roman"/>
          <w:sz w:val="17"/>
          <w:szCs w:val="17"/>
          <w:color w:val="auto"/>
        </w:rPr>
        <w:t>We are organized under the laws of Switzerland. There can be no assurance that Swiss law will not change in the future in a way detrimental to shareholders or that it will serve to protect investors in a similar fashion afforded under corporate law principles in the U.S., which could adversely affect the rights of investors.</w:t>
      </w:r>
    </w:p>
    <w:p>
      <w:pPr>
        <w:spacing w:after="0" w:line="166" w:lineRule="exact"/>
        <w:rPr>
          <w:sz w:val="20"/>
          <w:szCs w:val="20"/>
          <w:color w:val="auto"/>
        </w:rPr>
      </w:pPr>
    </w:p>
    <w:p>
      <w:pPr>
        <w:ind w:left="340" w:right="25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Our status as a Swiss corporation may limit our flexibility with respect to certain aspects of capital management and may cause us to be unable to make distributions without subjecting our shareholders to Swiss withholding tax.</w:t>
      </w:r>
    </w:p>
    <w:p>
      <w:pPr>
        <w:spacing w:after="0" w:line="141" w:lineRule="exact"/>
        <w:rPr>
          <w:sz w:val="20"/>
          <w:szCs w:val="20"/>
          <w:color w:val="auto"/>
        </w:rPr>
      </w:pPr>
    </w:p>
    <w:p>
      <w:pPr>
        <w:ind w:left="40" w:right="59" w:firstLine="305"/>
        <w:spacing w:after="0" w:line="256" w:lineRule="auto"/>
        <w:rPr>
          <w:sz w:val="20"/>
          <w:szCs w:val="20"/>
          <w:color w:val="auto"/>
        </w:rPr>
      </w:pPr>
      <w:r>
        <w:rPr>
          <w:rFonts w:ascii="Times New Roman" w:cs="Times New Roman" w:eastAsia="Times New Roman" w:hAnsi="Times New Roman"/>
          <w:sz w:val="17"/>
          <w:szCs w:val="17"/>
          <w:color w:val="auto"/>
        </w:rPr>
        <w:t>Under Swiss law, the Company can introduce the capital band pursuant to Article 653s et seq. of the Swiss Code of Obligations which requires an amendment of the Articles of Association by way of a resolution of a duly convened general meeting of shareholders of the Company. Under the capital band mechanism, the general meeting of shareholders can authorize the board of directors at any time within a maximum term of five years to increase or decrease the share capital by a maximum amount of 50% of the current share capital.</w:t>
      </w:r>
    </w:p>
    <w:p>
      <w:pPr>
        <w:spacing w:after="0" w:line="138" w:lineRule="exact"/>
        <w:rPr>
          <w:sz w:val="20"/>
          <w:szCs w:val="20"/>
          <w:color w:val="auto"/>
        </w:rPr>
      </w:pPr>
    </w:p>
    <w:p>
      <w:pPr>
        <w:ind w:left="40" w:right="79" w:firstLine="305"/>
        <w:spacing w:after="0" w:line="251" w:lineRule="auto"/>
        <w:rPr>
          <w:sz w:val="20"/>
          <w:szCs w:val="20"/>
          <w:color w:val="auto"/>
        </w:rPr>
      </w:pPr>
      <w:r>
        <w:rPr>
          <w:rFonts w:ascii="Times New Roman" w:cs="Times New Roman" w:eastAsia="Times New Roman" w:hAnsi="Times New Roman"/>
          <w:sz w:val="17"/>
          <w:szCs w:val="17"/>
          <w:color w:val="auto"/>
        </w:rPr>
        <w:t>Additionally, as a principle, Swiss law grants pre-emptive subscription rights to existing shareholders to subscribe to any new issuance of shares. Any common share capital increase resolution preserving pre-emptive subscription rights expires after 6 months and requires a simple majority of the votes cast at the shareholder’s meeting regardless of abstentions and empty or invalid votes. Swiss law also does not provide as much flexibility in the various terms that can attach to different classes of shares as do the laws of some other jurisdictions. Swiss law also reserves for approval by shareholders certain corporate actions over which a board of directors would have authority in some other jurisdictions. For example, dividends must be approved by shareholders. These Swiss law requirements relating to our capital management may limit our flexibility, and situations may arise in which greater flexibility would have provided substantial benefits to our shareholders.</w:t>
      </w:r>
    </w:p>
    <w:p>
      <w:pPr>
        <w:spacing w:after="0" w:line="141" w:lineRule="exact"/>
        <w:rPr>
          <w:sz w:val="20"/>
          <w:szCs w:val="20"/>
          <w:color w:val="auto"/>
        </w:rPr>
      </w:pPr>
    </w:p>
    <w:p>
      <w:pPr>
        <w:ind w:left="40" w:right="79" w:firstLine="305"/>
        <w:spacing w:after="0" w:line="250" w:lineRule="auto"/>
        <w:rPr>
          <w:sz w:val="20"/>
          <w:szCs w:val="20"/>
          <w:color w:val="auto"/>
        </w:rPr>
      </w:pPr>
      <w:r>
        <w:rPr>
          <w:rFonts w:ascii="Times New Roman" w:cs="Times New Roman" w:eastAsia="Times New Roman" w:hAnsi="Times New Roman"/>
          <w:sz w:val="17"/>
          <w:szCs w:val="17"/>
          <w:color w:val="auto"/>
        </w:rPr>
        <w:t>Under Swiss law, a Swiss corporation may pay dividends only if the corporation has sufficient distributable profits from previous fiscal years, or if the corporation has distributable reserves, each as evidenced by its audited statutory balance sheet. Freely distributable reserves are generally booked either as “free reserves” or as “capital contributions” (</w:t>
      </w:r>
      <w:r>
        <w:rPr>
          <w:rFonts w:ascii="Times New Roman" w:cs="Times New Roman" w:eastAsia="Times New Roman" w:hAnsi="Times New Roman"/>
          <w:sz w:val="17"/>
          <w:szCs w:val="17"/>
          <w:i w:val="1"/>
          <w:iCs w:val="1"/>
          <w:color w:val="auto"/>
        </w:rPr>
        <w:t>apports de capital</w:t>
      </w:r>
      <w:r>
        <w:rPr>
          <w:rFonts w:ascii="Times New Roman" w:cs="Times New Roman" w:eastAsia="Times New Roman" w:hAnsi="Times New Roman"/>
          <w:sz w:val="17"/>
          <w:szCs w:val="17"/>
          <w:color w:val="auto"/>
        </w:rPr>
        <w:t>, contributions received from shareholders) in the “reserve from capital contributions.” Distributions may be made out of issued share capital—the aggregate nominal value of a company’s issued shares—only by way of a capital reduction. The Articles of Association currently do not contain any capital band. To the extent the Company introduces the capital band in 2026, only net proceeds from capital increase using the capital band (less certain expenses and net of repayments from the Company) will be recognized as reserves from capital contributions at the end of validity period of the respective capital band. As of December 31, 2025, the Company has CHF 476.5 million of reserves from capital contributions confirmed by the Swiss Federal Tax Administration and CHF 2,202,019 of issued share capital (consisting of 110,100,925 common shares each with a nominal value of CHF 0.02 and no preferred shares) on its audited statutory balance sheet. Of the total issued shares and issued share capital, the Company holds 10,899,773 fully paid-in treasury shares representing CHF 217,995 of issued share capital.</w:t>
      </w:r>
    </w:p>
    <w:p>
      <w:pPr>
        <w:spacing w:after="0" w:line="184" w:lineRule="exact"/>
        <w:rPr>
          <w:sz w:val="20"/>
          <w:szCs w:val="20"/>
          <w:color w:val="auto"/>
        </w:rPr>
      </w:pPr>
    </w:p>
    <w:p>
      <w:pPr>
        <w:ind w:left="40" w:right="179" w:firstLine="305"/>
        <w:spacing w:after="0" w:line="249" w:lineRule="auto"/>
        <w:rPr>
          <w:sz w:val="20"/>
          <w:szCs w:val="20"/>
          <w:color w:val="auto"/>
        </w:rPr>
      </w:pPr>
      <w:r>
        <w:rPr>
          <w:rFonts w:ascii="Times New Roman" w:cs="Times New Roman" w:eastAsia="Times New Roman" w:hAnsi="Times New Roman"/>
          <w:sz w:val="17"/>
          <w:szCs w:val="17"/>
          <w:color w:val="auto"/>
        </w:rPr>
        <w:t>Generally, Swiss withholding tax of 35% is due on dividends and similar distributions to our shareholders, regardless of the place of residency of the shareholder, unless the distribution is made to shareholders out of (i) a reduction of nominal value or (ii) assuming certain conditions are met, reserves from capital contributions accumulated on or after January 1, 1997. We expect the aggregate of the reserves from capital contributions confirmed by the Swiss Federal Tax Administration and share capital, less the total losses brought forward (to the extent set off against reserves from capital contributions or share capital), less the treasury shares (to the extent booked against reserves from capital contributions), less the lowest legally possible issued share capital and legal reserve to represent the maximum amount potentially available for future dividends or capital reductions on a Swiss withholding tax-free basis. We would also be able to pay dividends out of distributable profits or freely distributable reserves but such dividends would be subject to Swiss withholding taxes. There can be no assurance that we will have sufficient distributable profits, free reserves, reserves from capital contributions or registered share capital to pay a dividend or effect a capital reduction, that our shareholders will approve dividends or capital reductions proposed by us, or that we will be able to meet the other legal requirements for dividend payments or distributions as a result of capital reductions.</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55" w:name="page56"/>
    <w:bookmarkEnd w:id="5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59" w:firstLine="305"/>
        <w:spacing w:after="0" w:line="250" w:lineRule="auto"/>
        <w:rPr>
          <w:sz w:val="20"/>
          <w:szCs w:val="20"/>
          <w:color w:val="auto"/>
        </w:rPr>
      </w:pPr>
      <w:r>
        <w:rPr>
          <w:rFonts w:ascii="Times New Roman" w:cs="Times New Roman" w:eastAsia="Times New Roman" w:hAnsi="Times New Roman"/>
          <w:sz w:val="17"/>
          <w:szCs w:val="17"/>
          <w:color w:val="auto"/>
        </w:rPr>
        <w:t>A U.S. investor who qualifies for benefits under the Convention Between the United States of America and the Swiss Confederation for the Avoidance of Double Taxation with Respect to Taxes on Income, which we refer to as the “U.S.-Swiss Treaty,” may apply for a refund of the tax withheld in excess of the 15% treaty rate (or in excess of the 5% reduced treaty rate for qualifying corporate shareholders with at least 10% participation in our voting stock, or for a full refund in the case of qualified pension funds). There can be no assurance that we will have sufficient reserves from capital contributions to pay dividends free from Swiss withholding tax, or that Swiss withholding tax rules will not be changed in the future. In addition, we cannot provide assurance that the current Swiss law with respect to distributions out of reserves from capital contributions will not be changed or that a change in Swiss law will not adversely affect us or our shareholders, in particular as a result of distributions out of reserves from capital contributions becoming subject to additional corporate law or other restrictions. If we are unable to make a distribution through a reduction in nominal value or out of confirmed reserves from capital contributions, we will not be able to make distributions without subjecting our shareholders to Swiss withholding taxes.</w:t>
      </w:r>
    </w:p>
    <w:p>
      <w:pPr>
        <w:spacing w:after="0" w:line="142" w:lineRule="exact"/>
        <w:rPr>
          <w:sz w:val="20"/>
          <w:szCs w:val="20"/>
          <w:color w:val="auto"/>
        </w:rPr>
      </w:pPr>
    </w:p>
    <w:p>
      <w:pPr>
        <w:ind w:left="340" w:right="39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U.S. shareholders may not be able to obtain judgments or enforce civil liabilities against us or our executive officers or members of our board of directors.</w:t>
      </w:r>
    </w:p>
    <w:p>
      <w:pPr>
        <w:spacing w:after="0" w:line="154" w:lineRule="exact"/>
        <w:rPr>
          <w:sz w:val="20"/>
          <w:szCs w:val="20"/>
          <w:color w:val="auto"/>
        </w:rPr>
      </w:pPr>
    </w:p>
    <w:p>
      <w:pPr>
        <w:ind w:left="40" w:right="139" w:firstLine="305"/>
        <w:spacing w:after="0" w:line="249" w:lineRule="auto"/>
        <w:rPr>
          <w:sz w:val="20"/>
          <w:szCs w:val="20"/>
          <w:color w:val="auto"/>
        </w:rPr>
      </w:pPr>
      <w:r>
        <w:rPr>
          <w:rFonts w:ascii="Times New Roman" w:cs="Times New Roman" w:eastAsia="Times New Roman" w:hAnsi="Times New Roman"/>
          <w:sz w:val="17"/>
          <w:szCs w:val="17"/>
          <w:color w:val="auto"/>
        </w:rPr>
        <w:t>We are organized under the laws of Switzerland and our registered office and domicile is located in Ecublens, near Lausanne, Canton of Vaud, Switzerland. Moreover, a number of our directors and executive officers are not residents of the U.S., and all or a substantial portion of the assets of such persons are located outside the U.S. As a result, it may not be possible for investors to effect service of process within the U.S. upon us or upon such persons or to enforce against them judgments obtained in U.S. courts, including judgments in actions predicated upon the civil liability provisions of the federal securities laws of the U.S. We have been advised by our Swiss counsel that there is doubt as to the enforceability in Switzerland of original actions, or of actions for enforcement of judgments of U.S. courts, for civil liabilities to the extent solely predicated upon the federal and state securities laws of the U.S. Original actions against persons in Switzerland based solely upon the U.S. federal or state securities laws are governed, among other things, by the principles set forth in the Swiss Federal Act on Private International Law. This statute provides that the application of provisions of non-Swiss law by the courts in Switzerland shall be precluded if the result is incompatible with Swiss public policy. Additionally, certain mandatory provisions of Swiss law may be applicable regardless of any other law that would otherwise apply.</w:t>
      </w:r>
    </w:p>
    <w:p>
      <w:pPr>
        <w:spacing w:after="0" w:line="155" w:lineRule="exact"/>
        <w:rPr>
          <w:sz w:val="20"/>
          <w:szCs w:val="20"/>
          <w:color w:val="auto"/>
        </w:rPr>
      </w:pPr>
    </w:p>
    <w:p>
      <w:pPr>
        <w:ind w:left="40" w:right="219" w:firstLine="305"/>
        <w:spacing w:after="0" w:line="253" w:lineRule="auto"/>
        <w:rPr>
          <w:sz w:val="20"/>
          <w:szCs w:val="20"/>
          <w:color w:val="auto"/>
        </w:rPr>
      </w:pPr>
      <w:r>
        <w:rPr>
          <w:rFonts w:ascii="Times New Roman" w:cs="Times New Roman" w:eastAsia="Times New Roman" w:hAnsi="Times New Roman"/>
          <w:sz w:val="17"/>
          <w:szCs w:val="17"/>
          <w:color w:val="auto"/>
        </w:rPr>
        <w:t>Switzerland and the U.S. do not have a treaty providing for reciprocal recognition and enforcement of judgments in civil and commercial matters. The recognition and enforcement of a judgment of the courts of the U.S. in Switzerland is governed by the principles set forth in the Swiss Federal Act on Private International Law. This statute provides in principle that a judgment rendered by a non-Swiss court may be enforced in Switzerland only if:</w:t>
      </w:r>
    </w:p>
    <w:p>
      <w:pPr>
        <w:spacing w:after="0" w:line="178" w:lineRule="exact"/>
        <w:rPr>
          <w:sz w:val="20"/>
          <w:szCs w:val="20"/>
          <w:color w:val="auto"/>
        </w:rPr>
      </w:pPr>
    </w:p>
    <w:p>
      <w:pPr>
        <w:ind w:left="680" w:hanging="305"/>
        <w:spacing w:after="0"/>
        <w:tabs>
          <w:tab w:leader="none" w:pos="6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non-Swiss court had jurisdiction pursuant to the Swiss Federal Act on Private International Law;</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judgment of such non-Swiss court has become final and non-appealable;</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judgment does not contravene Swiss public policy;</w:t>
      </w:r>
    </w:p>
    <w:p>
      <w:pPr>
        <w:spacing w:after="0" w:line="210" w:lineRule="exact"/>
        <w:rPr>
          <w:rFonts w:ascii="Times New Roman" w:cs="Times New Roman" w:eastAsia="Times New Roman" w:hAnsi="Times New Roman"/>
          <w:sz w:val="17"/>
          <w:szCs w:val="17"/>
          <w:color w:val="auto"/>
        </w:rPr>
      </w:pPr>
    </w:p>
    <w:p>
      <w:pPr>
        <w:ind w:left="680" w:right="339" w:hanging="305"/>
        <w:spacing w:after="0" w:line="277" w:lineRule="auto"/>
        <w:tabs>
          <w:tab w:leader="none" w:pos="6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court procedures and the service of documents leading to the judgment were in accordance with the due process of law; and</w:t>
      </w:r>
    </w:p>
    <w:p>
      <w:pPr>
        <w:spacing w:after="0" w:line="157" w:lineRule="exact"/>
        <w:rPr>
          <w:rFonts w:ascii="Times New Roman" w:cs="Times New Roman" w:eastAsia="Times New Roman" w:hAnsi="Times New Roman"/>
          <w:sz w:val="17"/>
          <w:szCs w:val="17"/>
          <w:color w:val="auto"/>
        </w:rPr>
      </w:pPr>
    </w:p>
    <w:p>
      <w:pPr>
        <w:ind w:left="680" w:right="199" w:hanging="305"/>
        <w:spacing w:after="0" w:line="277" w:lineRule="auto"/>
        <w:tabs>
          <w:tab w:leader="none" w:pos="6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proceeding involving the same parties and the same subject matter was first brought in Switzerland, or adjudicated in Switzerland, or was earlier adjudicated in a third state for which the decision is recognizable in Switzerland.</w:t>
      </w:r>
    </w:p>
    <w:p>
      <w:pPr>
        <w:spacing w:after="0" w:line="154" w:lineRule="exact"/>
        <w:rPr>
          <w:sz w:val="20"/>
          <w:szCs w:val="20"/>
          <w:color w:val="auto"/>
        </w:rPr>
      </w:pPr>
    </w:p>
    <w:p>
      <w:pPr>
        <w:ind w:left="340" w:right="33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Our status as a Swiss corporation means that our shareholders enjoy certain rights that may limit our flexibility to raise capital, issue dividends and otherwise manage ongoing capital needs.</w:t>
      </w:r>
    </w:p>
    <w:p>
      <w:pPr>
        <w:spacing w:after="0" w:line="154" w:lineRule="exact"/>
        <w:rPr>
          <w:sz w:val="20"/>
          <w:szCs w:val="20"/>
          <w:color w:val="auto"/>
        </w:rPr>
      </w:pPr>
    </w:p>
    <w:p>
      <w:pPr>
        <w:ind w:left="40" w:right="59" w:firstLine="305"/>
        <w:spacing w:after="0" w:line="255" w:lineRule="auto"/>
        <w:rPr>
          <w:sz w:val="20"/>
          <w:szCs w:val="20"/>
          <w:color w:val="auto"/>
        </w:rPr>
      </w:pPr>
      <w:r>
        <w:rPr>
          <w:rFonts w:ascii="Times New Roman" w:cs="Times New Roman" w:eastAsia="Times New Roman" w:hAnsi="Times New Roman"/>
          <w:sz w:val="17"/>
          <w:szCs w:val="17"/>
          <w:color w:val="auto"/>
        </w:rPr>
        <w:t>Swiss law reserves for approval by shareholders certain corporate actions over which a board of directors would have authority in some other jurisdictions. For example, the payment of dividends and cancellation of treasury shares must be approved by shareholders. Swiss law also requires that our shareholders themselves resolve, or authorize our</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56" w:name="page57"/>
    <w:bookmarkEnd w:id="5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7"/>
          <w:szCs w:val="17"/>
          <w:color w:val="auto"/>
        </w:rPr>
        <w:t>board of directors, to increase our share capital. The Company can only introduce the capital band pursuant to Article 653s et seq. of the Swiss Code of Obligations which requires an amendment of the Articles of Association by way of a resolution of a duly convened general meeting of shareholders of the Company. Such capital band would authorize the board of directors to increase or decrease the share capital without additional shareholder approval. Swiss law limits this authorization to a maximum of 50% of the issued share capital at the time of the authorization. The authorization, furthermore, has a limited duration of up to five years and must be renewed by the shareholders from time to time thereafter. The Company does not yet provide such capital band.</w:t>
      </w:r>
    </w:p>
    <w:p>
      <w:pPr>
        <w:spacing w:after="0" w:line="137" w:lineRule="exact"/>
        <w:rPr>
          <w:sz w:val="20"/>
          <w:szCs w:val="20"/>
          <w:color w:val="auto"/>
        </w:rPr>
      </w:pPr>
    </w:p>
    <w:p>
      <w:pPr>
        <w:ind w:left="40" w:right="99" w:firstLine="305"/>
        <w:spacing w:after="0" w:line="252" w:lineRule="auto"/>
        <w:rPr>
          <w:sz w:val="20"/>
          <w:szCs w:val="20"/>
          <w:color w:val="auto"/>
        </w:rPr>
      </w:pPr>
      <w:r>
        <w:rPr>
          <w:rFonts w:ascii="Times New Roman" w:cs="Times New Roman" w:eastAsia="Times New Roman" w:hAnsi="Times New Roman"/>
          <w:sz w:val="17"/>
          <w:szCs w:val="17"/>
          <w:color w:val="auto"/>
        </w:rPr>
        <w:t>Additionally, subject to specified exceptions, including exceptions explicitly described in our articles of association, Swiss law grants pre-emptive subscription rights to existing shareholders to subscribe for new issuances of shares. Swiss law also does not provide as much flexibility in the various rights and regulations that can attach to different categories of shares as do the laws of some other jurisdictions. These Swiss law requirements relating to our capital management may limit our flexibility, and situations may arise where greater flexibility would have provided benefits to our shareholders.</w:t>
      </w:r>
    </w:p>
    <w:p>
      <w:pPr>
        <w:spacing w:after="0" w:line="1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Swiss law restricts our ability to pay dividends.</w:t>
      </w:r>
    </w:p>
    <w:p>
      <w:pPr>
        <w:spacing w:after="0" w:line="202" w:lineRule="exact"/>
        <w:rPr>
          <w:sz w:val="20"/>
          <w:szCs w:val="20"/>
          <w:color w:val="auto"/>
        </w:rPr>
      </w:pPr>
    </w:p>
    <w:p>
      <w:pPr>
        <w:ind w:left="40" w:right="879" w:firstLine="305"/>
        <w:spacing w:after="0" w:line="277" w:lineRule="auto"/>
        <w:rPr>
          <w:sz w:val="20"/>
          <w:szCs w:val="20"/>
          <w:color w:val="auto"/>
        </w:rPr>
      </w:pPr>
      <w:r>
        <w:rPr>
          <w:rFonts w:ascii="Times New Roman" w:cs="Times New Roman" w:eastAsia="Times New Roman" w:hAnsi="Times New Roman"/>
          <w:sz w:val="17"/>
          <w:szCs w:val="17"/>
          <w:color w:val="auto"/>
        </w:rPr>
        <w:t>See “Item 10. Additional information—E. Taxation—Swiss tax considerations” for a summary of certain Swiss tax consequences regarding dividends distributed to holders of our common shares.</w:t>
      </w:r>
    </w:p>
    <w:p>
      <w:pPr>
        <w:spacing w:after="0" w:line="154" w:lineRule="exact"/>
        <w:rPr>
          <w:sz w:val="20"/>
          <w:szCs w:val="20"/>
          <w:color w:val="auto"/>
        </w:rPr>
      </w:pPr>
    </w:p>
    <w:p>
      <w:pPr>
        <w:ind w:left="340" w:right="51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Shareholders in countries with a currency other than the Swiss Franc face additional investment risks from currency exchange rate fluctuations in connection with their holding of our common shares.</w:t>
      </w:r>
    </w:p>
    <w:p>
      <w:pPr>
        <w:spacing w:after="0" w:line="154" w:lineRule="exact"/>
        <w:rPr>
          <w:sz w:val="20"/>
          <w:szCs w:val="20"/>
          <w:color w:val="auto"/>
        </w:rPr>
      </w:pPr>
    </w:p>
    <w:p>
      <w:pPr>
        <w:ind w:left="40" w:right="159" w:firstLine="305"/>
        <w:spacing w:after="0" w:line="263" w:lineRule="auto"/>
        <w:rPr>
          <w:sz w:val="20"/>
          <w:szCs w:val="20"/>
          <w:color w:val="auto"/>
        </w:rPr>
      </w:pPr>
      <w:r>
        <w:rPr>
          <w:rFonts w:ascii="Times New Roman" w:cs="Times New Roman" w:eastAsia="Times New Roman" w:hAnsi="Times New Roman"/>
          <w:sz w:val="17"/>
          <w:szCs w:val="17"/>
          <w:color w:val="auto"/>
        </w:rPr>
        <w:t>Any future payments of dividends, if any, will likely be denominated in Swiss Francs. The foreign currency equivalent of any dividend, if any, paid on our common shares or received in connection with any sale of our common shares could be adversely affected by the depreciation of the Swiss Franc against such other currency.</w:t>
      </w:r>
    </w:p>
    <w:p>
      <w:pPr>
        <w:spacing w:after="0" w:line="153" w:lineRule="exact"/>
        <w:rPr>
          <w:sz w:val="20"/>
          <w:szCs w:val="20"/>
          <w:color w:val="auto"/>
        </w:rPr>
      </w:pPr>
    </w:p>
    <w:p>
      <w:pPr>
        <w:ind w:left="340" w:right="79"/>
        <w:spacing w:after="0" w:line="315" w:lineRule="auto"/>
        <w:rPr>
          <w:sz w:val="20"/>
          <w:szCs w:val="20"/>
          <w:color w:val="auto"/>
        </w:rPr>
      </w:pPr>
      <w:r>
        <w:rPr>
          <w:rFonts w:ascii="Times New Roman" w:cs="Times New Roman" w:eastAsia="Times New Roman" w:hAnsi="Times New Roman"/>
          <w:sz w:val="16"/>
          <w:szCs w:val="16"/>
          <w:b w:val="1"/>
          <w:bCs w:val="1"/>
          <w:i w:val="1"/>
          <w:iCs w:val="1"/>
          <w:color w:val="auto"/>
        </w:rPr>
        <w:t>We are a foreign private issuer and, as a result, we are not subject to U.S. proxy rules and are subject to Exchange Act reporting obligations that, to some extent, are more lenient and less frequent than those of a U.S. domestic public company.</w:t>
      </w:r>
    </w:p>
    <w:p>
      <w:pPr>
        <w:spacing w:after="0" w:line="130" w:lineRule="exact"/>
        <w:rPr>
          <w:sz w:val="20"/>
          <w:szCs w:val="20"/>
          <w:color w:val="auto"/>
        </w:rPr>
      </w:pPr>
    </w:p>
    <w:p>
      <w:pPr>
        <w:ind w:left="40" w:right="59" w:firstLine="305"/>
        <w:spacing w:after="0" w:line="250" w:lineRule="auto"/>
        <w:rPr>
          <w:sz w:val="20"/>
          <w:szCs w:val="20"/>
          <w:color w:val="auto"/>
        </w:rPr>
      </w:pPr>
      <w:r>
        <w:rPr>
          <w:rFonts w:ascii="Times New Roman" w:cs="Times New Roman" w:eastAsia="Times New Roman" w:hAnsi="Times New Roman"/>
          <w:sz w:val="17"/>
          <w:szCs w:val="17"/>
          <w:color w:val="auto"/>
        </w:rPr>
        <w:t>We are reporting under the Exchange Act as a non-U.S. company with foreign private issuer status. Because we qualify as a foreign private issuer under the Exchange Act and although we are subject to Swiss laws and regulations with regard to such matters and intend to furnish quarterly financial information to the SEC,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and (ii) the rules under the Exchange Act requiring the filing with the SEC of quarterly reports on Form 10-Q containing unaudited financial and other specified information, or of current reports on Form 8-K, upon the occurrence of specified significant events. In addition, foreign private issuers are not required to file their annual report on Form 20-F until 4 months after the end of each financial year, whereas U.S. domestic issuers have filing deadlines for their annual report of 60, 75, or 90 days depending on their filer status.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67" w:lineRule="exact"/>
        <w:rPr>
          <w:sz w:val="20"/>
          <w:szCs w:val="20"/>
          <w:color w:val="auto"/>
        </w:rPr>
      </w:pPr>
    </w:p>
    <w:p>
      <w:pPr>
        <w:ind w:left="340" w:right="65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As a foreign private issuer and as permitted by the listing requirements of Nasdaq, we rely on certain home country governance practices rather than the corporate governance requirements of Nasdaq.</w:t>
      </w:r>
    </w:p>
    <w:p>
      <w:pPr>
        <w:spacing w:after="0" w:line="154" w:lineRule="exact"/>
        <w:rPr>
          <w:sz w:val="20"/>
          <w:szCs w:val="20"/>
          <w:color w:val="auto"/>
        </w:rPr>
      </w:pPr>
    </w:p>
    <w:p>
      <w:pPr>
        <w:ind w:left="40" w:right="99" w:firstLine="305"/>
        <w:spacing w:after="0" w:line="256" w:lineRule="auto"/>
        <w:rPr>
          <w:sz w:val="20"/>
          <w:szCs w:val="20"/>
          <w:color w:val="auto"/>
        </w:rPr>
      </w:pPr>
      <w:r>
        <w:rPr>
          <w:rFonts w:ascii="Times New Roman" w:cs="Times New Roman" w:eastAsia="Times New Roman" w:hAnsi="Times New Roman"/>
          <w:sz w:val="17"/>
          <w:szCs w:val="17"/>
          <w:color w:val="auto"/>
        </w:rPr>
        <w:t>We are a foreign private issuer. As a result, in accordance with Nasdaq Listing Rule 5615(a)(3), we comply with home country (in this case, Swiss) governance requirements and certain exemptions thereunder rather than complying with certain of the corporate governance requirements of Nasdaq. Swiss law does not require that a majority of our board of directors consist of independent directors. Our board of directors therefore may include fewer independent directors than would be required if we were subject to Nasdaq Listing Rule 5605(b)(1). In addition, we are not subject to Nasdaq</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57" w:name="page58"/>
    <w:bookmarkEnd w:id="5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259"/>
        <w:spacing w:after="0" w:line="277" w:lineRule="auto"/>
        <w:rPr>
          <w:sz w:val="20"/>
          <w:szCs w:val="20"/>
          <w:color w:val="auto"/>
        </w:rPr>
      </w:pPr>
      <w:r>
        <w:rPr>
          <w:rFonts w:ascii="Times New Roman" w:cs="Times New Roman" w:eastAsia="Times New Roman" w:hAnsi="Times New Roman"/>
          <w:sz w:val="17"/>
          <w:szCs w:val="17"/>
          <w:color w:val="auto"/>
        </w:rPr>
        <w:t>Listing Rule 5605(b)(2), which requires that independent directors regularly have scheduled meetings at which only independent directors are present.</w:t>
      </w:r>
    </w:p>
    <w:p>
      <w:pPr>
        <w:spacing w:after="0" w:line="133" w:lineRule="exact"/>
        <w:rPr>
          <w:sz w:val="20"/>
          <w:szCs w:val="20"/>
          <w:color w:val="auto"/>
        </w:rPr>
      </w:pPr>
    </w:p>
    <w:p>
      <w:pPr>
        <w:ind w:left="40" w:right="139" w:firstLine="305"/>
        <w:spacing w:after="0" w:line="251" w:lineRule="auto"/>
        <w:rPr>
          <w:sz w:val="20"/>
          <w:szCs w:val="20"/>
          <w:color w:val="auto"/>
        </w:rPr>
      </w:pPr>
      <w:r>
        <w:rPr>
          <w:rFonts w:ascii="Times New Roman" w:cs="Times New Roman" w:eastAsia="Times New Roman" w:hAnsi="Times New Roman"/>
          <w:sz w:val="17"/>
          <w:szCs w:val="17"/>
          <w:color w:val="auto"/>
        </w:rPr>
        <w:t>The independence of the members of the audit and finance committee is determined by home country regulations and the conditions of Section 10B of the Securities Exchange Act, excluding any Nasdaq Listing Rules. Section 10B of the Securities Exchange Act also prescribes qualification requirements for the audit and finance committee. Although Swiss law requires that we elect a compensation committee, we follow home country requirements with respect to such committee and our compensation, nomination and corporate governance committee is tasked with certain director nomination and governance responsibilities. As a result, our practice varies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5605I.</w:t>
      </w:r>
    </w:p>
    <w:p>
      <w:pPr>
        <w:spacing w:after="0" w:line="141" w:lineRule="exact"/>
        <w:rPr>
          <w:sz w:val="20"/>
          <w:szCs w:val="20"/>
          <w:color w:val="auto"/>
        </w:rPr>
      </w:pPr>
    </w:p>
    <w:p>
      <w:pPr>
        <w:ind w:left="40" w:right="219" w:firstLine="305"/>
        <w:spacing w:after="0" w:line="249" w:lineRule="auto"/>
        <w:rPr>
          <w:sz w:val="20"/>
          <w:szCs w:val="20"/>
          <w:color w:val="auto"/>
        </w:rPr>
      </w:pPr>
      <w:r>
        <w:rPr>
          <w:rFonts w:ascii="Times New Roman" w:cs="Times New Roman" w:eastAsia="Times New Roman" w:hAnsi="Times New Roman"/>
          <w:sz w:val="17"/>
          <w:szCs w:val="17"/>
          <w:color w:val="auto"/>
        </w:rPr>
        <w:t>Furthermore, 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 Our articles of association provide for an independent proxy holder elected by our shareholders, who may represent our shareholders at a general meeting of shareholders, and we must provide shareholders with an agenda and other relevant documents for the general meeting of shareholders. Our practice varies from the requirement of Nasdaq Listing Rule 5620(b), which sets forth certain requirements regarding the solicitation of proxies. In addition, 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requirements of Nasdaq Listing Rule 5635, which generally requires an issuer to obtain shareholder approval for the issuance of securities in connection with such events.</w:t>
      </w:r>
    </w:p>
    <w:p>
      <w:pPr>
        <w:spacing w:after="0" w:line="143" w:lineRule="exact"/>
        <w:rPr>
          <w:sz w:val="20"/>
          <w:szCs w:val="20"/>
          <w:color w:val="auto"/>
        </w:rPr>
      </w:pPr>
    </w:p>
    <w:p>
      <w:pPr>
        <w:ind w:left="40" w:right="159" w:firstLine="305"/>
        <w:spacing w:after="0" w:line="277" w:lineRule="auto"/>
        <w:rPr>
          <w:sz w:val="20"/>
          <w:szCs w:val="20"/>
          <w:color w:val="auto"/>
        </w:rPr>
      </w:pPr>
      <w:r>
        <w:rPr>
          <w:rFonts w:ascii="Times New Roman" w:cs="Times New Roman" w:eastAsia="Times New Roman" w:hAnsi="Times New Roman"/>
          <w:sz w:val="17"/>
          <w:szCs w:val="17"/>
          <w:color w:val="auto"/>
        </w:rPr>
        <w:t>For an overview of our corporate governance principles, see “Item 16G. Corporate governance.” As a result of the above, you may not have the same protections afforded to shareholders of companies that are not foreign private issuers.</w:t>
      </w:r>
    </w:p>
    <w:p>
      <w:pPr>
        <w:spacing w:after="0" w:line="154" w:lineRule="exact"/>
        <w:rPr>
          <w:sz w:val="20"/>
          <w:szCs w:val="20"/>
          <w:color w:val="auto"/>
        </w:rPr>
      </w:pPr>
    </w:p>
    <w:p>
      <w:pPr>
        <w:ind w:left="340" w:right="35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154" w:lineRule="exact"/>
        <w:rPr>
          <w:sz w:val="20"/>
          <w:szCs w:val="20"/>
          <w:color w:val="auto"/>
        </w:rPr>
      </w:pPr>
    </w:p>
    <w:p>
      <w:pPr>
        <w:ind w:left="40" w:right="59" w:firstLine="305"/>
        <w:spacing w:after="0" w:line="264" w:lineRule="auto"/>
        <w:rPr>
          <w:sz w:val="20"/>
          <w:szCs w:val="20"/>
          <w:color w:val="auto"/>
        </w:rPr>
      </w:pPr>
      <w:r>
        <w:rPr>
          <w:rFonts w:ascii="Times New Roman" w:cs="Times New Roman" w:eastAsia="Times New Roman" w:hAnsi="Times New Roman"/>
          <w:sz w:val="16"/>
          <w:szCs w:val="16"/>
          <w:color w:val="auto"/>
        </w:rPr>
        <w:t>We are a foreign private issuer and therefore we are not required to comply with all of the periodic disclosure and current reporting requirements of the Exchange Act applicable to U.S. domestic issuers. We may no longer be a foreign private issuer as of June 30, 2026 (or the end of our second fiscal quarter in any subsequent fiscal year), which would require us to comply with all of the periodic disclosure and current reporting requirements of the Exchange Act applicable to U.S. domestic issuers as of January 1, 2027 (or the first day of the fiscal year immediately succeeding the end of such second quarter). In order to maintain our current status as a foreign private issuer, either (a) a majority of our common shares must be either directly or indirectly owned of record by non-residents of the U.S. or (b) (i) a majority of our executive officers or directors may not be U.S. citizens or residents, (ii) more than 50 percent of our assets cannot be located in the U.S. and (iii) our business must be administered principally outside the U.S. If we lost this status,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stock exchange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58" w:name="page59"/>
    <w:bookmarkEnd w:id="5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340" w:right="37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166" w:lineRule="exact"/>
        <w:rPr>
          <w:sz w:val="20"/>
          <w:szCs w:val="20"/>
          <w:color w:val="auto"/>
        </w:rPr>
      </w:pPr>
    </w:p>
    <w:p>
      <w:pPr>
        <w:ind w:left="40" w:right="179" w:firstLine="305"/>
        <w:spacing w:after="0" w:line="251"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controls over financial reporting. Effective internal controls over financial reporting are necessary for us to provide reliable financial reports and, together with adequate disclosure controls and procedures, are designed to prevent fraud, among other objectives. Any failure to implement any required new or improved controls, or difficulties encountered in their implementation could cause us to fail to meet our reporting obligations. In addition, any testing by us conducted in connection with Section 404 of the Sarbanes-Oxley Act of 2002, or any testing by our independent registered public accounting firm, may reveal deficiencies in our internal controls over financial reporting, which are deemed to be material weaknesses or that may require prospective or retroactive changes to our consolidated financial statements or identify other areas for further attention or improvement.</w:t>
      </w:r>
    </w:p>
    <w:p>
      <w:pPr>
        <w:spacing w:after="0" w:line="141" w:lineRule="exact"/>
        <w:rPr>
          <w:sz w:val="20"/>
          <w:szCs w:val="20"/>
          <w:color w:val="auto"/>
        </w:rPr>
      </w:pPr>
    </w:p>
    <w:p>
      <w:pPr>
        <w:ind w:left="40" w:right="79" w:firstLine="305"/>
        <w:spacing w:after="0" w:line="250" w:lineRule="auto"/>
        <w:rPr>
          <w:sz w:val="20"/>
          <w:szCs w:val="20"/>
          <w:color w:val="auto"/>
        </w:rPr>
      </w:pPr>
      <w:r>
        <w:rPr>
          <w:rFonts w:ascii="Times New Roman" w:cs="Times New Roman" w:eastAsia="Times New Roman" w:hAnsi="Times New Roman"/>
          <w:sz w:val="17"/>
          <w:szCs w:val="17"/>
          <w:color w:val="auto"/>
        </w:rPr>
        <w:t>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common shares could decline, and we could be subject to sanctions or investigations by the SEC or other regulatory authorities, which would require additional financial and management resources. Furthermore, investor perceptions of our company may suffer if deficiencies are found, and this could cause a decline in the market price of our common shares.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 over financial reporting from our independent registered public accounting firm.</w:t>
      </w:r>
    </w:p>
    <w:p>
      <w:pPr>
        <w:spacing w:after="0" w:line="143" w:lineRule="exact"/>
        <w:rPr>
          <w:sz w:val="20"/>
          <w:szCs w:val="20"/>
          <w:color w:val="auto"/>
        </w:rPr>
      </w:pPr>
    </w:p>
    <w:p>
      <w:pPr>
        <w:ind w:left="340" w:right="67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research, or publish inaccurate or unfavorable research, about our business, the price of our common shares and our trading volume could decline.</w:t>
      </w:r>
    </w:p>
    <w:p>
      <w:pPr>
        <w:spacing w:after="0" w:line="154" w:lineRule="exact"/>
        <w:rPr>
          <w:sz w:val="20"/>
          <w:szCs w:val="20"/>
          <w:color w:val="auto"/>
        </w:rPr>
      </w:pPr>
    </w:p>
    <w:p>
      <w:pPr>
        <w:ind w:left="40" w:right="239" w:firstLine="305"/>
        <w:spacing w:after="0" w:line="251" w:lineRule="auto"/>
        <w:rPr>
          <w:sz w:val="20"/>
          <w:szCs w:val="20"/>
          <w:color w:val="auto"/>
        </w:rPr>
      </w:pPr>
      <w:r>
        <w:rPr>
          <w:rFonts w:ascii="Times New Roman" w:cs="Times New Roman" w:eastAsia="Times New Roman" w:hAnsi="Times New Roman"/>
          <w:sz w:val="17"/>
          <w:szCs w:val="17"/>
          <w:color w:val="auto"/>
        </w:rPr>
        <w:t>The trading market for our common shares will depend in part on the research and reports that securities or industry analysts publish about us or our business. If no or too few securities or industry analysts cover our company, the trading price for our common shares would likely be negatively affected. In addition, if one or more of the analysts who cover us downgrade our common shares or publish inaccurate or unfavorable research about our business, the price of our common shares would likely decline. If one or more of these analysts cease coverage of our company or fail to publish reports on us regularly, demand for our common shares could decrease, which might cause the price of our common shares and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59" w:name="page60"/>
    <w:bookmarkEnd w:id="5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 w:right="119"/>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We were likely a passive foreign investment company (a “PFIC”) for certain of our previous taxable years. Although we believe we were likely not a PFIC for 2025, there can be no assurance that the Internal Revenue Service will agree. We cannot express any expectation regarding our PFIC status for 2026 or future taxable years. If we are a PFIC for any taxable year during which a U.S. investor owns our common shares, the investor generally will be subject to adverse U.S. federal income tax consequences.</w:t>
      </w:r>
    </w:p>
    <w:p>
      <w:pPr>
        <w:spacing w:after="0" w:line="138" w:lineRule="exact"/>
        <w:rPr>
          <w:sz w:val="20"/>
          <w:szCs w:val="20"/>
          <w:color w:val="auto"/>
        </w:rPr>
      </w:pPr>
    </w:p>
    <w:p>
      <w:pPr>
        <w:ind w:left="40" w:right="79" w:firstLine="305"/>
        <w:spacing w:after="0" w:line="250" w:lineRule="auto"/>
        <w:rPr>
          <w:sz w:val="20"/>
          <w:szCs w:val="20"/>
          <w:color w:val="auto"/>
        </w:rPr>
      </w:pPr>
      <w:r>
        <w:rPr>
          <w:rFonts w:ascii="Times New Roman" w:cs="Times New Roman" w:eastAsia="Times New Roman" w:hAnsi="Times New Roman"/>
          <w:sz w:val="17"/>
          <w:szCs w:val="17"/>
          <w:color w:val="auto"/>
        </w:rPr>
        <w:t>Under the Internal Revenue Code of 1986, as amended (the “Code”), we will be a PFIC for any taxable year in which, after the application of certain look-through rules with respect to subsidiaries, either (i) 75% or more of our gross income consists of passive income (the “income test”) or (ii) 50% or more of the average value of our assets (generally determined on a quarterly basis) consists of assets that produce, or are held for the production of, passive income (the “asset test”). Passive income generally includes dividends, interest, certain non-active rents and royalties, and gains from financial investments. Cash is generally a passive asset. Goodwill and other intangible assets (the value of which may be determined by reference to the excess of the sum of a corporation’s market capitalization and liabilities over the value of its assets) are generally active assets to the extent attributable to business activities that produce active income. For purposes of the above calculations, we will generally be treated as if we hold our proportionate share of the assets of, and directly receive our proportionate share of the income of, any other corporation in which we directly or indirectly own at least 25% of the shares of such corporation by value.</w:t>
      </w:r>
    </w:p>
    <w:p>
      <w:pPr>
        <w:spacing w:after="0" w:line="147" w:lineRule="exact"/>
        <w:rPr>
          <w:sz w:val="20"/>
          <w:szCs w:val="20"/>
          <w:color w:val="auto"/>
        </w:rPr>
      </w:pPr>
    </w:p>
    <w:p>
      <w:pPr>
        <w:ind w:left="40" w:right="99" w:firstLine="305"/>
        <w:spacing w:after="0" w:line="250" w:lineRule="auto"/>
        <w:rPr>
          <w:sz w:val="20"/>
          <w:szCs w:val="20"/>
          <w:color w:val="auto"/>
        </w:rPr>
      </w:pPr>
      <w:r>
        <w:rPr>
          <w:rFonts w:ascii="Times New Roman" w:cs="Times New Roman" w:eastAsia="Times New Roman" w:hAnsi="Times New Roman"/>
          <w:sz w:val="17"/>
          <w:szCs w:val="17"/>
          <w:color w:val="auto"/>
        </w:rPr>
        <w:t>Although the application of the income test to a company like us (whose overall losses from research and development activities significantly exceed its gross income) is not entirely clear, we will be a PFIC for any taxable year under the income test if 75% or more of our gross income (as determined for U.S. federal income tax purposes) for such year consists of interest and other passive income. Prior to the commercialization and sales of any of our product candidates, our gross income may consist primarily of upfront or milestone payments and grants (which we believe are likely to be treated as active income) and interest (which is passive income). The receipt of upfront payments is non-recurring in nature, and the receipt of grants or milestone payments is subject to various conditions. Therefore, there can be no assurance as to the amount of grants, milestone payments or upfront payments (if any) that we will receive for any taxable year. Moreover, we may earn income from sublicensing, which may be passive unless certain conditions are satisfied. There is no assurance that the Internal Revenue Service (“IRS”) will not challenge the classification of any of our income items for PFIC purposes for any taxable year. Accordingly, there is no assurance that we will not be a PFIC for any taxable year under the income test.</w:t>
      </w:r>
    </w:p>
    <w:p>
      <w:pPr>
        <w:spacing w:after="0" w:line="146" w:lineRule="exact"/>
        <w:rPr>
          <w:sz w:val="20"/>
          <w:szCs w:val="20"/>
          <w:color w:val="auto"/>
        </w:rPr>
      </w:pPr>
    </w:p>
    <w:p>
      <w:pPr>
        <w:ind w:left="40" w:right="119" w:firstLine="305"/>
        <w:spacing w:after="0" w:line="251" w:lineRule="auto"/>
        <w:rPr>
          <w:sz w:val="20"/>
          <w:szCs w:val="20"/>
          <w:color w:val="auto"/>
        </w:rPr>
      </w:pPr>
      <w:r>
        <w:rPr>
          <w:rFonts w:ascii="Times New Roman" w:cs="Times New Roman" w:eastAsia="Times New Roman" w:hAnsi="Times New Roman"/>
          <w:sz w:val="17"/>
          <w:szCs w:val="17"/>
          <w:color w:val="auto"/>
        </w:rPr>
        <w:t>In addition, we currently hold, and expect to continue to hold, a substantial amount of passive assets, including cash. Therefore, our PFIC status for any taxable year will depend on the value of our intangible assets. We have not obtained, and do not intend to obtain, valuations of our goodwill and other intangible assets. However, the average value of our assets (including goodwill and other intangible assets) for any taxable year may be determined, in large part, by reference to our market capitalization, which has fluctuated substantially over time and may continue to be volatile. Due to the volatility of our market capitalization, we may be a PFIC under the asset test for any taxable year if our cash and other passive assets constitute 50% or more of the value of our total assets.</w:t>
      </w:r>
    </w:p>
    <w:p>
      <w:pPr>
        <w:spacing w:after="0" w:line="143" w:lineRule="exact"/>
        <w:rPr>
          <w:sz w:val="20"/>
          <w:szCs w:val="20"/>
          <w:color w:val="auto"/>
        </w:rPr>
      </w:pPr>
    </w:p>
    <w:p>
      <w:pPr>
        <w:ind w:left="40" w:right="59" w:firstLine="305"/>
        <w:spacing w:after="0" w:line="251" w:lineRule="auto"/>
        <w:rPr>
          <w:sz w:val="20"/>
          <w:szCs w:val="20"/>
          <w:color w:val="auto"/>
        </w:rPr>
      </w:pPr>
      <w:r>
        <w:rPr>
          <w:rFonts w:ascii="Times New Roman" w:cs="Times New Roman" w:eastAsia="Times New Roman" w:hAnsi="Times New Roman"/>
          <w:sz w:val="17"/>
          <w:szCs w:val="17"/>
          <w:color w:val="auto"/>
        </w:rPr>
        <w:t>Although we have not obtained valuations of our assets (including goodwill or going concern value) for 2025 and thus are not in a position to make a definitive determination regarding whether we were a PFIC for 2025, based on the composition of our income and assets during 2025 and the estimated value of our assets (which is based on our average market capitalization during 2025), we believe that we were likely not a PFIC for 2025. However, for the reasons described above there can be no assurance that the IRS will agree. Because our PFIC status is a factual annual determination that can be determined only after the end of the relevant taxable year, we cannot express a view regarding our PFIC status for 2026 or any future taxable year.</w:t>
      </w:r>
    </w:p>
    <w:p>
      <w:pPr>
        <w:spacing w:after="0" w:line="157" w:lineRule="exact"/>
        <w:rPr>
          <w:sz w:val="20"/>
          <w:szCs w:val="20"/>
          <w:color w:val="auto"/>
        </w:rPr>
      </w:pPr>
    </w:p>
    <w:p>
      <w:pPr>
        <w:ind w:left="40" w:right="79" w:firstLine="305"/>
        <w:spacing w:after="0" w:line="253" w:lineRule="auto"/>
        <w:rPr>
          <w:sz w:val="20"/>
          <w:szCs w:val="20"/>
          <w:color w:val="auto"/>
        </w:rPr>
      </w:pPr>
      <w:r>
        <w:rPr>
          <w:rFonts w:ascii="Times New Roman" w:cs="Times New Roman" w:eastAsia="Times New Roman" w:hAnsi="Times New Roman"/>
          <w:sz w:val="17"/>
          <w:szCs w:val="17"/>
          <w:color w:val="auto"/>
        </w:rPr>
        <w:t>As discussed in our Annual Reports on Form 20-F for 2019, 2020, and 2022, we were likely a PFIC for these years. If we were a PFIC for 2019, 2020 or 2022, or any other taxable year, we generally will continue to be treated as a PFIC with respect to a U.S. investor who owned our common shares during any portion of such years, even if we are not a PFIC for any subsequent taxable year, unless the U.S. investor makes a “deemed sale” election with respect to our common shares.</w:t>
      </w:r>
    </w:p>
    <w:p>
      <w:pPr>
        <w:spacing w:after="0" w:line="140" w:lineRule="exact"/>
        <w:rPr>
          <w:sz w:val="20"/>
          <w:szCs w:val="20"/>
          <w:color w:val="auto"/>
        </w:rPr>
      </w:pPr>
    </w:p>
    <w:p>
      <w:pPr>
        <w:ind w:left="40" w:right="79" w:firstLine="305"/>
        <w:spacing w:after="0" w:line="277" w:lineRule="auto"/>
        <w:rPr>
          <w:sz w:val="20"/>
          <w:szCs w:val="20"/>
          <w:color w:val="auto"/>
        </w:rPr>
      </w:pPr>
      <w:r>
        <w:rPr>
          <w:rFonts w:ascii="Times New Roman" w:cs="Times New Roman" w:eastAsia="Times New Roman" w:hAnsi="Times New Roman"/>
          <w:sz w:val="17"/>
          <w:szCs w:val="17"/>
          <w:color w:val="auto"/>
        </w:rPr>
        <w:t>U.S. investors that own our common shares during any taxable year in which we are (or were) a PFIC generally will be subject to adverse U.S. federal income tax consequences, including (i) the treatment of all or a portion of any gain on</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60" w:name="page61"/>
    <w:bookmarkEnd w:id="6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139"/>
        <w:spacing w:after="0" w:line="258" w:lineRule="auto"/>
        <w:rPr>
          <w:sz w:val="20"/>
          <w:szCs w:val="20"/>
          <w:color w:val="auto"/>
        </w:rPr>
      </w:pPr>
      <w:r>
        <w:rPr>
          <w:rFonts w:ascii="Times New Roman" w:cs="Times New Roman" w:eastAsia="Times New Roman" w:hAnsi="Times New Roman"/>
          <w:sz w:val="17"/>
          <w:szCs w:val="17"/>
          <w:color w:val="auto"/>
        </w:rPr>
        <w:t>disposition of our common shares as ordinary income, (ii) the application of a deferred interest charge on such gain and the receipt of certain dividends and (iii) the requirement to file certain reports to the IRS. We do not intend to provide the information that would enable investors to make a “qualified electing fund” election which, if available, could materially affect the U.S. federal income tax consequences to investors if we are a PFIC for any taxable year.</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For further discussion, see “Item 10. Additional information—Section E. Taxation.”</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4. INFORMATION ON THE COMPANY</w:t>
      </w:r>
    </w:p>
    <w:p>
      <w:pPr>
        <w:spacing w:after="0" w:line="211"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A.</w:t>
      </w:r>
      <w:r>
        <w:rPr>
          <w:sz w:val="20"/>
          <w:szCs w:val="20"/>
          <w:color w:val="auto"/>
        </w:rPr>
        <w:tab/>
      </w:r>
      <w:r>
        <w:rPr>
          <w:rFonts w:ascii="Times New Roman" w:cs="Times New Roman" w:eastAsia="Times New Roman" w:hAnsi="Times New Roman"/>
          <w:sz w:val="16"/>
          <w:szCs w:val="16"/>
          <w:b w:val="1"/>
          <w:bCs w:val="1"/>
          <w:color w:val="auto"/>
        </w:rPr>
        <w:t>History and development of the company</w:t>
      </w:r>
    </w:p>
    <w:p>
      <w:pPr>
        <w:spacing w:after="0" w:line="211" w:lineRule="exact"/>
        <w:rPr>
          <w:sz w:val="20"/>
          <w:szCs w:val="20"/>
          <w:color w:val="auto"/>
        </w:rPr>
      </w:pPr>
    </w:p>
    <w:p>
      <w:pPr>
        <w:ind w:left="40" w:right="139" w:firstLine="305"/>
        <w:spacing w:after="0" w:line="252" w:lineRule="auto"/>
        <w:rPr>
          <w:sz w:val="20"/>
          <w:szCs w:val="20"/>
          <w:color w:val="auto"/>
        </w:rPr>
      </w:pPr>
      <w:r>
        <w:rPr>
          <w:rFonts w:ascii="Times New Roman" w:cs="Times New Roman" w:eastAsia="Times New Roman" w:hAnsi="Times New Roman"/>
          <w:sz w:val="17"/>
          <w:szCs w:val="17"/>
          <w:color w:val="auto"/>
        </w:rPr>
        <w:t>We are a Swiss stock corporation (</w:t>
      </w:r>
      <w:r>
        <w:rPr>
          <w:rFonts w:ascii="Times New Roman" w:cs="Times New Roman" w:eastAsia="Times New Roman" w:hAnsi="Times New Roman"/>
          <w:sz w:val="17"/>
          <w:szCs w:val="17"/>
          <w:i w:val="1"/>
          <w:iCs w:val="1"/>
          <w:color w:val="auto"/>
        </w:rPr>
        <w:t>société anonyme</w:t>
      </w:r>
      <w:r>
        <w:rPr>
          <w:rFonts w:ascii="Times New Roman" w:cs="Times New Roman" w:eastAsia="Times New Roman" w:hAnsi="Times New Roman"/>
          <w:sz w:val="17"/>
          <w:szCs w:val="17"/>
          <w:color w:val="auto"/>
        </w:rPr>
        <w:t>) organized under the laws of Switzerland. We were formed as a Swiss limited liability company (</w:t>
      </w:r>
      <w:r>
        <w:rPr>
          <w:rFonts w:ascii="Times New Roman" w:cs="Times New Roman" w:eastAsia="Times New Roman" w:hAnsi="Times New Roman"/>
          <w:sz w:val="17"/>
          <w:szCs w:val="17"/>
          <w:i w:val="1"/>
          <w:iCs w:val="1"/>
          <w:color w:val="auto"/>
        </w:rPr>
        <w:t>société à responsabilité limitée</w:t>
      </w:r>
      <w:r>
        <w:rPr>
          <w:rFonts w:ascii="Times New Roman" w:cs="Times New Roman" w:eastAsia="Times New Roman" w:hAnsi="Times New Roman"/>
          <w:sz w:val="17"/>
          <w:szCs w:val="17"/>
          <w:color w:val="auto"/>
        </w:rPr>
        <w:t>) on February 13, 2003 with our registered office and domicile in Basel, Switzerland. We converted to a Swiss stock corporation (</w:t>
      </w:r>
      <w:r>
        <w:rPr>
          <w:rFonts w:ascii="Times New Roman" w:cs="Times New Roman" w:eastAsia="Times New Roman" w:hAnsi="Times New Roman"/>
          <w:sz w:val="17"/>
          <w:szCs w:val="17"/>
          <w:i w:val="1"/>
          <w:iCs w:val="1"/>
          <w:color w:val="auto"/>
        </w:rPr>
        <w:t>société anonyme</w:t>
      </w:r>
      <w:r>
        <w:rPr>
          <w:rFonts w:ascii="Times New Roman" w:cs="Times New Roman" w:eastAsia="Times New Roman" w:hAnsi="Times New Roman"/>
          <w:sz w:val="17"/>
          <w:szCs w:val="17"/>
          <w:color w:val="auto"/>
        </w:rPr>
        <w:t>) under the laws of Switzerland on August 25, 2003. Our Swiss enterprise identification number is CHE-109.878.825. Our domicile and registered office is in Ecublens, at the École Polytechnique Fédérale Lausanne (EPFL) Innovation Park Building B, 1015 Lausanne, Vaud, Switzerland. Our common shares were admitted to trading on Nasdaq Global Market on September 23, 2016, and trade under the symbol ACIU.</w:t>
      </w:r>
    </w:p>
    <w:p>
      <w:pPr>
        <w:spacing w:after="0" w:line="181" w:lineRule="exact"/>
        <w:rPr>
          <w:sz w:val="20"/>
          <w:szCs w:val="20"/>
          <w:color w:val="auto"/>
        </w:rPr>
      </w:pPr>
    </w:p>
    <w:p>
      <w:pPr>
        <w:ind w:left="40" w:right="59" w:firstLine="305"/>
        <w:spacing w:after="0" w:line="251" w:lineRule="auto"/>
        <w:rPr>
          <w:sz w:val="20"/>
          <w:szCs w:val="20"/>
          <w:color w:val="auto"/>
        </w:rPr>
      </w:pPr>
      <w:r>
        <w:rPr>
          <w:rFonts w:ascii="Times New Roman" w:cs="Times New Roman" w:eastAsia="Times New Roman" w:hAnsi="Times New Roman"/>
          <w:sz w:val="17"/>
          <w:szCs w:val="17"/>
          <w:color w:val="auto"/>
        </w:rPr>
        <w:t>Our general telephone number is (41) 21 345 91 21 and our internet address is www.acimmune.com. References to our website address do not constitute incorporation by reference of the information contained on the website, and the information contained on the website is not part of this document or any other document that we file with or furnish to the SEC. The SEC maintains an internet site that contains reports, proxy and information statements and other information regarding issuers that file electronically with the SEC, which can be found at http://www.sec.gov. Our agent for service of process in the United States is Cogency Global Inc. located at 122 East 42nd Street, 18th Floor, New York, New York 10168.</w:t>
      </w:r>
    </w:p>
    <w:p>
      <w:pPr>
        <w:spacing w:after="0" w:line="182" w:lineRule="exact"/>
        <w:rPr>
          <w:sz w:val="20"/>
          <w:szCs w:val="20"/>
          <w:color w:val="auto"/>
        </w:rPr>
      </w:pPr>
    </w:p>
    <w:p>
      <w:pPr>
        <w:ind w:left="40" w:right="219" w:firstLine="305"/>
        <w:spacing w:after="0" w:line="277" w:lineRule="auto"/>
        <w:rPr>
          <w:sz w:val="20"/>
          <w:szCs w:val="20"/>
          <w:color w:val="auto"/>
        </w:rPr>
      </w:pPr>
      <w:r>
        <w:rPr>
          <w:rFonts w:ascii="Times New Roman" w:cs="Times New Roman" w:eastAsia="Times New Roman" w:hAnsi="Times New Roman"/>
          <w:sz w:val="17"/>
          <w:szCs w:val="17"/>
          <w:color w:val="auto"/>
        </w:rPr>
        <w:t>Our principal expenditures since January 1, 2022 have been our research and development expenses, as more fully described elsewhere in this Annual Report.</w:t>
      </w:r>
    </w:p>
    <w:p>
      <w:pPr>
        <w:spacing w:after="0" w:line="154"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B.</w:t>
        <w:tab/>
        <w:t>Business overview</w:t>
      </w:r>
    </w:p>
    <w:p>
      <w:pPr>
        <w:spacing w:after="0" w:line="215" w:lineRule="exact"/>
        <w:rPr>
          <w:sz w:val="20"/>
          <w:szCs w:val="20"/>
          <w:color w:val="auto"/>
        </w:rPr>
      </w:pPr>
    </w:p>
    <w:p>
      <w:pPr>
        <w:ind w:left="40" w:right="79" w:firstLine="305"/>
        <w:spacing w:after="0" w:line="253" w:lineRule="auto"/>
        <w:rPr>
          <w:sz w:val="20"/>
          <w:szCs w:val="20"/>
          <w:color w:val="auto"/>
        </w:rPr>
      </w:pPr>
      <w:r>
        <w:rPr>
          <w:rFonts w:ascii="Times New Roman" w:cs="Times New Roman" w:eastAsia="Times New Roman" w:hAnsi="Times New Roman"/>
          <w:sz w:val="17"/>
          <w:szCs w:val="17"/>
          <w:color w:val="auto"/>
        </w:rPr>
        <w:t>AC Immune is a leading, clinical stage biopharmaceutical company advancing a portfolio of programs strategically focused on pioneering Precision Medicine for neurodegenerative diseases. Our highly differentiated approach aims to overcome the fundamental challenge in this therapeutic area – the high number of co-pathologies driving disease development and progression and the urgent need for more tailored therapeutic regimens.</w:t>
      </w:r>
    </w:p>
    <w:p>
      <w:pPr>
        <w:spacing w:after="0" w:line="178" w:lineRule="exact"/>
        <w:rPr>
          <w:sz w:val="20"/>
          <w:szCs w:val="20"/>
          <w:color w:val="auto"/>
        </w:rPr>
      </w:pPr>
    </w:p>
    <w:p>
      <w:pPr>
        <w:ind w:left="40" w:right="59" w:firstLine="305"/>
        <w:spacing w:after="0" w:line="251" w:lineRule="auto"/>
        <w:rPr>
          <w:sz w:val="20"/>
          <w:szCs w:val="20"/>
          <w:color w:val="auto"/>
        </w:rPr>
      </w:pPr>
      <w:r>
        <w:rPr>
          <w:rFonts w:ascii="Times New Roman" w:cs="Times New Roman" w:eastAsia="Times New Roman" w:hAnsi="Times New Roman"/>
          <w:sz w:val="17"/>
          <w:szCs w:val="17"/>
          <w:color w:val="auto"/>
        </w:rPr>
        <w:t>Leveraging our dual proprietary technology platforms, SupraAntigen and Morphomer, we have built a comprehensive pipeline of first-in-class or best-in-class candidates spanning multiple treatment modalities and targeting both established and emerging neurodegenerative pathologies. We are currently advancing therapeutic programs targeting multiple pathologies related to Alzheimer’s disease (AD), Parkinson’s disease (PD) and other neurodegenerative disorders. Our pipeline assets are further validated by the multiple partnerships we have established with leading global pharmaceutical companies. We believe our clinically validated technology platforms and multi-target, multimodal approach will enable AC Immune to revolutionize the treatment paradigm for neurodegenerative disease by shifting it towards Precision Medicine and disease prevention.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61" w:name="page62"/>
    <w:bookmarkEnd w:id="6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Figure 1: AC Immune investment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146685</wp:posOffset>
            </wp:positionV>
            <wp:extent cx="5222240" cy="26917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2224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(1) As of December 31, 2025; excluding treasury shares; (2) As of December 31, 2025 (~USD 114.2 million)</w:t>
      </w:r>
    </w:p>
    <w:p>
      <w:pPr>
        <w:spacing w:after="0" w:line="2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Our Team</w:t>
      </w:r>
    </w:p>
    <w:p>
      <w:pPr>
        <w:spacing w:after="0" w:line="215" w:lineRule="exact"/>
        <w:rPr>
          <w:sz w:val="20"/>
          <w:szCs w:val="20"/>
          <w:color w:val="auto"/>
        </w:rPr>
      </w:pPr>
    </w:p>
    <w:p>
      <w:pPr>
        <w:ind w:left="40" w:right="99" w:firstLine="305"/>
        <w:spacing w:after="0" w:line="249" w:lineRule="auto"/>
        <w:rPr>
          <w:sz w:val="20"/>
          <w:szCs w:val="20"/>
          <w:color w:val="auto"/>
        </w:rPr>
      </w:pPr>
      <w:r>
        <w:rPr>
          <w:rFonts w:ascii="Times New Roman" w:cs="Times New Roman" w:eastAsia="Times New Roman" w:hAnsi="Times New Roman"/>
          <w:sz w:val="17"/>
          <w:szCs w:val="17"/>
          <w:color w:val="auto"/>
        </w:rPr>
        <w:t>We have assembled an outstanding management team with relevant scientific, clinical and regulatory expertise. Our co-founder and Chief Executive Officer, Andrea Pfeifer, Ph.D., a Pharmacologist with a Ph.D. in cancer research and a former National Institute of Health researcher, has a 30+ years track record in senior R&amp;D and business leadership roles in the life science industry leading transformative deals of more than CHF 4 billion. She was formerly Head of Nestlé Global Research and the co-founder of Nestlé Venture Fund. Piergiorgio Donati, Chief Technical Officer, joined AC Immune as Director, Global Program Management, now co-leading key transformative R&amp;D initiatives having previous extensive pharmaceutical industry experience in Manufacturing, CMC, and Program Management at multinational companies including Glenmark Pharmaceuticals (as Head of CMC Program Development) and Merck Group (as Biotech CMC Lead), as well as R&amp;D roles at Abiogen, Merck Group and Serono. Christopher Roberts, Chief Financial Officer, joined AC Immune as a member of AC Immune’s finance leadership team, and now leads all financial operations, financial planning and analysis (FP&amp;A), treasury, and tax functions, as well as key transformation initiatives around R&amp;D budgeting and automation. Christopher’s international experience includes roles within EY in the U.S., UK, and Switzerland has a background with high-growth life science companies in Switzerland, the US, and the UK, focusing on initial and follow-on offerings, SEC reporting, and SOX 404.</w:t>
      </w:r>
    </w:p>
    <w:p>
      <w:pPr>
        <w:spacing w:after="0" w:line="181" w:lineRule="exact"/>
        <w:rPr>
          <w:sz w:val="20"/>
          <w:szCs w:val="20"/>
          <w:color w:val="auto"/>
        </w:rPr>
      </w:pPr>
    </w:p>
    <w:p>
      <w:pPr>
        <w:ind w:left="40" w:right="59" w:firstLine="305"/>
        <w:spacing w:after="0" w:line="268" w:lineRule="auto"/>
        <w:rPr>
          <w:sz w:val="20"/>
          <w:szCs w:val="20"/>
          <w:color w:val="auto"/>
        </w:rPr>
      </w:pPr>
      <w:r>
        <w:rPr>
          <w:rFonts w:ascii="Times New Roman" w:cs="Times New Roman" w:eastAsia="Times New Roman" w:hAnsi="Times New Roman"/>
          <w:sz w:val="16"/>
          <w:szCs w:val="16"/>
          <w:color w:val="auto"/>
        </w:rPr>
        <w:t>Our leadership team combines scientific acumen with real-world experience in their respective roles. Günther Staffler, Ph.D., is a skilled manager of translational research with extensive knowledge of global product development from early discovery to late stage clinical development in the biotech industry, as well as significant experience in project and program management. Francesca Capotosti, Ph.D., joined AC Immune in 2013 as a research scientist and has since been Team Leader, Global Project Leader, and now Vice President, Research, playing key roles in development of small molecules targeting Tau and a-syn, as well as AC Immune’s a-syn PET tracer program. Olivier Sol, M.D., VP, Clinical Safety Officer, brings broad industry experience in clinical development, medical, and regulatory affairs with a strong focus on central nervous system diseases. Julien Rongère, Ph.D., our SVP of Regulatory Affairs and Quality Assurance, gained specific expertise in the development of regulatory strategies for taking products from Phase 1 through to commercialization in the field of hematology/oncology and immunology/inflammation, including fast-to-market approaches, orphan drugs and pediatric development. Bojana Portmann, Ph.D., LL.M., has been with the</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62" w:name="page63"/>
    <w:bookmarkEnd w:id="6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40" w:right="219"/>
        <w:spacing w:after="0" w:line="310" w:lineRule="auto"/>
        <w:rPr>
          <w:sz w:val="20"/>
          <w:szCs w:val="20"/>
          <w:color w:val="auto"/>
        </w:rPr>
      </w:pPr>
      <w:r>
        <w:rPr>
          <w:rFonts w:ascii="Times New Roman" w:cs="Times New Roman" w:eastAsia="Times New Roman" w:hAnsi="Times New Roman"/>
          <w:sz w:val="16"/>
          <w:szCs w:val="16"/>
          <w:color w:val="auto"/>
        </w:rPr>
        <w:t>company for 15 years and now leads its Intellectual Property and business development activities as VP, Intellectual Property and Business Development. Together our leadership team has led transformative partnering deals of more than CHF 4 billion to date.</w:t>
      </w:r>
    </w:p>
    <w:p>
      <w:pPr>
        <w:spacing w:after="0" w:line="1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Unmet need in neurodegenerative diseases</w:t>
      </w:r>
    </w:p>
    <w:p>
      <w:pPr>
        <w:spacing w:after="0" w:line="215" w:lineRule="exact"/>
        <w:rPr>
          <w:sz w:val="20"/>
          <w:szCs w:val="20"/>
          <w:color w:val="auto"/>
        </w:rPr>
      </w:pPr>
    </w:p>
    <w:p>
      <w:pPr>
        <w:ind w:left="40" w:right="299" w:firstLine="305"/>
        <w:spacing w:after="0" w:line="258" w:lineRule="auto"/>
        <w:rPr>
          <w:sz w:val="20"/>
          <w:szCs w:val="20"/>
          <w:color w:val="auto"/>
        </w:rPr>
      </w:pPr>
      <w:r>
        <w:rPr>
          <w:rFonts w:ascii="Times New Roman" w:cs="Times New Roman" w:eastAsia="Times New Roman" w:hAnsi="Times New Roman"/>
          <w:sz w:val="17"/>
          <w:szCs w:val="17"/>
          <w:color w:val="auto"/>
        </w:rPr>
        <w:t>Neurodegenerative diseases, including dementias and motor disorders associated with protein misfolding, are prevalent, but there is a strong and growing need for reliable, early-stage diagnosis and disease-modifying treatments for these diseases. The growth in the number of people with neurodegenerative diseases has been significant, as evidenced by the prevalence of people affected by AD and PD, two of the most common neurodegenerative diseases.</w:t>
      </w:r>
    </w:p>
    <w:p>
      <w:pPr>
        <w:spacing w:after="0" w:line="158" w:lineRule="exact"/>
        <w:rPr>
          <w:sz w:val="20"/>
          <w:szCs w:val="20"/>
          <w:color w:val="auto"/>
        </w:rPr>
      </w:pPr>
    </w:p>
    <w:p>
      <w:pPr>
        <w:ind w:left="680" w:right="159" w:hanging="305"/>
        <w:spacing w:after="0" w:line="266" w:lineRule="auto"/>
        <w:tabs>
          <w:tab w:leader="none" w:pos="6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World Health Organization recognizes dementia as a global public health priority</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Worldwide, there is a new case of dementia every 3 seconds, with an estimated global patient population of greater than 50 million in 2020. This is predicted to increase to 139 million by 2050 (Alzheimer’s Disease International).</w:t>
      </w:r>
    </w:p>
    <w:p>
      <w:pPr>
        <w:spacing w:after="0" w:line="166" w:lineRule="exact"/>
        <w:rPr>
          <w:rFonts w:ascii="Times New Roman" w:cs="Times New Roman" w:eastAsia="Times New Roman" w:hAnsi="Times New Roman"/>
          <w:sz w:val="17"/>
          <w:szCs w:val="17"/>
          <w:color w:val="auto"/>
        </w:rPr>
      </w:pPr>
    </w:p>
    <w:p>
      <w:pPr>
        <w:jc w:val="both"/>
        <w:ind w:left="680" w:right="199" w:hanging="305"/>
        <w:spacing w:after="0" w:line="261" w:lineRule="auto"/>
        <w:tabs>
          <w:tab w:leader="none" w:pos="6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estimated total healthcare costs for the treatment of Alzheimer’s disease in the United States in 2022 was USD 321 billion per the Alzheimer’s Association. The worldwide cost for dementia is expected to increase to approximately USD 2.8 trillion annually by 2030 as the population ages (Alzheimer’s Disease International). If the estimated global costs of dementia were a country, it would be the 14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largest economy in the world.</w:t>
      </w:r>
    </w:p>
    <w:p>
      <w:pPr>
        <w:spacing w:after="0" w:line="48"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b w:val="1"/>
          <w:bCs w:val="1"/>
          <w:color w:val="auto"/>
        </w:rPr>
        <w:t>Figure 2: Neurodegenerative diseases represent a large and growing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146685</wp:posOffset>
            </wp:positionV>
            <wp:extent cx="5222240" cy="27158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22240" cy="2715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right="99" w:firstLine="5"/>
        <w:spacing w:after="0" w:line="269" w:lineRule="auto"/>
        <w:tabs>
          <w:tab w:leader="none" w:pos="208"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Neurodegenerative diseases; (2) Alzheimer’s disease; (3) Gustavsson et al. Alzheimer’s and Dement. 2023 19:658-670. https://doi.org/10.1002/alz.12694; (4) Monoclonal antibody; (5) alpha-synuclein; (6) TAR DNA-binding protein 43; (7) Amyotrophic lateral sclerosis; (8) Limbic-predominant age-related TDP-43 encephalopathy</w:t>
      </w:r>
    </w:p>
    <w:p>
      <w:pPr>
        <w:spacing w:after="0" w:line="172" w:lineRule="exact"/>
        <w:rPr>
          <w:sz w:val="20"/>
          <w:szCs w:val="20"/>
          <w:color w:val="auto"/>
        </w:rPr>
      </w:pPr>
    </w:p>
    <w:p>
      <w:pPr>
        <w:ind w:left="40" w:right="99" w:firstLine="305"/>
        <w:spacing w:after="0" w:line="251" w:lineRule="auto"/>
        <w:rPr>
          <w:sz w:val="20"/>
          <w:szCs w:val="20"/>
          <w:color w:val="auto"/>
        </w:rPr>
      </w:pPr>
      <w:r>
        <w:rPr>
          <w:rFonts w:ascii="Times New Roman" w:cs="Times New Roman" w:eastAsia="Times New Roman" w:hAnsi="Times New Roman"/>
          <w:sz w:val="17"/>
          <w:szCs w:val="17"/>
          <w:color w:val="auto"/>
        </w:rPr>
        <w:t>Diagnosis typically takes the form of observation of cognitive, functional and behavioral impairment and other symptoms of the diseases, which are generally only apparent after irreversible neuronal damage has already occurred. In the United States, through Q1 2026, there were only two approved disease-modifying therapies for AD. These provided incomplete clinical efficacy, presented non-negligible safety risks or failed to halt disease progression. A subcutaneously administered formulation of one of the approved products resulted in a higher rate of ARIA-E (amyloid related imaging abnormalities – edema related) and still required frequent dosing making it unsuitable for prevention. Despite these</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63" w:name="page64"/>
    <w:bookmarkEnd w:id="6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159"/>
        <w:spacing w:after="0" w:line="263" w:lineRule="auto"/>
        <w:rPr>
          <w:sz w:val="20"/>
          <w:szCs w:val="20"/>
          <w:color w:val="auto"/>
        </w:rPr>
      </w:pPr>
      <w:r>
        <w:rPr>
          <w:rFonts w:ascii="Times New Roman" w:cs="Times New Roman" w:eastAsia="Times New Roman" w:hAnsi="Times New Roman"/>
          <w:sz w:val="17"/>
          <w:szCs w:val="17"/>
          <w:color w:val="auto"/>
        </w:rPr>
        <w:t>shortcomings, marketed therapies, such as Eisai and Pfizer’s Aricept which only address symptoms, have achieved peak annual global sales of approximately USD 2.4 billion prior to loss of exclusivity. Similarly, in the treatment of PD, the current standard of care is intended only to alleviate clinical symptoms.</w:t>
      </w:r>
    </w:p>
    <w:p>
      <w:pPr>
        <w:spacing w:after="0" w:line="170" w:lineRule="exact"/>
        <w:rPr>
          <w:sz w:val="20"/>
          <w:szCs w:val="20"/>
          <w:color w:val="auto"/>
        </w:rPr>
      </w:pPr>
    </w:p>
    <w:p>
      <w:pPr>
        <w:jc w:val="both"/>
        <w:ind w:left="40" w:right="219" w:firstLine="305"/>
        <w:spacing w:after="0" w:line="287" w:lineRule="auto"/>
        <w:rPr>
          <w:sz w:val="20"/>
          <w:szCs w:val="20"/>
          <w:color w:val="auto"/>
        </w:rPr>
      </w:pPr>
      <w:r>
        <w:rPr>
          <w:rFonts w:ascii="Times New Roman" w:cs="Times New Roman" w:eastAsia="Times New Roman" w:hAnsi="Times New Roman"/>
          <w:sz w:val="16"/>
          <w:szCs w:val="16"/>
          <w:color w:val="auto"/>
        </w:rPr>
        <w:t>Lecanemab, an investigational anti-Abeta (amyloid beta) protofibril antibody for early AD (developed by Eisai Co., Ltd. and Biogen Inc.) was granted accelerated approval as a treatment for AD in the U.S. by the U.S. FDA on January 6, 2023. On July 6, 2023, FDA converted lecanemab’s accelerated approval to a traditional approval for the treatment of Alzheimer’s disease.</w:t>
      </w:r>
    </w:p>
    <w:p>
      <w:pPr>
        <w:spacing w:after="0" w:line="152" w:lineRule="exact"/>
        <w:rPr>
          <w:sz w:val="20"/>
          <w:szCs w:val="20"/>
          <w:color w:val="auto"/>
        </w:rPr>
      </w:pPr>
    </w:p>
    <w:p>
      <w:pPr>
        <w:ind w:left="40" w:right="99" w:firstLine="305"/>
        <w:spacing w:after="0" w:line="252" w:lineRule="auto"/>
        <w:rPr>
          <w:sz w:val="20"/>
          <w:szCs w:val="20"/>
          <w:color w:val="auto"/>
        </w:rPr>
      </w:pPr>
      <w:r>
        <w:rPr>
          <w:rFonts w:ascii="Times New Roman" w:cs="Times New Roman" w:eastAsia="Times New Roman" w:hAnsi="Times New Roman"/>
          <w:sz w:val="17"/>
          <w:szCs w:val="17"/>
          <w:color w:val="auto"/>
        </w:rPr>
        <w:t>Lecanemab has been approved in the U.S., Europe, Japan, China, Canada, Australia, South Korea, Hong Kong, Macau, Israel, the United Arab Emirates, Great Britain and Mexico for the treatment of Alzheimer’s disease (AD) in patients with Mild Cognitive Impairment (MCI) or mild dementia stage of Alzheimer’s disease. The administration by intravenous infusion every 2 weeks remains a significant inconvenience for vulnerable patients and their care givers as well as a further burden on healthcare infrastructure.</w:t>
      </w:r>
    </w:p>
    <w:p>
      <w:pPr>
        <w:spacing w:after="0" w:line="179" w:lineRule="exact"/>
        <w:rPr>
          <w:sz w:val="20"/>
          <w:szCs w:val="20"/>
          <w:color w:val="auto"/>
        </w:rPr>
      </w:pPr>
    </w:p>
    <w:p>
      <w:pPr>
        <w:ind w:left="40" w:right="119" w:firstLine="305"/>
        <w:spacing w:after="0" w:line="253" w:lineRule="auto"/>
        <w:rPr>
          <w:sz w:val="20"/>
          <w:szCs w:val="20"/>
          <w:color w:val="auto"/>
        </w:rPr>
      </w:pPr>
      <w:r>
        <w:rPr>
          <w:rFonts w:ascii="Times New Roman" w:cs="Times New Roman" w:eastAsia="Times New Roman" w:hAnsi="Times New Roman"/>
          <w:sz w:val="17"/>
          <w:szCs w:val="17"/>
          <w:color w:val="auto"/>
        </w:rPr>
        <w:t>The second approved disease-modifying treatment, donanemab, is a monoclonal antibody targeting pyroglutamate (pyroGlu) Abeta. Donanemab was approved in the U.S., Europe, Japan, China, Australia and Great Britain for the treatment of MCI and mild dementia due to Alzheimer's disease. While donanemab is administered only every 4 weeks, it also presents similar non-negligible safety risks, which, depending on ARIA severity, might require interruption or permanent discontinuation of treatment.</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Neurodegenerative disease overview</w:t>
      </w:r>
    </w:p>
    <w:p>
      <w:pPr>
        <w:spacing w:after="0" w:line="215" w:lineRule="exact"/>
        <w:rPr>
          <w:sz w:val="20"/>
          <w:szCs w:val="20"/>
          <w:color w:val="auto"/>
        </w:rPr>
      </w:pPr>
    </w:p>
    <w:p>
      <w:pPr>
        <w:ind w:left="40" w:right="99" w:firstLine="305"/>
        <w:spacing w:after="0" w:line="255" w:lineRule="auto"/>
        <w:rPr>
          <w:sz w:val="20"/>
          <w:szCs w:val="20"/>
          <w:color w:val="auto"/>
        </w:rPr>
      </w:pPr>
      <w:r>
        <w:rPr>
          <w:rFonts w:ascii="Times New Roman" w:cs="Times New Roman" w:eastAsia="Times New Roman" w:hAnsi="Times New Roman"/>
          <w:sz w:val="17"/>
          <w:szCs w:val="17"/>
          <w:color w:val="auto"/>
        </w:rPr>
        <w:t>Folding and unfolding of proteins are important ways of regulating the biological activity and cellular location of those proteins. Misfolding of proteins occurs due to a breakdown of cellular quality control systems and is a common feature of many neurodegenerative diseases. Misfolded proteins are unable to carry out their normal functions and aggregate to form insoluble deposits in the brain, which eventually lead to neuronal damage and cell death. The progression of neurodegenerative diseases, such as AD and PD, is linked to the spread of misfolded, pathological protein aggregates throughout the brain. Figure 3 shows how misfolded proteins play a key role in the pathology of neurodegenerative diseases.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Figure 3: Misfolded proteins key impact on the pathology of neurodegenerative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146685</wp:posOffset>
            </wp:positionV>
            <wp:extent cx="5238750" cy="20548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38750" cy="205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right="399" w:firstLine="305"/>
        <w:spacing w:after="0" w:line="263" w:lineRule="auto"/>
        <w:rPr>
          <w:sz w:val="20"/>
          <w:szCs w:val="20"/>
          <w:color w:val="auto"/>
        </w:rPr>
      </w:pPr>
      <w:r>
        <w:rPr>
          <w:rFonts w:ascii="Times New Roman" w:cs="Times New Roman" w:eastAsia="Times New Roman" w:hAnsi="Times New Roman"/>
          <w:sz w:val="17"/>
          <w:szCs w:val="17"/>
          <w:color w:val="auto"/>
        </w:rPr>
        <w:t>Typically, protein misfolding occurs following cellular stress, which can be triggered by many different, largely unknown, causes. A cascade of molecular events begins with the misfolding of single proteins within a cell, which then aggregate and ultimately form larger aggregates including plaques and tangles. These misfolded proteins are then</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329565</wp:posOffset>
            </wp:positionV>
            <wp:extent cx="5657850" cy="241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64" w:name="page65"/>
    <w:bookmarkEnd w:id="6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40" w:right="299"/>
        <w:spacing w:after="0" w:line="263" w:lineRule="auto"/>
        <w:rPr>
          <w:sz w:val="20"/>
          <w:szCs w:val="20"/>
          <w:color w:val="auto"/>
        </w:rPr>
      </w:pPr>
      <w:r>
        <w:rPr>
          <w:rFonts w:ascii="Times New Roman" w:cs="Times New Roman" w:eastAsia="Times New Roman" w:hAnsi="Times New Roman"/>
          <w:sz w:val="17"/>
          <w:szCs w:val="17"/>
          <w:color w:val="auto"/>
        </w:rPr>
        <w:t>exported or shed from dying neurons where they can spread to healthy cells nearby. Once inside, misfolded proteins can interact with normal proteins and cause them to misfold in a process known as “seeding,” leading to spreading of the disease pathology throughout the brain, increased neuronal death and a progressive decline in cognitive function.</w:t>
      </w:r>
    </w:p>
    <w:p>
      <w:pPr>
        <w:spacing w:after="0" w:line="170" w:lineRule="exact"/>
        <w:rPr>
          <w:sz w:val="20"/>
          <w:szCs w:val="20"/>
          <w:color w:val="auto"/>
        </w:rPr>
      </w:pPr>
    </w:p>
    <w:p>
      <w:pPr>
        <w:ind w:left="40" w:right="59" w:firstLine="305"/>
        <w:spacing w:after="0" w:line="251" w:lineRule="auto"/>
        <w:rPr>
          <w:sz w:val="20"/>
          <w:szCs w:val="20"/>
          <w:color w:val="auto"/>
        </w:rPr>
      </w:pPr>
      <w:r>
        <w:rPr>
          <w:rFonts w:ascii="Times New Roman" w:cs="Times New Roman" w:eastAsia="Times New Roman" w:hAnsi="Times New Roman"/>
          <w:sz w:val="17"/>
          <w:szCs w:val="17"/>
          <w:color w:val="auto"/>
        </w:rPr>
        <w:t>The Figure above also shows how our therapies are designed to intervene and prevent key pathological steps in the progression of neurodegenerative diseases. They are designed to (i) prevent initial misfolding; (ii) promote disaggregation of misfolded proteins; (iii) inhibit spreading of pathological protein to healthy cells; (iv) prevent seeding of new misfolded protein aggregates inside healthy cells; and (v) inhibit downstream neurodegeneration. This robust approach to targeting neurodegenerative diseases is enabled by our two validated technology platforms, SupraAntigen and Morphomer, which generate highly specific biologics and small molecule inhibitors, respectively, that can distinguish normal from misfolded proteins and inhibit key disease pathways both inside and outside of cells.</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Our strategic vision</w:t>
      </w:r>
    </w:p>
    <w:p>
      <w:pPr>
        <w:spacing w:after="0" w:line="215" w:lineRule="exact"/>
        <w:rPr>
          <w:sz w:val="20"/>
          <w:szCs w:val="20"/>
          <w:color w:val="auto"/>
        </w:rPr>
      </w:pPr>
    </w:p>
    <w:p>
      <w:pPr>
        <w:jc w:val="both"/>
        <w:ind w:left="40" w:right="259" w:firstLine="305"/>
        <w:spacing w:after="0" w:line="253" w:lineRule="auto"/>
        <w:rPr>
          <w:sz w:val="20"/>
          <w:szCs w:val="20"/>
          <w:color w:val="auto"/>
        </w:rPr>
      </w:pPr>
      <w:r>
        <w:rPr>
          <w:rFonts w:ascii="Times New Roman" w:cs="Times New Roman" w:eastAsia="Times New Roman" w:hAnsi="Times New Roman"/>
          <w:sz w:val="17"/>
          <w:szCs w:val="17"/>
          <w:color w:val="auto"/>
        </w:rPr>
        <w:t>Our goal is to continue leveraging our proprietary discovery platforms, SupraAntigen and Morphomer, to shift the treatment paradigm for neurodegenerative disease towards Precision Medicine. Our business strategy is focused on three corporate pillars including our Active Immunotherapy approach and our small molecule assets targeting intracellular pathologies, both generating business development opportunities supporting our third pillar.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Figure 4: AC Immune’s 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146685</wp:posOffset>
            </wp:positionV>
            <wp:extent cx="5222240" cy="21437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22240"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40" w:right="439" w:firstLine="305"/>
        <w:spacing w:after="0" w:line="263" w:lineRule="auto"/>
        <w:rPr>
          <w:sz w:val="20"/>
          <w:szCs w:val="20"/>
          <w:color w:val="auto"/>
        </w:rPr>
      </w:pPr>
      <w:r>
        <w:rPr>
          <w:rFonts w:ascii="Times New Roman" w:cs="Times New Roman" w:eastAsia="Times New Roman" w:hAnsi="Times New Roman"/>
          <w:sz w:val="17"/>
          <w:szCs w:val="17"/>
          <w:color w:val="auto"/>
        </w:rPr>
        <w:t>Our product development strategy focuses on two core value drivers: (i) Active Immunotherapies being developed for the treatment and prevention of Alzheimer’s disease (AD) and Parkinson’s disease (PD); and (ii) Intracellular targeting with brain penetrant small molecule programs targeting intracellular pathologies as shown in Figure 5.</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Our strategy reflects our unique Precision Medicine approach, which ultimately creates differentiation due to our ability to</w:t>
      </w:r>
    </w:p>
    <w:p>
      <w:pPr>
        <w:spacing w:after="0" w:line="13" w:lineRule="exact"/>
        <w:rPr>
          <w:sz w:val="20"/>
          <w:szCs w:val="20"/>
          <w:color w:val="auto"/>
        </w:rPr>
      </w:pPr>
    </w:p>
    <w:p>
      <w:pPr>
        <w:ind w:left="40" w:right="79"/>
        <w:spacing w:after="0" w:line="250" w:lineRule="auto"/>
        <w:rPr>
          <w:sz w:val="20"/>
          <w:szCs w:val="20"/>
          <w:color w:val="auto"/>
        </w:rPr>
      </w:pPr>
      <w:r>
        <w:rPr>
          <w:rFonts w:ascii="Times New Roman" w:cs="Times New Roman" w:eastAsia="Times New Roman" w:hAnsi="Times New Roman"/>
          <w:sz w:val="17"/>
          <w:szCs w:val="17"/>
          <w:color w:val="auto"/>
        </w:rPr>
        <w:t>address the high levels of co-pathologies present in AD and other neurodegenerative diseases. Much like cancer, neurodegenerative diseases are heterogeneous and may require multiple therapeutic interventions tailored to patients’ specific disease drivers, to be used in combination in order to more effectively modify the course of disease. Ultimately, it is our belief that this approach will increase the chance of treatment success by enabling clinical trial participants to be better defined by their various proteinopathies, allowing for treatment with the right therapies at the right time.</w:t>
      </w:r>
    </w:p>
    <w:p>
      <w:pPr>
        <w:spacing w:after="0" w:line="182" w:lineRule="exact"/>
        <w:rPr>
          <w:sz w:val="20"/>
          <w:szCs w:val="20"/>
          <w:color w:val="auto"/>
        </w:rPr>
      </w:pPr>
    </w:p>
    <w:p>
      <w:pPr>
        <w:ind w:left="40" w:right="639" w:firstLine="305"/>
        <w:spacing w:after="0" w:line="277" w:lineRule="auto"/>
        <w:rPr>
          <w:sz w:val="20"/>
          <w:szCs w:val="20"/>
          <w:color w:val="auto"/>
        </w:rPr>
      </w:pPr>
      <w:r>
        <w:rPr>
          <w:rFonts w:ascii="Times New Roman" w:cs="Times New Roman" w:eastAsia="Times New Roman" w:hAnsi="Times New Roman"/>
          <w:sz w:val="17"/>
          <w:szCs w:val="17"/>
          <w:color w:val="auto"/>
        </w:rPr>
        <w:t>Our dual technology platforms allow for a multi-modal approach encompassing a portfolio of active immunotherapies, antibodies and small molecules tailored to the underlying pathology driving patients’ disease. In</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329565</wp:posOffset>
            </wp:positionV>
            <wp:extent cx="5657850" cy="241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65" w:name="page66"/>
    <w:bookmarkEnd w:id="6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399"/>
        <w:spacing w:after="0" w:line="277" w:lineRule="auto"/>
        <w:rPr>
          <w:sz w:val="20"/>
          <w:szCs w:val="20"/>
          <w:color w:val="auto"/>
        </w:rPr>
      </w:pPr>
      <w:r>
        <w:rPr>
          <w:rFonts w:ascii="Times New Roman" w:cs="Times New Roman" w:eastAsia="Times New Roman" w:hAnsi="Times New Roman"/>
          <w:sz w:val="17"/>
          <w:szCs w:val="17"/>
          <w:color w:val="auto"/>
        </w:rPr>
        <w:t>addition to generating targeted monotherapies, this approach creates the potential for combination regimens, which may treat a broader spectrum of disease and offer greater efficacy.</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Precision Medicine for neurodegenerative diseases</w:t>
      </w:r>
    </w:p>
    <w:p>
      <w:pPr>
        <w:spacing w:after="0" w:line="215" w:lineRule="exact"/>
        <w:rPr>
          <w:sz w:val="20"/>
          <w:szCs w:val="20"/>
          <w:color w:val="auto"/>
        </w:rPr>
      </w:pPr>
    </w:p>
    <w:p>
      <w:pPr>
        <w:ind w:left="40" w:right="319" w:firstLine="305"/>
        <w:spacing w:after="0" w:line="271" w:lineRule="auto"/>
        <w:rPr>
          <w:sz w:val="20"/>
          <w:szCs w:val="20"/>
          <w:color w:val="auto"/>
        </w:rPr>
      </w:pPr>
      <w:r>
        <w:rPr>
          <w:rFonts w:ascii="Times New Roman" w:cs="Times New Roman" w:eastAsia="Times New Roman" w:hAnsi="Times New Roman"/>
          <w:sz w:val="16"/>
          <w:szCs w:val="16"/>
          <w:color w:val="auto"/>
        </w:rPr>
        <w:t>The development of therapeutics for neurodegenerative diseases is moving towards treating early-stage disease to delay or prevent progression by preserving neurological function before it is irretrievably lost. Therefore, early detection of neurodegenerative diseases will be critical to enhancing the effectiveness of both symptomatic and disease-modifying therapies.</w:t>
      </w:r>
    </w:p>
    <w:p>
      <w:pPr>
        <w:spacing w:after="0" w:line="2" w:lineRule="exact"/>
        <w:rPr>
          <w:sz w:val="20"/>
          <w:szCs w:val="20"/>
          <w:color w:val="auto"/>
        </w:rPr>
      </w:pPr>
    </w:p>
    <w:p>
      <w:pPr>
        <w:ind w:left="40" w:right="279" w:firstLine="305"/>
        <w:spacing w:after="0" w:line="248" w:lineRule="auto"/>
        <w:rPr>
          <w:sz w:val="20"/>
          <w:szCs w:val="20"/>
          <w:color w:val="auto"/>
        </w:rPr>
      </w:pPr>
      <w:r>
        <w:rPr>
          <w:rFonts w:ascii="Times New Roman" w:cs="Times New Roman" w:eastAsia="Times New Roman" w:hAnsi="Times New Roman"/>
          <w:sz w:val="17"/>
          <w:szCs w:val="17"/>
          <w:color w:val="auto"/>
        </w:rPr>
        <w:t>This begins with a real challenge. The commonly used approach of taking a biopsy of the affected tissue to detect the corresponding pathology is not possible with diseases of the brain. Given these complexities, it becomes more important that we develop improved methods to fully characterize the underlying pathologies in different patients to ultimately provide better opportunities for therapeutic intervention at all stages of disease. Samples of blood or cerebrospinal fluid can be used to monitor biomarker levels indirectly but neither of these fluids provide exact anatomical information on where protein misfolding and aggregation occur.</w:t>
      </w:r>
    </w:p>
    <w:p>
      <w:pPr>
        <w:spacing w:after="0" w:line="194" w:lineRule="exact"/>
        <w:rPr>
          <w:sz w:val="20"/>
          <w:szCs w:val="20"/>
          <w:color w:val="auto"/>
        </w:rPr>
      </w:pPr>
    </w:p>
    <w:p>
      <w:pPr>
        <w:ind w:left="40" w:right="119" w:firstLine="305"/>
        <w:spacing w:after="0" w:line="253" w:lineRule="auto"/>
        <w:rPr>
          <w:sz w:val="20"/>
          <w:szCs w:val="20"/>
          <w:color w:val="auto"/>
        </w:rPr>
      </w:pPr>
      <w:r>
        <w:rPr>
          <w:rFonts w:ascii="Times New Roman" w:cs="Times New Roman" w:eastAsia="Times New Roman" w:hAnsi="Times New Roman"/>
          <w:sz w:val="17"/>
          <w:szCs w:val="17"/>
          <w:color w:val="auto"/>
        </w:rPr>
        <w:t>At AC Immune, we have a strong track record in discovering highly sensitive and specific imaging agents to detect and quantify pathological proteins and their aggregated forms directly in patients’ brains using PET scans. These agents can provide critical information to confirm or exclude certain diagnoses and thus to determine which might be the most appropriate therapeutic strategy for a patient.</w:t>
      </w:r>
    </w:p>
    <w:p>
      <w:pPr>
        <w:spacing w:after="0" w:line="191" w:lineRule="exact"/>
        <w:rPr>
          <w:sz w:val="20"/>
          <w:szCs w:val="20"/>
          <w:color w:val="auto"/>
        </w:rPr>
      </w:pPr>
    </w:p>
    <w:p>
      <w:pPr>
        <w:ind w:left="40" w:right="139" w:firstLine="305"/>
        <w:spacing w:after="0" w:line="263" w:lineRule="auto"/>
        <w:rPr>
          <w:sz w:val="20"/>
          <w:szCs w:val="20"/>
          <w:color w:val="auto"/>
        </w:rPr>
      </w:pPr>
      <w:r>
        <w:rPr>
          <w:rFonts w:ascii="Times New Roman" w:cs="Times New Roman" w:eastAsia="Times New Roman" w:hAnsi="Times New Roman"/>
          <w:sz w:val="17"/>
          <w:szCs w:val="17"/>
          <w:color w:val="auto"/>
        </w:rPr>
        <w:t>We have developed PET imaging agents for clinical trials to one day deliver Precision Medicine for patients with neurodegenerative conditions. We believe this will enable a combination therapy approach to treat each patient's unique disease by addressing the right proteinopathy, in the right patient, at the right time.</w:t>
      </w:r>
    </w:p>
    <w:p>
      <w:pPr>
        <w:spacing w:after="0" w:line="17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7"/>
          <w:szCs w:val="17"/>
          <w:b w:val="1"/>
          <w:bCs w:val="1"/>
          <w:color w:val="auto"/>
        </w:rPr>
        <w:t>Figure 5: AC Immune’s product development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283845</wp:posOffset>
            </wp:positionV>
            <wp:extent cx="5214620" cy="24663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14620" cy="246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 Small molecules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329565</wp:posOffset>
            </wp:positionV>
            <wp:extent cx="5657850" cy="241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66" w:name="page67"/>
    <w:bookmarkEnd w:id="6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Active immunotherapies for Alzheimer’s and Parkinson’s disease</w:t>
      </w:r>
    </w:p>
    <w:p>
      <w:pPr>
        <w:spacing w:after="0" w:line="227" w:lineRule="exact"/>
        <w:rPr>
          <w:sz w:val="20"/>
          <w:szCs w:val="20"/>
          <w:color w:val="auto"/>
        </w:rPr>
      </w:pPr>
    </w:p>
    <w:p>
      <w:pPr>
        <w:ind w:left="40" w:right="279" w:firstLine="305"/>
        <w:spacing w:after="0" w:line="256" w:lineRule="auto"/>
        <w:rPr>
          <w:sz w:val="20"/>
          <w:szCs w:val="20"/>
          <w:color w:val="auto"/>
        </w:rPr>
      </w:pPr>
      <w:r>
        <w:rPr>
          <w:rFonts w:ascii="Times New Roman" w:cs="Times New Roman" w:eastAsia="Times New Roman" w:hAnsi="Times New Roman"/>
          <w:sz w:val="17"/>
          <w:szCs w:val="17"/>
          <w:color w:val="auto"/>
        </w:rPr>
        <w:t>Consistent with this approach, we are progressing our active immunotherapies targeting the hallmark proteins driving neurodegenerative diseases such as Abeta, Tau, and alpha-synuclein (a-syn). Our clinical stage active immunotherapy programs, ACI-24.060 (anti-Abeta active immunotherapy), ACI-35.030 (anti-pTau active immunotherapy), and ACI-7104.056 (anti-a-syn active immunotherapy) have been shown to stimulate a patient’s own immune system to produce antibodies directed specifically against the pathological species of these target proteins.</w:t>
      </w:r>
    </w:p>
    <w:p>
      <w:pPr>
        <w:spacing w:after="0" w:line="189" w:lineRule="exact"/>
        <w:rPr>
          <w:sz w:val="20"/>
          <w:szCs w:val="20"/>
          <w:color w:val="auto"/>
        </w:rPr>
      </w:pPr>
    </w:p>
    <w:p>
      <w:pPr>
        <w:ind w:left="40" w:right="259" w:firstLine="302"/>
        <w:spacing w:after="0" w:line="252" w:lineRule="auto"/>
        <w:rPr>
          <w:sz w:val="20"/>
          <w:szCs w:val="20"/>
          <w:color w:val="auto"/>
        </w:rPr>
      </w:pPr>
      <w:r>
        <w:rPr>
          <w:rFonts w:ascii="Times New Roman" w:cs="Times New Roman" w:eastAsia="Times New Roman" w:hAnsi="Times New Roman"/>
          <w:sz w:val="17"/>
          <w:szCs w:val="17"/>
          <w:color w:val="auto"/>
        </w:rPr>
        <w:t>We believe that these antibodies will modify the course of disease by supporting clearance of toxic protein aggregates (as recent clinical data from certain monoclonal antibodies have shown), or by preventing their spreading and accumulation, thereby preserving neuronal health and function. Importantly, the use of active immunotherapies over the longer-term and in people identified as “at risk” before symptomatic disease development will provide the rational, targeted approach consistent with our Precision Medicine strategy.</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Key elements of our approach include:</w:t>
      </w:r>
    </w:p>
    <w:p>
      <w:pPr>
        <w:spacing w:after="0" w:line="211" w:lineRule="exact"/>
        <w:rPr>
          <w:sz w:val="20"/>
          <w:szCs w:val="20"/>
          <w:color w:val="auto"/>
        </w:rPr>
      </w:pPr>
    </w:p>
    <w:p>
      <w:pPr>
        <w:ind w:left="340" w:right="479" w:firstLine="10"/>
        <w:spacing w:after="0" w:line="282" w:lineRule="auto"/>
        <w:tabs>
          <w:tab w:leader="none" w:pos="645" w:val="left"/>
        </w:tabs>
        <w:numPr>
          <w:ilvl w:val="0"/>
          <w:numId w:val="4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Execution on advancing our product candidates, in partnership or alone, from clinical development to regulatory approval and potential commercialization</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Figure 6: Our broad and robust pipeline of therapeutic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138430</wp:posOffset>
            </wp:positionV>
            <wp:extent cx="5222240" cy="25711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22240" cy="2571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(1) Phosphorylated Tau; (2) amyloid beta; (3) alpha-synuclein; (4) (NOD)-like receptor protein 3; (5) Progressive supranuclear palsy</w:t>
      </w:r>
    </w:p>
    <w:p>
      <w:pPr>
        <w:spacing w:after="0" w:line="3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Our clinical stage product candidates include:</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Active Immunotherapies</w:t>
      </w:r>
    </w:p>
    <w:p>
      <w:pPr>
        <w:spacing w:after="0" w:line="211" w:lineRule="exact"/>
        <w:rPr>
          <w:sz w:val="20"/>
          <w:szCs w:val="20"/>
          <w:color w:val="auto"/>
        </w:rPr>
      </w:pPr>
    </w:p>
    <w:p>
      <w:pPr>
        <w:ind w:left="680" w:right="79" w:hanging="305"/>
        <w:spacing w:after="0" w:line="269" w:lineRule="auto"/>
        <w:tabs>
          <w:tab w:leader="none" w:pos="6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ACI-7104.056. </w:t>
      </w:r>
      <w:r>
        <w:rPr>
          <w:rFonts w:ascii="Times New Roman" w:cs="Times New Roman" w:eastAsia="Times New Roman" w:hAnsi="Times New Roman"/>
          <w:sz w:val="17"/>
          <w:szCs w:val="17"/>
          <w:color w:val="auto"/>
        </w:rPr>
        <w:t>ACI-7104.056, our wholly owned active immunotherapy targeting pathological a-syn, is currently being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tested in a placebo-controlled, double-blind, adaptive, biomarker-based Phase 2 study (VacSYn; NCT06015841) in the EU and in the UK. This trial is evaluating the safety and immunogenicity of ACI-7104.056 against a-syn and pathological a-syn species in early PD. Additionally, disease-specific imaging and fluid biomarkers and progression of motor and non-motor symptoms of PD will be monitored. The VacSYn</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329565</wp:posOffset>
            </wp:positionV>
            <wp:extent cx="5657850" cy="241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67" w:name="page68"/>
    <w:bookmarkEnd w:id="6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80" w:right="79"/>
        <w:spacing w:after="0" w:line="286" w:lineRule="auto"/>
        <w:rPr>
          <w:sz w:val="20"/>
          <w:szCs w:val="20"/>
          <w:color w:val="auto"/>
        </w:rPr>
      </w:pPr>
      <w:r>
        <w:rPr>
          <w:rFonts w:ascii="Times New Roman" w:cs="Times New Roman" w:eastAsia="Times New Roman" w:hAnsi="Times New Roman"/>
          <w:sz w:val="16"/>
          <w:szCs w:val="16"/>
          <w:color w:val="auto"/>
        </w:rPr>
        <w:t>trial commenced in July 2023 with the dosing of the first patient and is progressing well with over 30 patients randomized in Part 1 of the study. Interim analyses have shown that ACI-7104.056 induces strong anti-a-synuclein antibody levels. ACI-7104.056 is well tolerated with no safety issues related to the study drug reported to date. A further interim analysis was conducted in H2 2025. The results from this interim analysis show that targeting a-syn pathology with an active immunotherapy could potentially slow the rate of progression of PD. Disease-related biomarker results, including a-syn CSF levels and neurofilament light chain (NfL), suggest potential stabilization of PD pathology. Plasma glial fibrillary acidic protein (GFAP) and dopamine transporter (DaT) SPECT imaging show trends toward disease modification. In addition, total scores on Part III of the Movement Disorder Society-Unified Parkinson's Disease Rating Scale (MDS-UPDRS) are suggestive of a trend for disease stabilization. The consistent signs of efficacy, together with the continued strong safety profile, provide a compelling rationale to progress ACI-7104.056 into more advanced clinical development.</w:t>
      </w:r>
    </w:p>
    <w:p>
      <w:pPr>
        <w:spacing w:after="0" w:line="88" w:lineRule="exact"/>
        <w:rPr>
          <w:sz w:val="20"/>
          <w:szCs w:val="20"/>
          <w:color w:val="auto"/>
        </w:rPr>
      </w:pPr>
    </w:p>
    <w:p>
      <w:pPr>
        <w:ind w:left="680" w:right="79" w:hanging="305"/>
        <w:spacing w:after="0" w:line="268" w:lineRule="auto"/>
        <w:tabs>
          <w:tab w:leader="none" w:pos="68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ACI-24.060 for AD and for AD in DS. </w:t>
      </w:r>
      <w:r>
        <w:rPr>
          <w:rFonts w:ascii="Times New Roman" w:cs="Times New Roman" w:eastAsia="Times New Roman" w:hAnsi="Times New Roman"/>
          <w:sz w:val="17"/>
          <w:szCs w:val="17"/>
          <w:color w:val="auto"/>
        </w:rPr>
        <w:t>ACI-24.060 is AC Immune’s anti-Abeta active immunotherapy being evaluated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patients with prodromal AD and in subjects with DS. ACI-24.060 contains Abeta unrelated T-helper cell epitopes to increase the magnitude and the boostability of the antibody response against pathological Abeta. It has demonstrated tolerability and immunogenicity in mouse and NHP studies. ACI-24.060 is currently being tested at 3 different incremental doses in the ABATE Phase 1b/2 trial (NCT05462106) and the pharmacodynamic effect, including the amyloid plaque reduction is being assessed using Abeta-PET imaging.</w:t>
      </w:r>
    </w:p>
    <w:p>
      <w:pPr>
        <w:spacing w:after="0" w:line="128" w:lineRule="exact"/>
        <w:rPr>
          <w:sz w:val="20"/>
          <w:szCs w:val="20"/>
          <w:color w:val="auto"/>
        </w:rPr>
      </w:pPr>
    </w:p>
    <w:p>
      <w:pPr>
        <w:ind w:left="660" w:right="79"/>
        <w:spacing w:after="0" w:line="266" w:lineRule="auto"/>
        <w:rPr>
          <w:sz w:val="20"/>
          <w:szCs w:val="20"/>
          <w:color w:val="auto"/>
        </w:rPr>
      </w:pPr>
      <w:r>
        <w:rPr>
          <w:rFonts w:ascii="Times New Roman" w:cs="Times New Roman" w:eastAsia="Times New Roman" w:hAnsi="Times New Roman"/>
          <w:sz w:val="17"/>
          <w:szCs w:val="17"/>
          <w:color w:val="auto"/>
        </w:rPr>
        <w:t>ABATE is a multicenter, adaptive, double-blind, randomized, placebo-controlled study designed to assess the safety, tolerability, immunogenicity, and pharmacodynamic effects of ACl-24.060 in subjects with prodromal AD and in adults with Down Syndrome (DS) with evidence of brain amyloid plaques at PET scan. The Clinical Trial Application (CTA) was approved by the UK Medicines and Healthcare Products Regulatory Agency (MHRA) and Spanish Agency for Medicines and Health Products (AEMPS) with the first AD patient dosed in June 2022. In June 2023, AC Immune received Fast Track designation from the FDA for ACI-24.060, for the treatment of AD. This followed FDA clearance of the Investigational New Drug (IND) application in May 2023 enabling the ABATE study to include clinical trial sites to enroll participants with DS in the U.S. Based on the safety profile and induction of an anti-Abeta antibody response post-dosing of ACI-24.060 in patients with AD, dosing of the first individual with DS occurred in June 2023. ACI-24.060 has been shown to be generally well tolerated in individuals with AD and with Down syndrome, noting in particular that no case of Amyloid-Related Imaging Abnormalities-vasogenic edema (ARIA-E) has been reported at brain MRI in these two study populations. Based on data available as of December 2025, the most frequently reported adverse events are injection site reactions and headaches. The majority of serious adverse events (SAEs) are either unlikely related or not related to study treatment, including one SAE with a fatal outcome. Only two SAEs in subjects with AD are considered possibly related to the study treatment.</w:t>
      </w:r>
    </w:p>
    <w:p>
      <w:pPr>
        <w:spacing w:after="0" w:line="126" w:lineRule="exact"/>
        <w:rPr>
          <w:sz w:val="20"/>
          <w:szCs w:val="20"/>
          <w:color w:val="auto"/>
        </w:rPr>
      </w:pPr>
    </w:p>
    <w:p>
      <w:pPr>
        <w:ind w:left="660" w:right="159"/>
        <w:spacing w:after="0" w:line="274" w:lineRule="auto"/>
        <w:rPr>
          <w:sz w:val="20"/>
          <w:szCs w:val="20"/>
          <w:color w:val="auto"/>
        </w:rPr>
      </w:pPr>
      <w:r>
        <w:rPr>
          <w:rFonts w:ascii="Times New Roman" w:cs="Times New Roman" w:eastAsia="Times New Roman" w:hAnsi="Times New Roman"/>
          <w:sz w:val="17"/>
          <w:szCs w:val="17"/>
          <w:color w:val="auto"/>
        </w:rPr>
        <w:t>Preliminary insights from blinded cohorts AD1, AD2 and AD3 showed that ACI-24.060 induced immunogenicity at all tested doses in subjects with AD, with higher doses showing increased anti-Abeta1-42 IgG titers and responder rates. Repeated immunizations led to a boosting effect across all dose levels and cohorts AD2 and AD3 showed a more durable and sustained immune response (Post, AD/PD 2025).</w:t>
      </w:r>
    </w:p>
    <w:p>
      <w:pPr>
        <w:spacing w:after="0" w:line="173" w:lineRule="exact"/>
        <w:rPr>
          <w:sz w:val="20"/>
          <w:szCs w:val="20"/>
          <w:color w:val="auto"/>
        </w:rPr>
      </w:pPr>
    </w:p>
    <w:p>
      <w:pPr>
        <w:ind w:left="660" w:right="59"/>
        <w:spacing w:after="0" w:line="272" w:lineRule="auto"/>
        <w:rPr>
          <w:sz w:val="20"/>
          <w:szCs w:val="20"/>
          <w:color w:val="auto"/>
        </w:rPr>
      </w:pPr>
      <w:r>
        <w:rPr>
          <w:rFonts w:ascii="Times New Roman" w:cs="Times New Roman" w:eastAsia="Times New Roman" w:hAnsi="Times New Roman"/>
          <w:sz w:val="17"/>
          <w:szCs w:val="17"/>
          <w:color w:val="auto"/>
        </w:rPr>
        <w:t>As announced on May 13, 2024, this program is the subject of an exclusive option and license agreement with Takeda Pharmaceuticals USA, Inc. (Takeda). Under the terms of the agreement, AC Immune received an upfront payment of USD 100.0 (CHF 92.3) million from Takeda and is eligible to receive payments of up to approximately USD 2.1 (CHF 1.7) billion including an option exercise fee in the low-to-mid nine-figure USD range and potential development, commercial and sales-based milestone payments. Upon commercialization, AC Immune will be entitled to receive tiered mid-to-high teens percentages royalties on worldwide net sales. Further details related to the agreement are available on the Current Report on Form 6-K furnished by the Company on May 13, 2024 with the SEC.</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68" w:name="page69"/>
    <w:bookmarkEnd w:id="6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80" w:right="379" w:hanging="305"/>
        <w:spacing w:after="0" w:line="286" w:lineRule="auto"/>
        <w:tabs>
          <w:tab w:leader="none" w:pos="6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ACI-35.030 (JNJ-64042056 also now referred to as JNJ-2056). </w:t>
      </w:r>
      <w:r>
        <w:rPr>
          <w:rFonts w:ascii="Times New Roman" w:cs="Times New Roman" w:eastAsia="Times New Roman" w:hAnsi="Times New Roman"/>
          <w:sz w:val="16"/>
          <w:szCs w:val="16"/>
          <w:color w:val="auto"/>
        </w:rPr>
        <w:t>AC Immune and Janssen Pharmaceuticals, Inc.</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(Janssen), part of Johnson &amp; Johnson, evaluated the anti-phosphorylated-Tau (anti-pTau) active immunotherapy ACI-</w:t>
      </w:r>
    </w:p>
    <w:p>
      <w:pPr>
        <w:ind w:left="680" w:right="99"/>
        <w:spacing w:after="0" w:line="26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35.030 in a Phase 1b/2a study in subjects with early AD (NCT04445831). Results showed that ACI-35.030 immunization generated a rapid antibody response (anti-pTau, anti-ePHF and anti-Tau IgG) after the first injection (at week 2) at the 3 tested doses. An apparent dose-effect was observed between low- and mid-doses but not between the mid- and high-doses. A boosting effect was observed after each injection especially against pathological Tau species (pTau and ePHF). The antibody response was strongly directed against these pathological Tau species but not against non-phosphorylated Tau. Long-term maintenance of the anti-ePHF IgG titers against endogenous pathological Tau was observed at the mid-and high doses.</w:t>
      </w:r>
    </w:p>
    <w:p>
      <w:pPr>
        <w:spacing w:after="0" w:line="113" w:lineRule="exact"/>
        <w:rPr>
          <w:sz w:val="20"/>
          <w:szCs w:val="20"/>
          <w:color w:val="auto"/>
        </w:rPr>
      </w:pPr>
    </w:p>
    <w:p>
      <w:pPr>
        <w:ind w:left="660" w:right="159"/>
        <w:spacing w:after="0" w:line="270" w:lineRule="auto"/>
        <w:rPr>
          <w:sz w:val="20"/>
          <w:szCs w:val="20"/>
          <w:color w:val="auto"/>
        </w:rPr>
      </w:pPr>
      <w:r>
        <w:rPr>
          <w:rFonts w:ascii="Times New Roman" w:cs="Times New Roman" w:eastAsia="Times New Roman" w:hAnsi="Times New Roman"/>
          <w:sz w:val="17"/>
          <w:szCs w:val="17"/>
          <w:color w:val="auto"/>
        </w:rPr>
        <w:t xml:space="preserve">A post-hoc analysis of the Phase 1b/2a clinical trial results revealed evidence for alteration of AD-related plasma biomarkers as statistically significant differences in changes from baseline of plasma pTau217 and brain-derived Tau between the mid- and high-dose ACI-35.030 and the pooled placebo group at different timepoints (Sol O. et al, eBioMedicine, 2025; 120: 105940). In addition, it was shown that ACI-35.030-induced antibodies might have the functional capacity to interfere with seeded tau aggregation as in serum from a subset of ACI-35.030-immunized patients inhibited seeding induced by pathological Tau species in an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cell-based model.</w:t>
      </w:r>
    </w:p>
    <w:p>
      <w:pPr>
        <w:spacing w:after="0" w:line="115" w:lineRule="exact"/>
        <w:rPr>
          <w:sz w:val="20"/>
          <w:szCs w:val="20"/>
          <w:color w:val="auto"/>
        </w:rPr>
      </w:pPr>
    </w:p>
    <w:p>
      <w:pPr>
        <w:ind w:left="660" w:right="119"/>
        <w:spacing w:after="0" w:line="272" w:lineRule="auto"/>
        <w:rPr>
          <w:sz w:val="20"/>
          <w:szCs w:val="20"/>
          <w:color w:val="auto"/>
        </w:rPr>
      </w:pPr>
      <w:r>
        <w:rPr>
          <w:rFonts w:ascii="Times New Roman" w:cs="Times New Roman" w:eastAsia="Times New Roman" w:hAnsi="Times New Roman"/>
          <w:sz w:val="17"/>
          <w:szCs w:val="17"/>
          <w:color w:val="auto"/>
        </w:rPr>
        <w:t>In the Phase 1b/2a clinical trial, ACI-35.030 showed a good safety and tolerability profile. The majority of adverse events (AEs) were of mild or moderate intensity. No death was reported. No AE led to study discontinuation or to study treatment discontinuation. Injection site reactions were the most frequently reported AEs in actively treated subjects. The frequency of serious adverse events (SAEs) observed in subjects treated with ACI-35.030 did not appear to have any particular relationship to the dose.</w:t>
      </w:r>
    </w:p>
    <w:p>
      <w:pPr>
        <w:spacing w:after="0" w:line="111" w:lineRule="exact"/>
        <w:rPr>
          <w:sz w:val="20"/>
          <w:szCs w:val="20"/>
          <w:color w:val="auto"/>
        </w:rPr>
      </w:pPr>
    </w:p>
    <w:p>
      <w:pPr>
        <w:ind w:left="660" w:right="79"/>
        <w:spacing w:after="0" w:line="269" w:lineRule="auto"/>
        <w:rPr>
          <w:sz w:val="20"/>
          <w:szCs w:val="20"/>
          <w:color w:val="auto"/>
        </w:rPr>
      </w:pPr>
      <w:r>
        <w:rPr>
          <w:rFonts w:ascii="Times New Roman" w:cs="Times New Roman" w:eastAsia="Times New Roman" w:hAnsi="Times New Roman"/>
          <w:sz w:val="17"/>
          <w:szCs w:val="17"/>
          <w:color w:val="auto"/>
        </w:rPr>
        <w:t>Consequently, ACI-35.030/JNJ-2056 is now being assessed in subjects with preclinical (i.e., pre-symptomatic) AD in the Phase 2b study ReTain (NCT06544616). The ongoing trial aims to randomize approximately 500 participants with confirmed early-stage Tau pathology, who will be treated over a four-year period. The trial will include interim biomarker analyses potentially allowing for acceleration towards a regulatory filing. JNJ-2056 was granted Fast Track designation by the FDA, for the treatment of AD in July 2024. In September 2024, AC Immune received a milestone payment triggered by the rapid rate of prescreening in the potentially registrational Phase 2b ReTain trial and the first patient was dosed in H2 2024.</w:t>
      </w:r>
    </w:p>
    <w:p>
      <w:pPr>
        <w:spacing w:after="0" w:line="116" w:lineRule="exact"/>
        <w:rPr>
          <w:sz w:val="20"/>
          <w:szCs w:val="20"/>
          <w:color w:val="auto"/>
        </w:rPr>
      </w:pPr>
    </w:p>
    <w:p>
      <w:pPr>
        <w:ind w:left="660" w:right="99"/>
        <w:spacing w:after="0" w:line="272" w:lineRule="auto"/>
        <w:rPr>
          <w:sz w:val="20"/>
          <w:szCs w:val="20"/>
          <w:color w:val="auto"/>
        </w:rPr>
      </w:pPr>
      <w:r>
        <w:rPr>
          <w:rFonts w:ascii="Times New Roman" w:cs="Times New Roman" w:eastAsia="Times New Roman" w:hAnsi="Times New Roman"/>
          <w:sz w:val="17"/>
          <w:szCs w:val="17"/>
          <w:color w:val="auto"/>
        </w:rPr>
        <w:t>AC Immune SA has been informed by Johnson &amp; Johnson, in relation to the Phase 2b study ReTain (NCT06544616), that while the Phase 2b ReTain trial continues, enrollment has been temporarily paused while Johnson &amp; Johnson evaluates aspects of the trial (including recruitment). There is no change for enrolled participants at this time, and they will continue to be treated and followed according to the protocol. The temporary pause in recruitment is voluntary and not related to new safety findings, and the trial’s pre-specified interim immunogenicity threshold was met.</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Small Molecule Drugs</w:t>
      </w:r>
    </w:p>
    <w:p>
      <w:pPr>
        <w:spacing w:after="0" w:line="211" w:lineRule="exact"/>
        <w:rPr>
          <w:sz w:val="20"/>
          <w:szCs w:val="20"/>
          <w:color w:val="auto"/>
        </w:rPr>
      </w:pPr>
    </w:p>
    <w:p>
      <w:pPr>
        <w:ind w:left="680" w:right="159" w:hanging="305"/>
        <w:spacing w:after="0" w:line="266" w:lineRule="auto"/>
        <w:tabs>
          <w:tab w:leader="none" w:pos="6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ACI-19764. </w:t>
      </w:r>
      <w:r>
        <w:rPr>
          <w:rFonts w:ascii="Times New Roman" w:cs="Times New Roman" w:eastAsia="Times New Roman" w:hAnsi="Times New Roman"/>
          <w:sz w:val="17"/>
          <w:szCs w:val="17"/>
          <w:color w:val="auto"/>
        </w:rPr>
        <w:t>Our proprietary Morphomer platform has delivered a potent, selective and highly brain penetrant NLRP3</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inhibitor, ACI-19764, potentially a best-in-class compound. ACI-19764 has a brain/plasma ratio of 0.7 in rats and a CSF/plasma ratio of 1.0 in dogs. In assays with human macrophages and human whole blood, ACI-19764 potently (2nM and 20.5nM, respectively) and selectively blocks the release of NLRP3-mediated effectors, including inflammatory cytokines (IL-1b and IL-18) and ASC (apoptosis-associated speck-like protein containing a C-terminal caspase recruitment domain). The compound showed excellent safety and tolerability in preclinical models and has a predicted human oral dose of 40mg per day. ACI-19764 key preclinical data were presented at AD/PD 2024, ITS 2024, the 8th Venusberg meeting 2025 and at EASD 2025. IND/CTA-enabling studies were completed in Q3 2025. A CTA for the First-In-Human study ACI-19764-2501, which will be conducted in the Netherlands, was submitted to CTIS on November 17, 2025. ACI-19764-2501 is a single-center, double-blind, randomized, placebo-controlled Phase 1 Study. It is investigating the safety,</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69" w:name="page70"/>
    <w:bookmarkEnd w:id="6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80" w:right="99"/>
        <w:spacing w:after="0" w:line="272" w:lineRule="auto"/>
        <w:rPr>
          <w:sz w:val="20"/>
          <w:szCs w:val="20"/>
          <w:color w:val="auto"/>
        </w:rPr>
      </w:pPr>
      <w:r>
        <w:rPr>
          <w:rFonts w:ascii="Times New Roman" w:cs="Times New Roman" w:eastAsia="Times New Roman" w:hAnsi="Times New Roman"/>
          <w:sz w:val="17"/>
          <w:szCs w:val="17"/>
          <w:color w:val="auto"/>
        </w:rPr>
        <w:t>tolerability, pharmacokinetics, target engagement and pharmacodynamics of single- and multiple-ascending doses of ACI-19764 in healthy participants. The First subject was dosed in the trial in February 2026. Data for both SAD and MAD are expected in Q4 2026. An additional cohort in a relevant patient population, exploring the pharmacodynamics of ACI-19764, may be added based on the results of the phase 1 and following submission and approval of a protocol amendment.</w:t>
      </w:r>
    </w:p>
    <w:p>
      <w:pPr>
        <w:spacing w:after="0" w:line="107" w:lineRule="exact"/>
        <w:rPr>
          <w:sz w:val="20"/>
          <w:szCs w:val="20"/>
          <w:color w:val="auto"/>
        </w:rPr>
      </w:pPr>
    </w:p>
    <w:p>
      <w:pPr>
        <w:ind w:left="680" w:right="139" w:hanging="305"/>
        <w:spacing w:after="0" w:line="271" w:lineRule="auto"/>
        <w:tabs>
          <w:tab w:leader="none" w:pos="6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Morphomer Tau aggregation inhibitors. </w:t>
      </w:r>
      <w:r>
        <w:rPr>
          <w:rFonts w:ascii="Times New Roman" w:cs="Times New Roman" w:eastAsia="Times New Roman" w:hAnsi="Times New Roman"/>
          <w:sz w:val="17"/>
          <w:szCs w:val="17"/>
          <w:color w:val="auto"/>
        </w:rPr>
        <w:t>We are researching and developing small molecule Tau aggregation inhibitors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with plans to evaluate candidates in AD. These compounds have the capability of potentially inhibiting Tau aggregation intracellularly and to possibly stop Tau propagation extracellularly. Several lead compounds were identified in 2025 with the goal to move into IND/CTA-enabling activities in 2026. In parallel, a customized Tau PET ligand has been identified to be possibly used early in clinical development to assess the target engagement of the therapeutic compound, offering a unique opportunity to accelerate and re-disk clinical development.</w:t>
      </w:r>
    </w:p>
    <w:p>
      <w:pPr>
        <w:spacing w:after="0" w:line="1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Monoclonal Antibodies</w:t>
      </w:r>
    </w:p>
    <w:p>
      <w:pPr>
        <w:spacing w:after="0" w:line="211" w:lineRule="exact"/>
        <w:rPr>
          <w:sz w:val="20"/>
          <w:szCs w:val="20"/>
          <w:color w:val="auto"/>
        </w:rPr>
      </w:pPr>
    </w:p>
    <w:p>
      <w:pPr>
        <w:ind w:left="680" w:right="99" w:hanging="305"/>
        <w:spacing w:after="0" w:line="268" w:lineRule="auto"/>
        <w:tabs>
          <w:tab w:leader="none" w:pos="68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Semorinemab</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Semorinemab is an investigational monoclonal anti-Tau antibody that targets the N-terminal portion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Tau protein and is designed to bind to Tau and slow its spread between neurons for the treatment of AD. AC Immune regained the global rights to semorinemab in February 2025, following termination of the collaboration agreement with Genentech, a member of the Roche Group, which termination became effective in April 2024. The Company will continue to review and evaluate available data sets, before decisions are made on potential further development and other opportunities.</w:t>
      </w:r>
    </w:p>
    <w:p>
      <w:pPr>
        <w:spacing w:after="0" w:line="111" w:lineRule="exact"/>
        <w:rPr>
          <w:rFonts w:ascii="Times New Roman" w:cs="Times New Roman" w:eastAsia="Times New Roman" w:hAnsi="Times New Roman"/>
          <w:sz w:val="17"/>
          <w:szCs w:val="17"/>
          <w:color w:val="auto"/>
        </w:rPr>
      </w:pPr>
    </w:p>
    <w:p>
      <w:pPr>
        <w:ind w:left="680" w:right="159" w:hanging="305"/>
        <w:spacing w:after="0" w:line="271" w:lineRule="auto"/>
        <w:tabs>
          <w:tab w:leader="none" w:pos="68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Crenezumab. </w:t>
      </w:r>
      <w:r>
        <w:rPr>
          <w:rFonts w:ascii="Times New Roman" w:cs="Times New Roman" w:eastAsia="Times New Roman" w:hAnsi="Times New Roman"/>
          <w:sz w:val="17"/>
          <w:szCs w:val="17"/>
          <w:color w:val="auto"/>
        </w:rPr>
        <w:t>Crenezumab is a humanized monoclonal antibody, an investigational treatment designed to slow AD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progression by neutralizing neurotoxic Abeta oligomers. It was designed by AC Immune to be a conformation-specific monoclonal antibody targeting multiple forms of misfolded Abeta. AC Immune regained the global rights to crenezumab in February 2025, following termination of the collaboration agreement with Genentech, a member of the Roche Group, which termination became effective in April 2024. AC Immune will continue to review and evaluate available data sets, before decisions are made on potential further development and other opportunities.</w:t>
      </w:r>
    </w:p>
    <w:p>
      <w:pPr>
        <w:spacing w:after="0" w:line="110" w:lineRule="exact"/>
        <w:rPr>
          <w:sz w:val="20"/>
          <w:szCs w:val="20"/>
          <w:color w:val="auto"/>
        </w:rPr>
      </w:pPr>
    </w:p>
    <w:p>
      <w:pPr>
        <w:ind w:left="680" w:hanging="305"/>
        <w:spacing w:after="0"/>
        <w:tabs>
          <w:tab w:leader="none" w:pos="680" w:val="left"/>
        </w:tabs>
        <w:numPr>
          <w:ilvl w:val="0"/>
          <w:numId w:val="5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Our diagnostic portfolio</w:t>
      </w:r>
    </w:p>
    <w:p>
      <w:pPr>
        <w:spacing w:after="0" w:line="215" w:lineRule="exact"/>
        <w:rPr>
          <w:sz w:val="20"/>
          <w:szCs w:val="20"/>
          <w:color w:val="auto"/>
        </w:rPr>
      </w:pPr>
    </w:p>
    <w:p>
      <w:pPr>
        <w:ind w:left="40" w:right="59" w:firstLine="305"/>
        <w:spacing w:after="0" w:line="250" w:lineRule="auto"/>
        <w:rPr>
          <w:sz w:val="20"/>
          <w:szCs w:val="20"/>
          <w:color w:val="auto"/>
        </w:rPr>
      </w:pPr>
      <w:r>
        <w:rPr>
          <w:rFonts w:ascii="Times New Roman" w:cs="Times New Roman" w:eastAsia="Times New Roman" w:hAnsi="Times New Roman"/>
          <w:sz w:val="17"/>
          <w:szCs w:val="17"/>
          <w:color w:val="auto"/>
        </w:rPr>
        <w:t>The early detection of neurodegenerative diseases may be critical to enhancing the effectiveness of both symptomatic and disease-modifying therapies. As a result, therapeutic development for AD increasingly focuses on treating early-stage disease to delay or prevent progression and to preserve the maximum amount of cognitive function before it is irreversibly lost. Most clinical studies now target mild or even preclinical stages of the disease increasing the need for accurate diagnosis that is independent of potentially subjective cognitive metrics. At least one study estimated that as many as one third of patients in previous AD studies did not in fact have AD. There is thus a substantial need for accurate and early diagnosis of AD and other neurodegenerative diseases, and diagnostic products will have a key role in generating a new treatment paradigm, including by selecting more uniform and stage-specific clinical study subjects, tracking patient progress and results, managing patients who are receiving treatment, and ultimately diagnosing disease at its earliest stage for immediate treatment.</w:t>
      </w:r>
    </w:p>
    <w:p>
      <w:pPr>
        <w:spacing w:after="0" w:line="185" w:lineRule="exact"/>
        <w:rPr>
          <w:sz w:val="20"/>
          <w:szCs w:val="20"/>
          <w:color w:val="auto"/>
        </w:rPr>
      </w:pPr>
    </w:p>
    <w:p>
      <w:pPr>
        <w:ind w:left="40" w:right="99" w:firstLine="305"/>
        <w:spacing w:after="0" w:line="251" w:lineRule="auto"/>
        <w:rPr>
          <w:sz w:val="20"/>
          <w:szCs w:val="20"/>
          <w:color w:val="auto"/>
        </w:rPr>
      </w:pPr>
      <w:r>
        <w:rPr>
          <w:rFonts w:ascii="Times New Roman" w:cs="Times New Roman" w:eastAsia="Times New Roman" w:hAnsi="Times New Roman"/>
          <w:sz w:val="17"/>
          <w:szCs w:val="17"/>
          <w:color w:val="auto"/>
        </w:rPr>
        <w:t>We have developed a suite of imaging agents now in clinical stage development. These were designed to be first-in-class or best-in-class PET scanning diagnostics, which could enable improved diagnosis of pathologies, patient selection and assessment of clinical trial outcomes. There are four such agents in our imaging pipeline, developed using our proprietary technology platforms and targeting: Tau, a-syn and TDP-43 (see Figure 6). Leveraging our Morphomer platform, we developed proprietary PET imaging agents for diseases resulting from the misfolding of a-syn and TDP-43 proteins. AC Immune’s candidates have high affinity and target specificity, as well as favorable central nervous system (CNS) pharmacokinetic properties. No such products are currently available for these important pathologies.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70" w:name="page71"/>
    <w:bookmarkEnd w:id="7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Figure 7: Our pipeline of Precision Medicine-enabling diagnostic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146685</wp:posOffset>
            </wp:positionV>
            <wp:extent cx="5158105" cy="20307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58105" cy="203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hanging="175"/>
        <w:spacing w:after="0"/>
        <w:tabs>
          <w:tab w:leader="none" w:pos="22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Alpha-synuclein; (2) TAR DNA-binding protein 43; (3) Positron emission tomography; (4) Multiple system atrophy; (5) Amyotrophic lateral sclerosis; (6) Alzheimer’s disease</w:t>
      </w:r>
    </w:p>
    <w:p>
      <w:pPr>
        <w:spacing w:after="0" w:line="200" w:lineRule="exact"/>
        <w:rPr>
          <w:rFonts w:ascii="Times New Roman" w:cs="Times New Roman" w:eastAsia="Times New Roman" w:hAnsi="Times New Roman"/>
          <w:sz w:val="12"/>
          <w:szCs w:val="12"/>
          <w:color w:val="auto"/>
        </w:rPr>
      </w:pPr>
    </w:p>
    <w:p>
      <w:pPr>
        <w:ind w:left="680" w:right="99" w:hanging="305"/>
        <w:spacing w:after="0" w:line="267" w:lineRule="auto"/>
        <w:tabs>
          <w:tab w:leader="none" w:pos="68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PI-2620</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PI-2620 (</w:t>
      </w:r>
      <w:r>
        <w:rPr>
          <w:rFonts w:ascii="Times New Roman" w:cs="Times New Roman" w:eastAsia="Times New Roman" w:hAnsi="Times New Roman"/>
          <w:sz w:val="17"/>
          <w:szCs w:val="17"/>
          <w:i w:val="1"/>
          <w:iCs w:val="1"/>
          <w:color w:val="auto"/>
        </w:rPr>
        <w:t>now also known as LNTH-2620</w:t>
      </w:r>
      <w:r>
        <w:rPr>
          <w:rFonts w:ascii="Times New Roman" w:cs="Times New Roman" w:eastAsia="Times New Roman" w:hAnsi="Times New Roman"/>
          <w:sz w:val="17"/>
          <w:szCs w:val="17"/>
          <w:color w:val="auto"/>
        </w:rPr>
        <w:t>) is the Tau-PET imaging agent discovered during the collaboration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between AC Immune and Life Molecular Imaging (acquired by Lantheus Holdings, Inc. in July 2025)). PI-2620 is a next-generation radioactive tracer used in PET scans to detect and visualize tau protein tangles in the brain, a key biomarker for Alzheimer’s disease and other neurodegenerative disorders. Results from clinical studies have been presented at conferences such as AAIC and published in peer-reviewed journals such as Journal of Nuclear Medicine. Life Molecular Imaging moved PI-2620 into a pivotal Phase 3 histopathology trial called ADvance in AD (NCT05641688) and made a milestone payment to AC Immune. In August 2024, Life Molecular Imaging received FDA Fast Track Designation for the diagnostic PI-2620, in three neurodegenerative conditions: AD, PSP, and CBD.</w:t>
      </w:r>
    </w:p>
    <w:p>
      <w:pPr>
        <w:spacing w:after="0" w:line="100" w:lineRule="exact"/>
        <w:rPr>
          <w:rFonts w:ascii="Times New Roman" w:cs="Times New Roman" w:eastAsia="Times New Roman" w:hAnsi="Times New Roman"/>
          <w:sz w:val="17"/>
          <w:szCs w:val="17"/>
          <w:color w:val="auto"/>
        </w:rPr>
      </w:pPr>
    </w:p>
    <w:p>
      <w:pPr>
        <w:ind w:left="680" w:right="99" w:hanging="305"/>
        <w:spacing w:after="0" w:line="271" w:lineRule="auto"/>
        <w:tabs>
          <w:tab w:leader="none" w:pos="68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ACI-12589 and ACI-15916. </w:t>
      </w:r>
      <w:r>
        <w:rPr>
          <w:rFonts w:ascii="Times New Roman" w:cs="Times New Roman" w:eastAsia="Times New Roman" w:hAnsi="Times New Roman"/>
          <w:sz w:val="17"/>
          <w:szCs w:val="17"/>
          <w:color w:val="auto"/>
        </w:rPr>
        <w:t>Our Morphomer platform has delivered the first clinically validated a-syn-PET tracer, ACI-12589, which now can support the differential diagnosis of multiple system atrophy (MSA) from other neurodegenerative diseases. Compared to ACI-12589, ACI-15916 our next generation a-syn PET tracer, shows significantly higher target occupancy in brain slices from idiopathic forms of PD and has therefore the potential to enable imaging of a-syn pathology in patients with PD. CTA-enabling studies for ACI-15916 were completed in H2 2024 and the Phase 1 trial in PD was initiated in Q1 2025. The readout from this study is expected in H1 2026.</w:t>
      </w:r>
    </w:p>
    <w:p>
      <w:pPr>
        <w:spacing w:after="0" w:line="109"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ACI-19626, TDP-43 imaging FIH study. </w:t>
      </w:r>
      <w:r>
        <w:rPr>
          <w:rFonts w:ascii="Times New Roman" w:cs="Times New Roman" w:eastAsia="Times New Roman" w:hAnsi="Times New Roman"/>
          <w:sz w:val="17"/>
          <w:szCs w:val="17"/>
          <w:color w:val="auto"/>
        </w:rPr>
        <w:t>Our Morphomer platform has delivered the first-in-class TDP-43 PET tracer,</w:t>
      </w:r>
    </w:p>
    <w:p>
      <w:pPr>
        <w:spacing w:after="0" w:line="27" w:lineRule="exact"/>
        <w:rPr>
          <w:rFonts w:ascii="Times New Roman" w:cs="Times New Roman" w:eastAsia="Times New Roman" w:hAnsi="Times New Roman"/>
          <w:sz w:val="17"/>
          <w:szCs w:val="17"/>
          <w:color w:val="auto"/>
        </w:rPr>
      </w:pPr>
    </w:p>
    <w:p>
      <w:pPr>
        <w:ind w:left="680" w:right="79"/>
        <w:spacing w:after="0" w:line="267" w:lineRule="auto"/>
        <w:rPr>
          <w:rFonts w:ascii="Times New Roman" w:cs="Times New Roman" w:eastAsia="Times New Roman" w:hAnsi="Times New Roman"/>
          <w:sz w:val="17"/>
          <w:szCs w:val="17"/>
          <w:color w:val="auto"/>
        </w:rPr>
      </w:pPr>
      <w:r>
        <w:rPr>
          <w:rFonts w:ascii="Times New Roman" w:cs="Times New Roman" w:eastAsia="Times New Roman" w:hAnsi="Times New Roman"/>
          <w:sz w:val="24"/>
          <w:szCs w:val="24"/>
          <w:color w:val="auto"/>
          <w:vertAlign w:val="superscript"/>
        </w:rPr>
        <w:t>18</w:t>
      </w:r>
      <w:r>
        <w:rPr>
          <w:rFonts w:ascii="Times New Roman" w:cs="Times New Roman" w:eastAsia="Times New Roman" w:hAnsi="Times New Roman"/>
          <w:sz w:val="16"/>
          <w:szCs w:val="16"/>
          <w:color w:val="auto"/>
        </w:rPr>
        <w:t>F-ACI-19626 currently being evaluated in an FIH study in healthy volunteers as well as in patients with different TDP-43 proteinopathies. In vitro, ACI-19626 shows optimal binding potential in frontotemporal lobar degeneration (FTLD)-TDP brain tissue with no binding to physiological TDP-43, excellent selectivity over other aggregated proteins commonly present in neurodegenerative diseases and aging brain, and an excellent brain PET-ligand pharmacokinetic profile (Vokali et al., 2025 Nature Comm). The ongoing FIH study was initiated in Q1 2025 and initial results suggest higher brain uptake in genetic FTD cases compared to healthy controls in the relevant brain regions for TDP-43 pathology. The study will further explore the signal in patients with genetic FTD and ALS, among others. This PET tracer is envisioned to enable early and differential diagnosis, and could have a high impact, opening new opportunities for therapeutic interventions in diseases with high unmet medical needs and huge societal burdens, such as ALS, FTD and AD.</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71" w:name="page72"/>
    <w:bookmarkEnd w:id="7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119"/>
        <w:spacing w:after="0" w:line="280" w:lineRule="auto"/>
        <w:rPr>
          <w:sz w:val="20"/>
          <w:szCs w:val="20"/>
          <w:color w:val="auto"/>
        </w:rPr>
      </w:pPr>
      <w:r>
        <w:rPr>
          <w:rFonts w:ascii="Times New Roman" w:cs="Times New Roman" w:eastAsia="Times New Roman" w:hAnsi="Times New Roman"/>
          <w:sz w:val="16"/>
          <w:szCs w:val="16"/>
          <w:color w:val="auto"/>
        </w:rPr>
        <w:t>Our various PET tracers have been validated through prestigious and competitive grants from the MJFF, EU Joint Programme – Neurodegenerative Disease Research’ (JPND) and Target ALS Foundation. If validated clinically, our tracers could become the first in the world to effectively diagnose these respective proteinopathies, which are highly relevant for multiple neurodegenerative diseases. AC Immune aims to see these programs carried forward in collaboration with partners after Phase 1 results.</w:t>
      </w:r>
    </w:p>
    <w:p>
      <w:pPr>
        <w:spacing w:after="0" w:line="153" w:lineRule="exact"/>
        <w:rPr>
          <w:sz w:val="20"/>
          <w:szCs w:val="20"/>
          <w:color w:val="auto"/>
        </w:rPr>
      </w:pPr>
    </w:p>
    <w:p>
      <w:pPr>
        <w:ind w:left="680" w:right="159" w:hanging="305"/>
        <w:spacing w:after="0" w:line="282" w:lineRule="auto"/>
        <w:tabs>
          <w:tab w:leader="none" w:pos="680" w:val="left"/>
        </w:tabs>
        <w:numPr>
          <w:ilvl w:val="0"/>
          <w:numId w:val="5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Continuing to optimize our long-term growth by selectively partnering product candidates for global development and commercialization</w:t>
      </w:r>
    </w:p>
    <w:p>
      <w:pPr>
        <w:spacing w:after="0" w:line="154" w:lineRule="exact"/>
        <w:rPr>
          <w:sz w:val="20"/>
          <w:szCs w:val="20"/>
          <w:color w:val="auto"/>
        </w:rPr>
      </w:pPr>
    </w:p>
    <w:p>
      <w:pPr>
        <w:ind w:left="40" w:right="139" w:firstLine="305"/>
        <w:spacing w:after="0" w:line="251" w:lineRule="auto"/>
        <w:rPr>
          <w:sz w:val="20"/>
          <w:szCs w:val="20"/>
          <w:color w:val="auto"/>
        </w:rPr>
      </w:pPr>
      <w:r>
        <w:rPr>
          <w:rFonts w:ascii="Times New Roman" w:cs="Times New Roman" w:eastAsia="Times New Roman" w:hAnsi="Times New Roman"/>
          <w:sz w:val="17"/>
          <w:szCs w:val="17"/>
          <w:color w:val="auto"/>
        </w:rPr>
        <w:t>We have a strong track record of establishing value-driving collaboration agreements with leading pharmaceutical companies, such as Janssen, Takeda, Lilly and Lantheus. This strategy allows us to leverage our partners’ scientific, development, manufacturing and commercialization expertise and other resources while partially monetizing our investments, de-risking and accelerating the development of our product candidates. This strategy also enables us to use non-dilutive partnership revenue to bolster our investment into our early-stage proprietary programs and fuel our continued growth. Our collaboration agreements are summarized in the table below:</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Figure 8: External validation and cash generation through external collaborations</w:t>
      </w:r>
      <w:r>
        <w:rPr>
          <w:rFonts w:ascii="Times New Roman" w:cs="Times New Roman" w:eastAsia="Times New Roman" w:hAnsi="Times New Roman"/>
          <w:sz w:val="25"/>
          <w:szCs w:val="25"/>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92710</wp:posOffset>
            </wp:positionV>
            <wp:extent cx="5214620" cy="21920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14620" cy="2192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right="99" w:firstLine="5"/>
        <w:spacing w:after="0" w:line="256" w:lineRule="auto"/>
        <w:tabs>
          <w:tab w:leader="none" w:pos="208"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Disclosure limited due to confidentiality agreements with collaboration partners; (2) In millions; (3) Total payments received from partner until termination of agreement; (4) Positron emission tomography; (5) In Alzheimer’s disease; (6) Phase 1 completed; (7) Equity investment; (8) Converted to CHF on date of receipt; (9) Excludes convertible note agreement of USD 50 million ; * previously licensed to Genentech (a member of the Roche Group)</w:t>
      </w:r>
    </w:p>
    <w:p>
      <w:pPr>
        <w:spacing w:after="0" w:line="180" w:lineRule="exact"/>
        <w:rPr>
          <w:sz w:val="20"/>
          <w:szCs w:val="20"/>
          <w:color w:val="auto"/>
        </w:rPr>
      </w:pPr>
    </w:p>
    <w:p>
      <w:pPr>
        <w:ind w:left="40" w:right="299" w:firstLine="305"/>
        <w:spacing w:after="0" w:line="256" w:lineRule="auto"/>
        <w:rPr>
          <w:sz w:val="20"/>
          <w:szCs w:val="20"/>
          <w:color w:val="auto"/>
        </w:rPr>
      </w:pPr>
      <w:r>
        <w:rPr>
          <w:rFonts w:ascii="Times New Roman" w:cs="Times New Roman" w:eastAsia="Times New Roman" w:hAnsi="Times New Roman"/>
          <w:sz w:val="17"/>
          <w:szCs w:val="17"/>
          <w:color w:val="auto"/>
        </w:rPr>
        <w:t>For any additional product candidates targeting large markets, we may, if appropriate, selectively partner with leading companies that we believe can contribute development, manufacturing and marketing expertise, geographic reach and/or other resources that can enhance the value of our wholly-owned products. We will continue to seek to retain certain indications and/or geographies, such that we could begin to grow our own marketing capabilities and develop AC Immune into a fully integrated pharmaceutical company.</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The benefits of our clinically-validated, proprietary technology platforms</w:t>
      </w:r>
    </w:p>
    <w:p>
      <w:pPr>
        <w:spacing w:after="0" w:line="215" w:lineRule="exact"/>
        <w:rPr>
          <w:sz w:val="20"/>
          <w:szCs w:val="20"/>
          <w:color w:val="auto"/>
        </w:rPr>
      </w:pPr>
    </w:p>
    <w:p>
      <w:pPr>
        <w:ind w:left="40" w:right="119" w:firstLine="305"/>
        <w:spacing w:after="0" w:line="255" w:lineRule="auto"/>
        <w:rPr>
          <w:sz w:val="20"/>
          <w:szCs w:val="20"/>
          <w:color w:val="auto"/>
        </w:rPr>
      </w:pPr>
      <w:r>
        <w:rPr>
          <w:rFonts w:ascii="Times New Roman" w:cs="Times New Roman" w:eastAsia="Times New Roman" w:hAnsi="Times New Roman"/>
          <w:sz w:val="17"/>
          <w:szCs w:val="17"/>
          <w:color w:val="auto"/>
        </w:rPr>
        <w:t>The engines that drive our growth are our two unique proprietary and versatile technology platforms: our SupraAntigen platform for biological and immunological product candidates, and our Morphomer platform for small molecule product candidates. These clinically-validated platforms are designed to generate candidates which selectively interact with the target pathologic proteins that are common in a broad range of neurodegenerative diseases. The key aspect of both our SupraAntigen and Morphomer technology platforms is conformational specificity, which we believe is central to the development of effective and safe therapeutics for neurodegenerative diseases.</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72" w:name="page73"/>
    <w:bookmarkEnd w:id="7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419" w:firstLine="305"/>
        <w:spacing w:after="0" w:line="277" w:lineRule="auto"/>
        <w:rPr>
          <w:sz w:val="20"/>
          <w:szCs w:val="20"/>
          <w:color w:val="auto"/>
        </w:rPr>
      </w:pPr>
      <w:r>
        <w:rPr>
          <w:rFonts w:ascii="Times New Roman" w:cs="Times New Roman" w:eastAsia="Times New Roman" w:hAnsi="Times New Roman"/>
          <w:sz w:val="17"/>
          <w:szCs w:val="17"/>
          <w:color w:val="auto"/>
        </w:rPr>
        <w:t>Our SupraAntigen platform drives the production of antibodies targeting misfolded proteins by immunization using target antigens displayed on the surface of liposomes, which mimic the specific pathological form of the protein.</w:t>
      </w:r>
    </w:p>
    <w:p>
      <w:pPr>
        <w:spacing w:after="0" w:line="158" w:lineRule="exact"/>
        <w:rPr>
          <w:sz w:val="20"/>
          <w:szCs w:val="20"/>
          <w:color w:val="auto"/>
        </w:rPr>
      </w:pPr>
    </w:p>
    <w:p>
      <w:pPr>
        <w:ind w:left="40" w:right="79" w:firstLine="305"/>
        <w:spacing w:after="0" w:line="256" w:lineRule="auto"/>
        <w:rPr>
          <w:sz w:val="20"/>
          <w:szCs w:val="20"/>
          <w:color w:val="auto"/>
        </w:rPr>
      </w:pPr>
      <w:r>
        <w:rPr>
          <w:rFonts w:ascii="Times New Roman" w:cs="Times New Roman" w:eastAsia="Times New Roman" w:hAnsi="Times New Roman"/>
          <w:sz w:val="17"/>
          <w:szCs w:val="17"/>
          <w:color w:val="auto"/>
        </w:rPr>
        <w:t>Our Morphomer platform selects small molecular weight compounds to target the aggregation of misfolded pathologic proteins inside the cell and prevent the formation of new misfolded proteins in healthy neighboring cells by reducing the seeding process. Small molecules derived from our Morphomer platform, which we refer to as Morphomers, not only inhibit aggregation of pathological proteins, but also promote disaggregation of already formed aggregates, thereby potentially enhancing their therapeutic potential even in established disease states.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Figure 9: SupraAntigen and Morphomer platforms: an integrated approach to CNS-specific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146685</wp:posOffset>
            </wp:positionV>
            <wp:extent cx="5214620" cy="21113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14620" cy="2111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(1) Nanomolar; (2) Picomolar; (3) Central nervous system; (4) Blood-brain barrier; (5) alpha-synuclein; (6) TAR DNA-binding protein 43</w:t>
      </w:r>
    </w:p>
    <w:p>
      <w:pPr>
        <w:spacing w:after="0" w:line="204" w:lineRule="exact"/>
        <w:rPr>
          <w:sz w:val="20"/>
          <w:szCs w:val="20"/>
          <w:color w:val="auto"/>
        </w:rPr>
      </w:pPr>
    </w:p>
    <w:p>
      <w:pPr>
        <w:ind w:left="40" w:right="119" w:firstLine="305"/>
        <w:spacing w:after="0" w:line="256" w:lineRule="auto"/>
        <w:rPr>
          <w:sz w:val="20"/>
          <w:szCs w:val="20"/>
          <w:color w:val="auto"/>
        </w:rPr>
      </w:pPr>
      <w:r>
        <w:rPr>
          <w:rFonts w:ascii="Times New Roman" w:cs="Times New Roman" w:eastAsia="Times New Roman" w:hAnsi="Times New Roman"/>
          <w:sz w:val="17"/>
          <w:szCs w:val="17"/>
          <w:color w:val="auto"/>
        </w:rPr>
        <w:t>The SupraAntigen platform was first developed by AC Immune to overcome a challenge common to neurodegenerative diseases: the lack of immunogenicity of the disease-causing self-proteins. Using liposomes to present specific antigens designed to evoke an immune response, SupraAntigen generates conformation-specific antibodies for immunotherapy in neurodegenerative diseases. The overarching idea behind the platform is that antibodies are well-suited to target extracellular proteins, interrupt spreading of pathological proteins, and break up and clear aggregates of misfolded proteins through phagocytosis.</w:t>
      </w:r>
    </w:p>
    <w:p>
      <w:pPr>
        <w:spacing w:after="0" w:line="176" w:lineRule="exact"/>
        <w:rPr>
          <w:sz w:val="20"/>
          <w:szCs w:val="20"/>
          <w:color w:val="auto"/>
        </w:rPr>
      </w:pPr>
    </w:p>
    <w:p>
      <w:pPr>
        <w:ind w:left="40" w:right="119" w:firstLine="305"/>
        <w:spacing w:after="0" w:line="252" w:lineRule="auto"/>
        <w:rPr>
          <w:sz w:val="20"/>
          <w:szCs w:val="20"/>
          <w:color w:val="auto"/>
        </w:rPr>
      </w:pPr>
      <w:r>
        <w:rPr>
          <w:rFonts w:ascii="Times New Roman" w:cs="Times New Roman" w:eastAsia="Times New Roman" w:hAnsi="Times New Roman"/>
          <w:sz w:val="17"/>
          <w:szCs w:val="17"/>
          <w:color w:val="auto"/>
        </w:rPr>
        <w:t>AC Immune has significant know-how in the design and manipulation of liposomes carrying a specific antigen of choice to generate antibodies targeting neurodegenerative diseases. Through immunization using SupraAntigen-based products, so-called active immunotherapy, antibodies that specifically target the pathological forms of the target proteins are produced naturally by the patient with very high affinity without further optimization. This immune response can be long-lasting and may be ideal to prevent the onset of a disease, as the immune system is now primed to rapidly attack specific disease-causing misfolded proteins.</w:t>
      </w:r>
    </w:p>
    <w:p>
      <w:pPr>
        <w:spacing w:after="0" w:line="179" w:lineRule="exact"/>
        <w:rPr>
          <w:sz w:val="20"/>
          <w:szCs w:val="20"/>
          <w:color w:val="auto"/>
        </w:rPr>
      </w:pPr>
    </w:p>
    <w:p>
      <w:pPr>
        <w:jc w:val="both"/>
        <w:ind w:left="40" w:right="139" w:firstLine="305"/>
        <w:spacing w:after="0" w:line="263" w:lineRule="auto"/>
        <w:rPr>
          <w:sz w:val="20"/>
          <w:szCs w:val="20"/>
          <w:color w:val="auto"/>
        </w:rPr>
      </w:pPr>
      <w:r>
        <w:rPr>
          <w:rFonts w:ascii="Times New Roman" w:cs="Times New Roman" w:eastAsia="Times New Roman" w:hAnsi="Times New Roman"/>
          <w:sz w:val="17"/>
          <w:szCs w:val="17"/>
          <w:color w:val="auto"/>
        </w:rPr>
        <w:t>Product candidates generated utilizing the SupraAntigen platform include active immunotherapies (i) ACI-35.030, which is in the ongoing ReTain Phase 2b clinical trial in preclinical AD, and (ii) ACI-24.060 in the ABATE Phase 1b/2 study in subjects with prodromal AD and in adults with DS.</w:t>
      </w:r>
    </w:p>
    <w:p>
      <w:pPr>
        <w:spacing w:after="0" w:line="157" w:lineRule="exact"/>
        <w:rPr>
          <w:sz w:val="20"/>
          <w:szCs w:val="20"/>
          <w:color w:val="auto"/>
        </w:rPr>
      </w:pPr>
    </w:p>
    <w:p>
      <w:pPr>
        <w:ind w:left="40" w:right="619" w:firstLine="305"/>
        <w:spacing w:after="0" w:line="258" w:lineRule="auto"/>
        <w:rPr>
          <w:sz w:val="20"/>
          <w:szCs w:val="20"/>
          <w:color w:val="auto"/>
        </w:rPr>
      </w:pPr>
      <w:r>
        <w:rPr>
          <w:rFonts w:ascii="Times New Roman" w:cs="Times New Roman" w:eastAsia="Times New Roman" w:hAnsi="Times New Roman"/>
          <w:sz w:val="17"/>
          <w:szCs w:val="17"/>
          <w:color w:val="auto"/>
        </w:rPr>
        <w:t>The Morphomer platform is designed for the development of small molecules (Morphomers) able to bind/interact with misfolded proteins in the brain (typically misfolded into so called beta-sheet structures which contain fibrillary aggregates). Morphomers can target specific pathological protein aggregates in any brain compartment and are equally well suited for therapeutic and diagnostic applications.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73" w:name="page74"/>
    <w:bookmarkEnd w:id="7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119" w:firstLine="305"/>
        <w:spacing w:after="0" w:line="254" w:lineRule="auto"/>
        <w:rPr>
          <w:sz w:val="20"/>
          <w:szCs w:val="20"/>
          <w:color w:val="auto"/>
        </w:rPr>
      </w:pPr>
      <w:r>
        <w:rPr>
          <w:rFonts w:ascii="Times New Roman" w:cs="Times New Roman" w:eastAsia="Times New Roman" w:hAnsi="Times New Roman"/>
          <w:sz w:val="17"/>
          <w:szCs w:val="17"/>
          <w:color w:val="auto"/>
        </w:rPr>
        <w:t>AC Immune’s extensive know-how has enabled the identification of rationally designed CNS compounds that penetrate the brain and demonstrate high selectivity for the target. This knowledge has been used to create the Morphomer library of almost 20,000 compounds that display these favorable characteristics, making the library an ideal starting point to develop molecules targeting human proteinopathies of the CNS. Selecting CNS candidates using the Morphomer platform improves efficiency and accelerates the early stages of the drug development process. Extensive expertise in medicinal chemistry and a suite of proprietary assays developed to screen and validate candidate compounds enables AC Immune to rapidly optimize multiple, highly diversified leads for further preclinical and clinical development.</w:t>
      </w:r>
    </w:p>
    <w:p>
      <w:pPr>
        <w:spacing w:after="0" w:line="164" w:lineRule="exact"/>
        <w:rPr>
          <w:sz w:val="20"/>
          <w:szCs w:val="20"/>
          <w:color w:val="auto"/>
        </w:rPr>
      </w:pPr>
    </w:p>
    <w:p>
      <w:pPr>
        <w:ind w:left="40" w:right="79" w:firstLine="305"/>
        <w:spacing w:after="0" w:line="258" w:lineRule="auto"/>
        <w:rPr>
          <w:sz w:val="20"/>
          <w:szCs w:val="20"/>
          <w:color w:val="auto"/>
        </w:rPr>
      </w:pPr>
      <w:r>
        <w:rPr>
          <w:rFonts w:ascii="Times New Roman" w:cs="Times New Roman" w:eastAsia="Times New Roman" w:hAnsi="Times New Roman"/>
          <w:sz w:val="17"/>
          <w:szCs w:val="17"/>
          <w:color w:val="auto"/>
        </w:rPr>
        <w:t>Therapeutic product candidates generated by the Morphomer platform include our Morphomer Tau and Morphomer a-syn programs, while diagnostic programs include PI-2620 in Phase 3 in Alzheimer’s disease, ACI-12589 in a Phase 1 clinical trial in MSA and our TDP-43-PET imaging agent in a Phase 1 study in genetic FTD. ACI-15916, our next-generation a-syn-PET tracer for PD is also in an ongoing Phase 1 study.</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Shifting the treatment paradigm for neurodegenerative disease towards precision medicine and disease prevention</w:t>
      </w:r>
    </w:p>
    <w:p>
      <w:pPr>
        <w:spacing w:after="0" w:line="215" w:lineRule="exact"/>
        <w:rPr>
          <w:sz w:val="20"/>
          <w:szCs w:val="20"/>
          <w:color w:val="auto"/>
        </w:rPr>
      </w:pPr>
    </w:p>
    <w:p>
      <w:pPr>
        <w:ind w:left="40" w:right="139" w:firstLine="305"/>
        <w:spacing w:after="0" w:line="251" w:lineRule="auto"/>
        <w:rPr>
          <w:sz w:val="20"/>
          <w:szCs w:val="20"/>
          <w:color w:val="auto"/>
        </w:rPr>
      </w:pPr>
      <w:r>
        <w:rPr>
          <w:rFonts w:ascii="Times New Roman" w:cs="Times New Roman" w:eastAsia="Times New Roman" w:hAnsi="Times New Roman"/>
          <w:sz w:val="17"/>
          <w:szCs w:val="17"/>
          <w:color w:val="auto"/>
        </w:rPr>
        <w:t>Modifying the progression of the disease requires targeting the specific underlying biological processes that drive disease progression. These processes evolve over the course of many years prior to manifestation of symptoms and many neurons may be lost prior to clinical manifestation. Earlier intervention or prevention of the disease could have a major impact, but it requires accurate disease detection prior to developing symptoms. Due to recent advancement in biomarker research, people at risk of developing AD can be diagnosed 10-20 years before symptoms occur. This is opening a completely new market segment for the prevention of NDD in which active immunization will play a key role. This early, and potentially preventative, Precision Medicine approach may ultimately lead to better disease management for patients with neurodegenerative diseases.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Figure 10: Active immunotherapies as a new class of treatment for neurodegenerative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146685</wp:posOffset>
            </wp:positionV>
            <wp:extent cx="5190490" cy="1530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90490" cy="1530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(1) Amyloid-related imaging abnormalities-edema</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74" w:name="page75"/>
    <w:bookmarkEnd w:id="7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652145</wp:posOffset>
            </wp:positionV>
            <wp:extent cx="5214620" cy="22244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14620" cy="2224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right="259" w:firstLine="305"/>
        <w:spacing w:after="0" w:line="263" w:lineRule="auto"/>
        <w:rPr>
          <w:sz w:val="20"/>
          <w:szCs w:val="20"/>
          <w:color w:val="auto"/>
        </w:rPr>
      </w:pPr>
      <w:r>
        <w:rPr>
          <w:rFonts w:ascii="Times New Roman" w:cs="Times New Roman" w:eastAsia="Times New Roman" w:hAnsi="Times New Roman"/>
          <w:sz w:val="17"/>
          <w:szCs w:val="17"/>
          <w:color w:val="auto"/>
        </w:rPr>
        <w:t>Given the inherent advantages of active immunotherapies compared to monoclonal antibodies, we believe that our programs could have a profound global social and economic impact as a new class of therapy for neurogenerative diseases in various settings.</w:t>
      </w:r>
    </w:p>
    <w:p>
      <w:pPr>
        <w:spacing w:after="0" w:line="170" w:lineRule="exact"/>
        <w:rPr>
          <w:sz w:val="20"/>
          <w:szCs w:val="20"/>
          <w:color w:val="auto"/>
        </w:rPr>
      </w:pPr>
    </w:p>
    <w:p>
      <w:pPr>
        <w:ind w:left="40" w:right="59" w:firstLine="305"/>
        <w:spacing w:after="0" w:line="252" w:lineRule="auto"/>
        <w:rPr>
          <w:sz w:val="20"/>
          <w:szCs w:val="20"/>
          <w:color w:val="auto"/>
        </w:rPr>
      </w:pPr>
      <w:r>
        <w:rPr>
          <w:rFonts w:ascii="Times New Roman" w:cs="Times New Roman" w:eastAsia="Times New Roman" w:hAnsi="Times New Roman"/>
          <w:sz w:val="17"/>
          <w:szCs w:val="17"/>
          <w:color w:val="auto"/>
        </w:rPr>
        <w:t>With regard to treatment, active immunotherapies have potentially improved safety and efficacy profiles. By stimulating the patient’s own immune system to produce antibodies, we believe safety and tolerability would be enhanced by avoiding the need to introduce repeated large doses of externally manufactured antibodies. Additionally, due to their ability to target multiple epitopes with a long-lasting and consistent immune response, the polyclonal antibody response generated by an active immunotherapy could potentially address multiple pathological species of the targeted protein.</w:t>
      </w:r>
    </w:p>
    <w:p>
      <w:pPr>
        <w:spacing w:after="0" w:line="179" w:lineRule="exact"/>
        <w:rPr>
          <w:sz w:val="20"/>
          <w:szCs w:val="20"/>
          <w:color w:val="auto"/>
        </w:rPr>
      </w:pPr>
    </w:p>
    <w:p>
      <w:pPr>
        <w:ind w:left="40" w:right="339" w:firstLine="305"/>
        <w:spacing w:after="0" w:line="256" w:lineRule="auto"/>
        <w:rPr>
          <w:sz w:val="20"/>
          <w:szCs w:val="20"/>
          <w:color w:val="auto"/>
        </w:rPr>
      </w:pPr>
      <w:r>
        <w:rPr>
          <w:rFonts w:ascii="Times New Roman" w:cs="Times New Roman" w:eastAsia="Times New Roman" w:hAnsi="Times New Roman"/>
          <w:sz w:val="17"/>
          <w:szCs w:val="17"/>
          <w:color w:val="auto"/>
        </w:rPr>
        <w:t>Active immunotherapies are also much simpler to administer. They are amenable to convenient annual or biannual dosing whereas monoclonal antibodies require frequent intravenous infusions (up to twice per month). These dosing regimens position active immunotherapies as an obvious solution for maintenance therapy for patients who have previously achieved plaque clearance with antibodies. This approach will reduce the burden for infusion centers and enhance access to a broader patient population.</w:t>
      </w:r>
    </w:p>
    <w:p>
      <w:pPr>
        <w:spacing w:after="0" w:line="176" w:lineRule="exact"/>
        <w:rPr>
          <w:sz w:val="20"/>
          <w:szCs w:val="20"/>
          <w:color w:val="auto"/>
        </w:rPr>
      </w:pPr>
    </w:p>
    <w:p>
      <w:pPr>
        <w:ind w:left="40" w:right="79" w:firstLine="305"/>
        <w:spacing w:after="0" w:line="253" w:lineRule="auto"/>
        <w:rPr>
          <w:sz w:val="20"/>
          <w:szCs w:val="20"/>
          <w:color w:val="auto"/>
        </w:rPr>
      </w:pPr>
      <w:r>
        <w:rPr>
          <w:rFonts w:ascii="Times New Roman" w:cs="Times New Roman" w:eastAsia="Times New Roman" w:hAnsi="Times New Roman"/>
          <w:sz w:val="17"/>
          <w:szCs w:val="17"/>
          <w:color w:val="auto"/>
        </w:rPr>
        <w:t>In addition to these advantages, active immunotherapies allow for more simplified distribution logistics and cost-effectiveness. These factors are crucial to enable their global application as preventative therapies. Given the irreversible nature of neuronal damage, earlier intervention, even before symptoms become visible, promises to be the best strategy to preserve patient function and quality of life.</w:t>
      </w:r>
    </w:p>
    <w:p>
      <w:pPr>
        <w:spacing w:after="0" w:line="178" w:lineRule="exact"/>
        <w:rPr>
          <w:sz w:val="20"/>
          <w:szCs w:val="20"/>
          <w:color w:val="auto"/>
        </w:rPr>
      </w:pPr>
    </w:p>
    <w:p>
      <w:pPr>
        <w:ind w:left="40" w:right="139" w:firstLine="305"/>
        <w:spacing w:after="0" w:line="251" w:lineRule="auto"/>
        <w:rPr>
          <w:sz w:val="20"/>
          <w:szCs w:val="20"/>
          <w:color w:val="auto"/>
        </w:rPr>
      </w:pPr>
      <w:r>
        <w:rPr>
          <w:rFonts w:ascii="Times New Roman" w:cs="Times New Roman" w:eastAsia="Times New Roman" w:hAnsi="Times New Roman"/>
          <w:sz w:val="17"/>
          <w:szCs w:val="17"/>
          <w:color w:val="auto"/>
        </w:rPr>
        <w:t>Due to the high level of co-pathologies involved in neurodegenerative diseases, future treatment paradigms may involve different combinations of disease modifiers at various stages of a disease. Therefore, combination therapies may include combinations of immunotherapies or combinations of small and large molecules targeting proteinopathies and neuroinflammation. Our therapeutic product candidates seek to modify the course of AD by intervening at an earlier stage of the disease progression, prior to irreversible neuronal damage. Beyond AD, we believe that we can leverage our proprietary platforms to generate and employ molecules that address the pathologies of other neurodegenerative diseases.</w:t>
      </w:r>
    </w:p>
    <w:p>
      <w:pPr>
        <w:spacing w:after="0" w:line="182" w:lineRule="exact"/>
        <w:rPr>
          <w:sz w:val="20"/>
          <w:szCs w:val="20"/>
          <w:color w:val="auto"/>
        </w:rPr>
      </w:pPr>
    </w:p>
    <w:p>
      <w:pPr>
        <w:ind w:left="40" w:right="179" w:firstLine="305"/>
        <w:spacing w:after="0" w:line="277" w:lineRule="auto"/>
        <w:rPr>
          <w:sz w:val="20"/>
          <w:szCs w:val="20"/>
          <w:color w:val="auto"/>
        </w:rPr>
      </w:pPr>
      <w:r>
        <w:rPr>
          <w:rFonts w:ascii="Times New Roman" w:cs="Times New Roman" w:eastAsia="Times New Roman" w:hAnsi="Times New Roman"/>
          <w:sz w:val="17"/>
          <w:szCs w:val="17"/>
          <w:color w:val="auto"/>
        </w:rPr>
        <w:t>With our unique approach focused on Precision Medicine, we believe that our disease-modifying treatment product candidate pipeline will reshape the clinical course and treatment of neurodegenerative diseases.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75" w:name="page76"/>
    <w:bookmarkEnd w:id="7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652145</wp:posOffset>
            </wp:positionV>
            <wp:extent cx="5214620" cy="22244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14620" cy="2224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Our clinical programs in detail:</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ACI-24.060 – anti-Abeta active immunotherapy</w:t>
      </w:r>
    </w:p>
    <w:p>
      <w:pPr>
        <w:spacing w:after="0" w:line="215" w:lineRule="exact"/>
        <w:rPr>
          <w:sz w:val="20"/>
          <w:szCs w:val="20"/>
          <w:color w:val="auto"/>
        </w:rPr>
      </w:pPr>
    </w:p>
    <w:p>
      <w:pPr>
        <w:jc w:val="both"/>
        <w:ind w:left="40" w:right="259" w:firstLine="305"/>
        <w:spacing w:after="0" w:line="263" w:lineRule="auto"/>
        <w:rPr>
          <w:sz w:val="20"/>
          <w:szCs w:val="20"/>
          <w:color w:val="auto"/>
        </w:rPr>
      </w:pPr>
      <w:r>
        <w:rPr>
          <w:rFonts w:ascii="Times New Roman" w:cs="Times New Roman" w:eastAsia="Times New Roman" w:hAnsi="Times New Roman"/>
          <w:sz w:val="17"/>
          <w:szCs w:val="17"/>
          <w:color w:val="auto"/>
        </w:rPr>
        <w:t>ACI-24.060 is AC Immune’s anti-Abeta active immunotherapy being evaluated in clinical development in patients with AD and in subjects with DS. ACI-24.060 contains Abeta unrelated T-helper cell epitopes and has demonstrated no clinically relevant safety, tolerability and immunogenicity in mouse and NHP studies.</w:t>
      </w:r>
    </w:p>
    <w:p>
      <w:pPr>
        <w:spacing w:after="0" w:line="170" w:lineRule="exact"/>
        <w:rPr>
          <w:sz w:val="20"/>
          <w:szCs w:val="20"/>
          <w:color w:val="auto"/>
        </w:rPr>
      </w:pPr>
    </w:p>
    <w:p>
      <w:pPr>
        <w:ind w:left="40" w:right="59" w:firstLine="305"/>
        <w:spacing w:after="0" w:line="253" w:lineRule="auto"/>
        <w:rPr>
          <w:sz w:val="20"/>
          <w:szCs w:val="20"/>
          <w:color w:val="auto"/>
        </w:rPr>
      </w:pPr>
      <w:r>
        <w:rPr>
          <w:rFonts w:ascii="Times New Roman" w:cs="Times New Roman" w:eastAsia="Times New Roman" w:hAnsi="Times New Roman"/>
          <w:sz w:val="17"/>
          <w:szCs w:val="17"/>
          <w:color w:val="auto"/>
        </w:rPr>
        <w:t>The aim of this active immunotherapy is to stimulate the patient’s immune system to produce and maintain antibodies that bind and remove pathological Abeta with the goal to prevent plaque accumulation and enhance clearance of toxic Abeta species. The Company is pursuing clinical development of ACI-24.060 in AD as well as in people living with DS exhibiting the presence of brain amyloid pathology.</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ACI-24.060 is the subject of an exclusive option and license agreement with Takeda.</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Mechanism of Action</w:t>
      </w:r>
    </w:p>
    <w:p>
      <w:pPr>
        <w:spacing w:after="0" w:line="215" w:lineRule="exact"/>
        <w:rPr>
          <w:sz w:val="20"/>
          <w:szCs w:val="20"/>
          <w:color w:val="auto"/>
        </w:rPr>
      </w:pPr>
    </w:p>
    <w:p>
      <w:pPr>
        <w:ind w:left="680" w:right="119" w:hanging="305"/>
        <w:spacing w:after="0" w:line="251" w:lineRule="auto"/>
        <w:tabs>
          <w:tab w:leader="none" w:pos="68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ACI-24.060 consists of an immunogenic peptide (Pal1-15) containing the amino acid sequence 1-15 of the human Abeta1-42 protein, an antigenic peptide with Abeta unrelated T-helper cell epitopes and an adjuvant, formulated together as a liposomal suspension. In this formulation, the immunogenic peptide, Pal1-15, is presented to B cells of the immune cells on the surface of the liposomes in a conformational format mimicking the two most toxic forms of the protein. This presentation shows antigen-specific antibody responses that bind to the pathological forms of Abeta, i.e. oligomeric and pyroglutamate (pyroGlu) Abeta. The incorporation of the Abeta-unrelated T-helper cell epitopes aims to prime, boost and maintain a strong anti-Abeta IgG response while preserving safety and tolerability;</w:t>
      </w:r>
    </w:p>
    <w:p>
      <w:pPr>
        <w:spacing w:after="0" w:line="180" w:lineRule="exact"/>
        <w:rPr>
          <w:rFonts w:ascii="Times New Roman" w:cs="Times New Roman" w:eastAsia="Times New Roman" w:hAnsi="Times New Roman"/>
          <w:sz w:val="17"/>
          <w:szCs w:val="17"/>
          <w:color w:val="auto"/>
        </w:rPr>
      </w:pPr>
    </w:p>
    <w:p>
      <w:pPr>
        <w:ind w:left="680" w:right="359" w:hanging="305"/>
        <w:spacing w:after="0" w:line="277" w:lineRule="auto"/>
        <w:tabs>
          <w:tab w:leader="none" w:pos="68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preclinical safety studies, treatment of NHPs with ACI-24.060 induced strong boostable anti-Abeta IgG titers and a favorable safety profile;</w:t>
      </w:r>
    </w:p>
    <w:p>
      <w:pPr>
        <w:spacing w:after="0" w:line="157" w:lineRule="exact"/>
        <w:rPr>
          <w:rFonts w:ascii="Times New Roman" w:cs="Times New Roman" w:eastAsia="Times New Roman" w:hAnsi="Times New Roman"/>
          <w:sz w:val="17"/>
          <w:szCs w:val="17"/>
          <w:color w:val="auto"/>
        </w:rPr>
      </w:pPr>
    </w:p>
    <w:p>
      <w:pPr>
        <w:ind w:left="680" w:right="99" w:hanging="305"/>
        <w:spacing w:after="0" w:line="252" w:lineRule="auto"/>
        <w:tabs>
          <w:tab w:leader="none" w:pos="68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assessment of the kinetics and binding profile of the antibodies elicited by immunization of NHPs with ACI-24.060 demonstrated strong antigen-specific antibody titers with immunization as well as target binding to Abeta oligomers and pyroGlu Abeta (Figure 12), in quantities similar to pharmacokinetic profiles achieved with clinically validated lecanemab and donanemab (Figure 13, bottom). Of note, antibodies raised in NHPs have &gt;1000-fold preference for oligomers over monomers, similar to lecanemab (antibody titers against oligomeric Abeta shown in Figure 13; top);</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76" w:name="page77"/>
    <w:bookmarkEnd w:id="7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80" w:right="79" w:hanging="305"/>
        <w:spacing w:after="0" w:line="282" w:lineRule="auto"/>
        <w:tabs>
          <w:tab w:leader="none" w:pos="68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Target engagement was confirmed </w:t>
      </w:r>
      <w:r>
        <w:rPr>
          <w:rFonts w:ascii="Times New Roman" w:cs="Times New Roman" w:eastAsia="Times New Roman" w:hAnsi="Times New Roman"/>
          <w:sz w:val="17"/>
          <w:szCs w:val="17"/>
          <w:i w:val="1"/>
          <w:iCs w:val="1"/>
          <w:color w:val="auto"/>
        </w:rPr>
        <w:t>in situ,</w:t>
      </w:r>
      <w:r>
        <w:rPr>
          <w:rFonts w:ascii="Times New Roman" w:cs="Times New Roman" w:eastAsia="Times New Roman" w:hAnsi="Times New Roman"/>
          <w:sz w:val="17"/>
          <w:szCs w:val="17"/>
          <w:color w:val="auto"/>
        </w:rPr>
        <w:t xml:space="preserve"> using brain sections from AD patients in which sera from the NHPs immunized with ACI-24.060 bound to the Abeta plaques while showing no reactivity to other tissues;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Figure 12: Abeta1-42 and pyroGlu Abeta IgG titers in NHP immunized with ACI-24.060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146685</wp:posOffset>
            </wp:positionV>
            <wp:extent cx="5206365" cy="25146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06365" cy="2514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 xml:space="preserve">Ref : Fiorini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CTAD 2023</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329565</wp:posOffset>
            </wp:positionV>
            <wp:extent cx="5657850" cy="241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77" w:name="page78"/>
    <w:bookmarkEnd w:id="7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1520" w:right="360"/>
        <w:spacing w:after="0" w:line="282" w:lineRule="auto"/>
        <w:rPr>
          <w:sz w:val="20"/>
          <w:szCs w:val="20"/>
          <w:color w:val="auto"/>
        </w:rPr>
      </w:pPr>
      <w:r>
        <w:rPr>
          <w:rFonts w:ascii="Times New Roman" w:cs="Times New Roman" w:eastAsia="Times New Roman" w:hAnsi="Times New Roman"/>
          <w:sz w:val="17"/>
          <w:szCs w:val="17"/>
          <w:b w:val="1"/>
          <w:bCs w:val="1"/>
          <w:color w:val="auto"/>
        </w:rPr>
        <w:t>Figure 13: Oligomeric Abeta IgG titers in NHP immunized with ACI-24.060 and preferential binding over Abeta monomers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107950</wp:posOffset>
            </wp:positionV>
            <wp:extent cx="5190490" cy="45212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90490" cy="452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 xml:space="preserve">Ref : Fiorini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CTAD 2023</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Development of anti-Abeta active immunotherapy for AD in DS</w:t>
      </w:r>
    </w:p>
    <w:p>
      <w:pPr>
        <w:spacing w:after="0" w:line="215" w:lineRule="exact"/>
        <w:rPr>
          <w:sz w:val="20"/>
          <w:szCs w:val="20"/>
          <w:color w:val="auto"/>
        </w:rPr>
      </w:pPr>
    </w:p>
    <w:p>
      <w:pPr>
        <w:ind w:left="40" w:right="159" w:firstLine="305"/>
        <w:spacing w:after="0" w:line="253" w:lineRule="auto"/>
        <w:rPr>
          <w:sz w:val="20"/>
          <w:szCs w:val="20"/>
          <w:color w:val="auto"/>
        </w:rPr>
      </w:pPr>
      <w:r>
        <w:rPr>
          <w:rFonts w:ascii="Times New Roman" w:cs="Times New Roman" w:eastAsia="Times New Roman" w:hAnsi="Times New Roman"/>
          <w:sz w:val="17"/>
          <w:szCs w:val="17"/>
          <w:color w:val="auto"/>
        </w:rPr>
        <w:t>The AD pathology that commonly develops in people with DS bears remarkable similarities to familial and sporadic forms of AD and is characterized by a progressive accumulation in the brain of Abeta into amyloid plaques leading to the appearance of AD-related cognitive decline and a modification of other relevant biomarkers. The Company is pioneering the development of its anti-Abeta active immunotherapy in AD patients and subjects with DS.</w:t>
      </w:r>
    </w:p>
    <w:p>
      <w:pPr>
        <w:spacing w:after="0" w:line="178" w:lineRule="exact"/>
        <w:rPr>
          <w:sz w:val="20"/>
          <w:szCs w:val="20"/>
          <w:color w:val="auto"/>
        </w:rPr>
      </w:pPr>
    </w:p>
    <w:p>
      <w:pPr>
        <w:ind w:left="40" w:right="99" w:firstLine="305"/>
        <w:spacing w:after="0" w:line="258" w:lineRule="auto"/>
        <w:rPr>
          <w:sz w:val="20"/>
          <w:szCs w:val="20"/>
          <w:color w:val="auto"/>
        </w:rPr>
      </w:pPr>
      <w:r>
        <w:rPr>
          <w:rFonts w:ascii="Times New Roman" w:cs="Times New Roman" w:eastAsia="Times New Roman" w:hAnsi="Times New Roman"/>
          <w:sz w:val="17"/>
          <w:szCs w:val="17"/>
          <w:color w:val="auto"/>
        </w:rPr>
        <w:t>Individuals with DS have an extra copy of chromosome 21, which is where the gene for amyloid precursor protein (APP) resides. These individuals develop AD at a rate that is three to five times that of the general population and develop the disease at a much younger age. At autopsy, AD pathology has been reported in 80% of people with DS over the age of 40 and 100% over the age of 60 years. The prevalence of AD in people with DS is more than 50% over the</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78" w:name="page79"/>
    <w:bookmarkEnd w:id="7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719"/>
        <w:spacing w:after="0" w:line="277" w:lineRule="auto"/>
        <w:rPr>
          <w:sz w:val="20"/>
          <w:szCs w:val="20"/>
          <w:color w:val="auto"/>
        </w:rPr>
      </w:pPr>
      <w:r>
        <w:rPr>
          <w:rFonts w:ascii="Times New Roman" w:cs="Times New Roman" w:eastAsia="Times New Roman" w:hAnsi="Times New Roman"/>
          <w:sz w:val="17"/>
          <w:szCs w:val="17"/>
          <w:color w:val="auto"/>
        </w:rPr>
        <w:t>age of 50 and 75–100% over the age of 60 years (Strydom, 2018). It is estimated that there are six million people with DS worldwide, with 250,000 in the U.S.</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Clinical development</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ABATE Phase 1b/2</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ABATE Phase 1b/2 study design</w:t>
      </w:r>
    </w:p>
    <w:p>
      <w:pPr>
        <w:spacing w:after="0" w:line="215" w:lineRule="exact"/>
        <w:rPr>
          <w:sz w:val="20"/>
          <w:szCs w:val="20"/>
          <w:color w:val="auto"/>
        </w:rPr>
      </w:pPr>
    </w:p>
    <w:p>
      <w:pPr>
        <w:ind w:left="40" w:right="499" w:firstLine="305"/>
        <w:spacing w:after="0" w:line="277" w:lineRule="auto"/>
        <w:rPr>
          <w:sz w:val="20"/>
          <w:szCs w:val="20"/>
          <w:color w:val="auto"/>
        </w:rPr>
      </w:pPr>
      <w:r>
        <w:rPr>
          <w:rFonts w:ascii="Times New Roman" w:cs="Times New Roman" w:eastAsia="Times New Roman" w:hAnsi="Times New Roman"/>
          <w:sz w:val="17"/>
          <w:szCs w:val="17"/>
          <w:color w:val="auto"/>
        </w:rPr>
        <w:t>The ABATE clinical study (NCT05462106) is a multicenter, adaptive, placebo-controlled, dose-escalation, double-blind, randomized study containing two parts.</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Study part 1:</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Study part 1 includes 2 subparts:</w:t>
      </w:r>
    </w:p>
    <w:p>
      <w:pPr>
        <w:spacing w:after="0" w:line="198" w:lineRule="exact"/>
        <w:rPr>
          <w:sz w:val="20"/>
          <w:szCs w:val="20"/>
          <w:color w:val="auto"/>
        </w:rPr>
      </w:pPr>
    </w:p>
    <w:p>
      <w:pPr>
        <w:ind w:left="40" w:right="259" w:firstLine="305"/>
        <w:spacing w:after="0" w:line="277" w:lineRule="auto"/>
        <w:rPr>
          <w:sz w:val="20"/>
          <w:szCs w:val="20"/>
          <w:color w:val="auto"/>
        </w:rPr>
      </w:pPr>
      <w:r>
        <w:rPr>
          <w:rFonts w:ascii="Times New Roman" w:cs="Times New Roman" w:eastAsia="Times New Roman" w:hAnsi="Times New Roman"/>
          <w:sz w:val="17"/>
          <w:szCs w:val="17"/>
          <w:color w:val="auto"/>
        </w:rPr>
        <w:t>Part 1a (cohorts AD1 to AD3) is currently conducted in subjects with prodromal AD to assess the effect of study drug (ACI-24.060 at three different incremental doses or placebo) administered over 48 weeks.</w:t>
      </w:r>
    </w:p>
    <w:p>
      <w:pPr>
        <w:spacing w:after="0" w:line="158" w:lineRule="exact"/>
        <w:rPr>
          <w:sz w:val="20"/>
          <w:szCs w:val="20"/>
          <w:color w:val="auto"/>
        </w:rPr>
      </w:pPr>
    </w:p>
    <w:p>
      <w:pPr>
        <w:ind w:left="40" w:right="599" w:firstLine="305"/>
        <w:spacing w:after="0" w:line="277" w:lineRule="auto"/>
        <w:rPr>
          <w:sz w:val="20"/>
          <w:szCs w:val="20"/>
          <w:color w:val="auto"/>
        </w:rPr>
      </w:pPr>
      <w:r>
        <w:rPr>
          <w:rFonts w:ascii="Times New Roman" w:cs="Times New Roman" w:eastAsia="Times New Roman" w:hAnsi="Times New Roman"/>
          <w:sz w:val="17"/>
          <w:szCs w:val="17"/>
          <w:color w:val="auto"/>
        </w:rPr>
        <w:t>Part 1b (cohort AD4) is planned to be initiated in H1 2026 in participants with prodromal AD to assess the effect of the administration of different doses of ACI-24.060 optimized formulation compared to placebo over 74 weeks.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study drug is being administered via intramuscular injections.</w:t>
      </w:r>
    </w:p>
    <w:p>
      <w:pPr>
        <w:spacing w:after="0" w:line="211" w:lineRule="exact"/>
        <w:rPr>
          <w:sz w:val="20"/>
          <w:szCs w:val="20"/>
          <w:color w:val="auto"/>
        </w:rPr>
      </w:pPr>
    </w:p>
    <w:p>
      <w:pPr>
        <w:ind w:left="40" w:right="99" w:firstLine="305"/>
        <w:spacing w:after="0" w:line="255" w:lineRule="auto"/>
        <w:rPr>
          <w:sz w:val="20"/>
          <w:szCs w:val="20"/>
          <w:color w:val="auto"/>
        </w:rPr>
      </w:pPr>
      <w:r>
        <w:rPr>
          <w:rFonts w:ascii="Times New Roman" w:cs="Times New Roman" w:eastAsia="Times New Roman" w:hAnsi="Times New Roman"/>
          <w:sz w:val="17"/>
          <w:szCs w:val="17"/>
          <w:color w:val="auto"/>
        </w:rPr>
        <w:t>Randomized AD subjects respectively receive five study drug injections (ACI-24.060 or placebo) at weeks 0, 4, 12, 24, and 48 in study part 1a, or six study drug injections (ACI-24.060 optimized formulation or placebo) at weeks 0, 4, 12, 24, 48 and 74 in study part 1b. For each study subject, there is a 26-week follow-up period after the treatment period.</w:t>
      </w:r>
    </w:p>
    <w:p>
      <w:pPr>
        <w:spacing w:after="0" w:line="176" w:lineRule="exact"/>
        <w:rPr>
          <w:sz w:val="20"/>
          <w:szCs w:val="20"/>
          <w:color w:val="auto"/>
        </w:rPr>
      </w:pPr>
    </w:p>
    <w:p>
      <w:pPr>
        <w:ind w:left="40" w:right="79" w:firstLine="305"/>
        <w:spacing w:after="0" w:line="256" w:lineRule="auto"/>
        <w:rPr>
          <w:sz w:val="20"/>
          <w:szCs w:val="20"/>
          <w:color w:val="auto"/>
        </w:rPr>
      </w:pPr>
      <w:r>
        <w:rPr>
          <w:rFonts w:ascii="Times New Roman" w:cs="Times New Roman" w:eastAsia="Times New Roman" w:hAnsi="Times New Roman"/>
          <w:sz w:val="17"/>
          <w:szCs w:val="17"/>
          <w:color w:val="auto"/>
        </w:rPr>
        <w:t>Up to four cohorts and up to four subcohorts may be included respectively in study parts 1a and 1b. Each cohort may differ from the others in terms of the dose per injection and/or the administration regimen with the possibility to expand any cohort at any time point to better understand antibody response and/or safety and tolerability. The initiation of randomization in the subsequent cohort(s)/subcohort(s) is based on interim safety and tolerability data review from the previous cohort(s)/subcohort(s) and Data and Safety Monitoring Board (DSMB) approval.</w:t>
      </w:r>
    </w:p>
    <w:p>
      <w:pPr>
        <w:spacing w:after="0" w:line="176" w:lineRule="exact"/>
        <w:rPr>
          <w:sz w:val="20"/>
          <w:szCs w:val="20"/>
          <w:color w:val="auto"/>
        </w:rPr>
      </w:pPr>
    </w:p>
    <w:p>
      <w:pPr>
        <w:jc w:val="both"/>
        <w:ind w:left="40" w:right="119" w:firstLine="305"/>
        <w:spacing w:after="0" w:line="255" w:lineRule="auto"/>
        <w:rPr>
          <w:sz w:val="20"/>
          <w:szCs w:val="20"/>
          <w:color w:val="auto"/>
        </w:rPr>
      </w:pPr>
      <w:r>
        <w:rPr>
          <w:rFonts w:ascii="Times New Roman" w:cs="Times New Roman" w:eastAsia="Times New Roman" w:hAnsi="Times New Roman"/>
          <w:sz w:val="17"/>
          <w:szCs w:val="17"/>
          <w:color w:val="auto"/>
        </w:rPr>
        <w:t>Interim analyses on safety/tolerability and immunogenicity may be conducted in each cohort/subcohort at different predefined study time points. These interim data may also be supplemented by pharmacodynamic data (e.g., fluid biomarkers and/or amyloid-PET, as applicable) and interim clinical/cognitive data.</w:t>
      </w:r>
    </w:p>
    <w:p>
      <w:pPr>
        <w:spacing w:after="0" w:line="176" w:lineRule="exact"/>
        <w:rPr>
          <w:sz w:val="20"/>
          <w:szCs w:val="20"/>
          <w:color w:val="auto"/>
        </w:rPr>
      </w:pPr>
    </w:p>
    <w:p>
      <w:pPr>
        <w:ind w:left="40" w:right="179" w:firstLine="305"/>
        <w:spacing w:after="0" w:line="256" w:lineRule="auto"/>
        <w:rPr>
          <w:sz w:val="20"/>
          <w:szCs w:val="20"/>
          <w:color w:val="auto"/>
        </w:rPr>
      </w:pPr>
      <w:r>
        <w:rPr>
          <w:rFonts w:ascii="Times New Roman" w:cs="Times New Roman" w:eastAsia="Times New Roman" w:hAnsi="Times New Roman"/>
          <w:sz w:val="17"/>
          <w:szCs w:val="17"/>
          <w:color w:val="auto"/>
        </w:rPr>
        <w:t>To date, the benefit/risk of the use of study drug in subjects with AD and in individuals with DS is considered favorable. It is particularly noteworthy that no case of ARIA-E (Amyloid-Related Imaging Abnormalities-vasogenic edema) has been reported to date at brain MRI in study participants. The incidence of ARIA-H (Amyloid-Related Imaging Abnormalities – microhaemorrhages), all asymptomatic to date, has been mainly reported in subjects with AD, and is within the expected range observed with placebo in recent trials in early AD.</w:t>
      </w:r>
    </w:p>
    <w:p>
      <w:pPr>
        <w:spacing w:after="0" w:line="163" w:lineRule="exact"/>
        <w:rPr>
          <w:sz w:val="20"/>
          <w:szCs w:val="20"/>
          <w:color w:val="auto"/>
        </w:rPr>
      </w:pPr>
    </w:p>
    <w:p>
      <w:pPr>
        <w:ind w:left="40" w:right="159" w:firstLine="305"/>
        <w:spacing w:after="0" w:line="258" w:lineRule="auto"/>
        <w:rPr>
          <w:sz w:val="20"/>
          <w:szCs w:val="20"/>
          <w:color w:val="auto"/>
        </w:rPr>
      </w:pPr>
      <w:r>
        <w:rPr>
          <w:rFonts w:ascii="Times New Roman" w:cs="Times New Roman" w:eastAsia="Times New Roman" w:hAnsi="Times New Roman"/>
          <w:sz w:val="17"/>
          <w:szCs w:val="17"/>
          <w:color w:val="auto"/>
        </w:rPr>
        <w:t>The data from the blinded interim analyses on immunogenicity of ACI-24.060 have shown evidence of anti-Abeta antibody responses against toxic Abeta species. ACI-24.060 induced immunogenicity at all tested doses in subjects with AD, with higher doses showing increased anti-Abeta1-42 IgG titers and responder rates. Repeated immunizations led to a boosting effect across all dose levels and cohorts AD2 and AD3 showed a more durable and sustained immune response.</w:t>
      </w:r>
    </w:p>
    <w:p>
      <w:pPr>
        <w:spacing w:after="0" w:line="175" w:lineRule="exact"/>
        <w:rPr>
          <w:sz w:val="20"/>
          <w:szCs w:val="20"/>
          <w:color w:val="auto"/>
        </w:rPr>
      </w:pPr>
    </w:p>
    <w:p>
      <w:pPr>
        <w:jc w:val="both"/>
        <w:ind w:left="40" w:right="719" w:firstLine="305"/>
        <w:spacing w:after="0" w:line="263" w:lineRule="auto"/>
        <w:rPr>
          <w:sz w:val="20"/>
          <w:szCs w:val="20"/>
          <w:color w:val="auto"/>
        </w:rPr>
      </w:pPr>
      <w:r>
        <w:rPr>
          <w:rFonts w:ascii="Times New Roman" w:cs="Times New Roman" w:eastAsia="Times New Roman" w:hAnsi="Times New Roman"/>
          <w:sz w:val="17"/>
          <w:szCs w:val="17"/>
          <w:color w:val="auto"/>
        </w:rPr>
        <w:t>The Company’s CTA received approval from the UK MHRA in Q2 2022 and from the AEMPS in Q3 2022 to initiate development of ACI-24.060 in patients with prodromal AD and in adult subjects with DS with presence of brain amyloid pathology.</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79" w:name="page80"/>
    <w:bookmarkEnd w:id="7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40" w:right="99" w:firstLine="305"/>
        <w:spacing w:after="0" w:line="263" w:lineRule="auto"/>
        <w:rPr>
          <w:sz w:val="20"/>
          <w:szCs w:val="20"/>
          <w:color w:val="auto"/>
        </w:rPr>
      </w:pPr>
      <w:r>
        <w:rPr>
          <w:rFonts w:ascii="Times New Roman" w:cs="Times New Roman" w:eastAsia="Times New Roman" w:hAnsi="Times New Roman"/>
          <w:sz w:val="17"/>
          <w:szCs w:val="17"/>
          <w:color w:val="auto"/>
        </w:rPr>
        <w:t>Study part 1 is being conducted in several centers located in the UK and Spain. Dosing in prodromal AD subjects was initiated in June 2022 and the study is being pursued in the 3 dose-level cohorts. Notably, study part 1b is to be conducted in the UK and in the US, and is anticipated to be initiated in H1 2026.</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Study part 2:</w:t>
      </w:r>
    </w:p>
    <w:p>
      <w:pPr>
        <w:spacing w:after="0" w:line="215" w:lineRule="exact"/>
        <w:rPr>
          <w:sz w:val="20"/>
          <w:szCs w:val="20"/>
          <w:color w:val="auto"/>
        </w:rPr>
      </w:pPr>
    </w:p>
    <w:p>
      <w:pPr>
        <w:ind w:left="40" w:right="199" w:firstLine="305"/>
        <w:spacing w:after="0" w:line="263" w:lineRule="auto"/>
        <w:rPr>
          <w:sz w:val="20"/>
          <w:szCs w:val="20"/>
          <w:color w:val="auto"/>
        </w:rPr>
      </w:pPr>
      <w:r>
        <w:rPr>
          <w:rFonts w:ascii="Times New Roman" w:cs="Times New Roman" w:eastAsia="Times New Roman" w:hAnsi="Times New Roman"/>
          <w:sz w:val="17"/>
          <w:szCs w:val="17"/>
          <w:color w:val="auto"/>
        </w:rPr>
        <w:t>Study part 2 is planned to be conducted in up to 88 non-demented adults living with DS and with confirmed presence of amyloid pathology by PET scan. The goal is to assess the effect of study treatment (ACI-24.060 or placebo) administered over 74 weeks.</w:t>
      </w:r>
    </w:p>
    <w:p>
      <w:pPr>
        <w:spacing w:after="0" w:line="170" w:lineRule="exact"/>
        <w:rPr>
          <w:sz w:val="20"/>
          <w:szCs w:val="20"/>
          <w:color w:val="auto"/>
        </w:rPr>
      </w:pPr>
    </w:p>
    <w:p>
      <w:pPr>
        <w:ind w:left="40" w:right="379" w:firstLine="305"/>
        <w:spacing w:after="0" w:line="255" w:lineRule="auto"/>
        <w:rPr>
          <w:sz w:val="20"/>
          <w:szCs w:val="20"/>
          <w:color w:val="auto"/>
        </w:rPr>
      </w:pPr>
      <w:r>
        <w:rPr>
          <w:rFonts w:ascii="Times New Roman" w:cs="Times New Roman" w:eastAsia="Times New Roman" w:hAnsi="Times New Roman"/>
          <w:sz w:val="17"/>
          <w:szCs w:val="17"/>
          <w:color w:val="auto"/>
        </w:rPr>
        <w:t>Randomized subjects with DS receive their first six injections (ACI-24.060 or placebo) according to the same schedule administered in study part 1, at weeks 0, 4, 12, 24, 48, and 74. For each study subject, the treatment period is followed by a 26-week follow-up period.</w:t>
      </w:r>
    </w:p>
    <w:p>
      <w:pPr>
        <w:spacing w:after="0" w:line="176" w:lineRule="exact"/>
        <w:rPr>
          <w:sz w:val="20"/>
          <w:szCs w:val="20"/>
          <w:color w:val="auto"/>
        </w:rPr>
      </w:pPr>
    </w:p>
    <w:p>
      <w:pPr>
        <w:jc w:val="both"/>
        <w:ind w:left="40" w:right="199" w:firstLine="305"/>
        <w:spacing w:after="0" w:line="263" w:lineRule="auto"/>
        <w:rPr>
          <w:sz w:val="20"/>
          <w:szCs w:val="20"/>
          <w:color w:val="auto"/>
        </w:rPr>
      </w:pPr>
      <w:r>
        <w:rPr>
          <w:rFonts w:ascii="Times New Roman" w:cs="Times New Roman" w:eastAsia="Times New Roman" w:hAnsi="Times New Roman"/>
          <w:sz w:val="17"/>
          <w:szCs w:val="17"/>
          <w:color w:val="auto"/>
        </w:rPr>
        <w:t>Dosing in DS subjects in study part 2 was initiated in June 2023 at the first dose-level of ACI-24.060 used in prodromal AD subjects that was previously shown to be immunogenic, safe and well tolerated. Recruitment in the second dose-level cohort (mid dose of ACI-24.060) in DS was completed and dosing in the high-dose cohort was initiated in February 2025.</w:t>
      </w:r>
    </w:p>
    <w:p>
      <w:pPr>
        <w:spacing w:after="0" w:line="170" w:lineRule="exact"/>
        <w:rPr>
          <w:sz w:val="20"/>
          <w:szCs w:val="20"/>
          <w:color w:val="auto"/>
        </w:rPr>
      </w:pPr>
    </w:p>
    <w:p>
      <w:pPr>
        <w:ind w:left="40" w:right="499" w:firstLine="305"/>
        <w:spacing w:after="0" w:line="251" w:lineRule="auto"/>
        <w:rPr>
          <w:sz w:val="20"/>
          <w:szCs w:val="20"/>
          <w:color w:val="auto"/>
        </w:rPr>
      </w:pPr>
      <w:r>
        <w:rPr>
          <w:rFonts w:ascii="Times New Roman" w:cs="Times New Roman" w:eastAsia="Times New Roman" w:hAnsi="Times New Roman"/>
          <w:sz w:val="17"/>
          <w:szCs w:val="17"/>
          <w:color w:val="auto"/>
        </w:rPr>
        <w:t>Interim analyses may be conducted at different predefined study time points, during the treatment period and during the follow-up period. As of December 2025, interim safety and tolerability data from the three cohorts of individuals with DS receiving low, mid, and high-doses of ACI-24.060 or placebo have been shown to have a favorable benefit-risk ratio with no serious adverse event (SAE) considered related to study treatment to date. No SAE related to study treatment and no case of amyloid-related imaging abnormalities (ARIA) have been observed in this study population to date. One SAE considered not related to study treatment had a fatal outcome in one subject with DS.</w:t>
      </w:r>
    </w:p>
    <w:p>
      <w:pPr>
        <w:spacing w:after="0" w:line="182" w:lineRule="exact"/>
        <w:rPr>
          <w:sz w:val="20"/>
          <w:szCs w:val="20"/>
          <w:color w:val="auto"/>
        </w:rPr>
      </w:pPr>
    </w:p>
    <w:p>
      <w:pPr>
        <w:ind w:left="40" w:right="339" w:firstLine="305"/>
        <w:spacing w:after="0" w:line="263" w:lineRule="auto"/>
        <w:rPr>
          <w:sz w:val="20"/>
          <w:szCs w:val="20"/>
          <w:color w:val="auto"/>
        </w:rPr>
      </w:pPr>
      <w:r>
        <w:rPr>
          <w:rFonts w:ascii="Times New Roman" w:cs="Times New Roman" w:eastAsia="Times New Roman" w:hAnsi="Times New Roman"/>
          <w:sz w:val="17"/>
          <w:szCs w:val="17"/>
          <w:color w:val="auto"/>
        </w:rPr>
        <w:t>In June 2023, AC Immune received Fast Track designation from the FDA for ACI-24.060, for the treatment of AD. This followed FDA clearance of the Investigational New Drug (IND) application enabling expansion of the ABATE study to include clinical trial sites and participants in the USA.</w:t>
      </w:r>
    </w:p>
    <w:p>
      <w:pPr>
        <w:spacing w:after="0" w:line="170" w:lineRule="exact"/>
        <w:rPr>
          <w:sz w:val="20"/>
          <w:szCs w:val="20"/>
          <w:color w:val="auto"/>
        </w:rPr>
      </w:pPr>
    </w:p>
    <w:p>
      <w:pPr>
        <w:ind w:left="40" w:right="399" w:firstLine="305"/>
        <w:spacing w:after="0" w:line="262" w:lineRule="auto"/>
        <w:rPr>
          <w:sz w:val="20"/>
          <w:szCs w:val="20"/>
          <w:color w:val="auto"/>
        </w:rPr>
      </w:pPr>
      <w:r>
        <w:rPr>
          <w:rFonts w:ascii="Times New Roman" w:cs="Times New Roman" w:eastAsia="Times New Roman" w:hAnsi="Times New Roman"/>
          <w:sz w:val="17"/>
          <w:szCs w:val="17"/>
          <w:color w:val="auto"/>
        </w:rPr>
        <w:t>Dosing of subjects with DS in study part 2 is ongoing in Spain, in the UK and in the USA where the IND was approved in May 2023.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ACI-7104.056 – anti-a-syn active immunotherapy</w:t>
      </w:r>
    </w:p>
    <w:p>
      <w:pPr>
        <w:spacing w:after="0" w:line="215" w:lineRule="exact"/>
        <w:rPr>
          <w:sz w:val="20"/>
          <w:szCs w:val="20"/>
          <w:color w:val="auto"/>
        </w:rPr>
      </w:pPr>
    </w:p>
    <w:p>
      <w:pPr>
        <w:ind w:left="40" w:right="659" w:firstLine="305"/>
        <w:spacing w:after="0" w:line="287" w:lineRule="auto"/>
        <w:rPr>
          <w:sz w:val="20"/>
          <w:szCs w:val="20"/>
          <w:color w:val="auto"/>
        </w:rPr>
      </w:pPr>
      <w:r>
        <w:rPr>
          <w:rFonts w:ascii="Times New Roman" w:cs="Times New Roman" w:eastAsia="Times New Roman" w:hAnsi="Times New Roman"/>
          <w:sz w:val="16"/>
          <w:szCs w:val="16"/>
          <w:color w:val="auto"/>
        </w:rPr>
        <w:t>ACI-7104.056 is an optimized peptide-conjugate active immunotherapy formulation designed to induce a-syn-specific antibodies recognizing aggregated a-syn species that have been demonstrated to drive Parkinson’s disease pathology and progression. In contrast, ACI-7104.056-induced antibodies do not bind to the monomeric, physiological form of a-syn.</w:t>
      </w:r>
    </w:p>
    <w:p>
      <w:pPr>
        <w:spacing w:after="0" w:line="152" w:lineRule="exact"/>
        <w:rPr>
          <w:sz w:val="20"/>
          <w:szCs w:val="20"/>
          <w:color w:val="auto"/>
        </w:rPr>
      </w:pPr>
    </w:p>
    <w:p>
      <w:pPr>
        <w:ind w:left="40" w:right="79" w:firstLine="305"/>
        <w:spacing w:after="0" w:line="255" w:lineRule="auto"/>
        <w:rPr>
          <w:sz w:val="20"/>
          <w:szCs w:val="20"/>
          <w:color w:val="auto"/>
        </w:rPr>
      </w:pPr>
      <w:r>
        <w:rPr>
          <w:rFonts w:ascii="Times New Roman" w:cs="Times New Roman" w:eastAsia="Times New Roman" w:hAnsi="Times New Roman"/>
          <w:sz w:val="17"/>
          <w:szCs w:val="17"/>
          <w:color w:val="auto"/>
        </w:rPr>
        <w:t>A substantial package of preclinical and clinical data was generated with the predecessor of ACI-7104.056. Furthermore, ACI-7104.056 has been shown to be highly immunogenic in non-human primates, with induced antibodies binding selectively to pathological forms of a-syn.</w:t>
      </w:r>
    </w:p>
    <w:p>
      <w:pPr>
        <w:spacing w:after="0" w:line="176" w:lineRule="exact"/>
        <w:rPr>
          <w:sz w:val="20"/>
          <w:szCs w:val="20"/>
          <w:color w:val="auto"/>
        </w:rPr>
      </w:pPr>
    </w:p>
    <w:p>
      <w:pPr>
        <w:ind w:left="40" w:right="159" w:firstLine="305"/>
        <w:spacing w:after="0" w:line="258" w:lineRule="auto"/>
        <w:rPr>
          <w:sz w:val="20"/>
          <w:szCs w:val="20"/>
          <w:color w:val="auto"/>
        </w:rPr>
      </w:pPr>
      <w:r>
        <w:rPr>
          <w:rFonts w:ascii="Times New Roman" w:cs="Times New Roman" w:eastAsia="Times New Roman" w:hAnsi="Times New Roman"/>
          <w:sz w:val="17"/>
          <w:szCs w:val="17"/>
          <w:color w:val="auto"/>
        </w:rPr>
        <w:t>ACI-7104.056’s predecessor was the first active immunotherapy candidate against pathological a-syn to be tested in a clinical study involving patients with early PD. A series of Phase 1 studies were completed in June 2018. The first dosing in the Phase 2 VacSYn trial to evaluate ACI-7104.056 was performed in July 2023. VacSYn is an adaptive, placebo-controlled, and biomarker-based Phase 2 study in patients with early PD, consisting of two parts.</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Mechanism of action</w:t>
      </w:r>
    </w:p>
    <w:p>
      <w:pPr>
        <w:spacing w:after="0" w:line="215" w:lineRule="exact"/>
        <w:rPr>
          <w:sz w:val="20"/>
          <w:szCs w:val="20"/>
          <w:color w:val="auto"/>
        </w:rPr>
      </w:pPr>
    </w:p>
    <w:p>
      <w:pPr>
        <w:ind w:left="680" w:right="259" w:hanging="305"/>
        <w:spacing w:after="0" w:line="255" w:lineRule="auto"/>
        <w:tabs>
          <w:tab w:leader="none" w:pos="68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ACI-7104.056 comprises a short engineered and optimized antigenic a-syn peptide. This peptide coupled to a carrier protein facilitates the induction of an a-syn-specific antibody response that binds to toxic aggregated a-syn species with high selectivity (Mandler M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Acta Neuropathol, 2014).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329565</wp:posOffset>
            </wp:positionV>
            <wp:extent cx="5657850" cy="241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80" w:name="page81"/>
    <w:bookmarkEnd w:id="8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680" w:right="619" w:hanging="305"/>
        <w:spacing w:after="0" w:line="287" w:lineRule="auto"/>
        <w:tabs>
          <w:tab w:leader="none" w:pos="6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Immunization of wild-type and transgenic mice, resulted in high antibody titres in plasma, which crossed into the cerebrospinal fluid (CSF) and recognized a-syn aggregates. Immunization resulted in a decreased aggregation and accumulation of a-syn oligomers in brains of transgenic animals (Mandler M </w:t>
      </w:r>
      <w:r>
        <w:rPr>
          <w:rFonts w:ascii="Times New Roman" w:cs="Times New Roman" w:eastAsia="Times New Roman" w:hAnsi="Times New Roman"/>
          <w:sz w:val="16"/>
          <w:szCs w:val="16"/>
          <w:i w:val="1"/>
          <w:iCs w:val="1"/>
          <w:color w:val="auto"/>
        </w:rPr>
        <w:t>et al</w:t>
      </w:r>
      <w:r>
        <w:rPr>
          <w:rFonts w:ascii="Times New Roman" w:cs="Times New Roman" w:eastAsia="Times New Roman" w:hAnsi="Times New Roman"/>
          <w:sz w:val="16"/>
          <w:szCs w:val="16"/>
          <w:color w:val="auto"/>
        </w:rPr>
        <w:t>., Acta Neuropathol, 2014).</w:t>
      </w:r>
    </w:p>
    <w:p>
      <w:pPr>
        <w:spacing w:after="0" w:line="148" w:lineRule="exact"/>
        <w:rPr>
          <w:rFonts w:ascii="Times New Roman" w:cs="Times New Roman" w:eastAsia="Times New Roman" w:hAnsi="Times New Roman"/>
          <w:sz w:val="16"/>
          <w:szCs w:val="16"/>
          <w:color w:val="auto"/>
        </w:rPr>
      </w:pPr>
    </w:p>
    <w:p>
      <w:pPr>
        <w:ind w:left="680" w:right="59" w:hanging="305"/>
        <w:spacing w:after="0" w:line="266" w:lineRule="auto"/>
        <w:tabs>
          <w:tab w:leader="none" w:pos="68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Clearance of a-syn was accompanied by reduced neurodegeneration in both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models and by improvements in motor and memory deficits the mThy1 and the PDGF-human a-syn transgenic mice, respectively (Mandler M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Acta Neuropathol, 2014).</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Clinical development</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Phase 1 study design</w:t>
      </w:r>
    </w:p>
    <w:p>
      <w:pPr>
        <w:spacing w:after="0" w:line="215" w:lineRule="exact"/>
        <w:rPr>
          <w:sz w:val="20"/>
          <w:szCs w:val="20"/>
          <w:color w:val="auto"/>
        </w:rPr>
      </w:pPr>
    </w:p>
    <w:p>
      <w:pPr>
        <w:ind w:left="40" w:right="159" w:firstLine="305"/>
        <w:spacing w:after="0" w:line="256" w:lineRule="auto"/>
        <w:rPr>
          <w:sz w:val="20"/>
          <w:szCs w:val="20"/>
          <w:color w:val="auto"/>
        </w:rPr>
      </w:pPr>
      <w:r>
        <w:rPr>
          <w:rFonts w:ascii="Times New Roman" w:cs="Times New Roman" w:eastAsia="Times New Roman" w:hAnsi="Times New Roman"/>
          <w:sz w:val="17"/>
          <w:szCs w:val="17"/>
          <w:color w:val="auto"/>
        </w:rPr>
        <w:t xml:space="preserve">The safety, tolerability and immunogenicity of the ACI-7104.056 anti-a-syn active immunotherapy predecessor were studied over a three-and-a-half-year period in 24 early PD subjects and were previously published (Volc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The Lancet Neurology, 2020). There were four consecutive studies in this group of patients, with patients randomized to receive a lower or higher dose of the alpha-synuclein active immunotherapy. After four priming doses, subjects were re-randomized to receive a booster injection at one of the two doses, followed by a second booster injection at the high dose.</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Safety</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This Phase 1 study series demonstrated a favorable long-term safety profile for ACI-7104.056’s predecessor.</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Antibody response</w:t>
      </w:r>
    </w:p>
    <w:p>
      <w:pPr>
        <w:spacing w:after="0" w:line="215" w:lineRule="exact"/>
        <w:rPr>
          <w:sz w:val="20"/>
          <w:szCs w:val="20"/>
          <w:color w:val="auto"/>
        </w:rPr>
      </w:pPr>
    </w:p>
    <w:p>
      <w:pPr>
        <w:ind w:left="40" w:right="139" w:firstLine="305"/>
        <w:spacing w:after="0" w:line="263" w:lineRule="auto"/>
        <w:rPr>
          <w:sz w:val="20"/>
          <w:szCs w:val="20"/>
          <w:color w:val="auto"/>
        </w:rPr>
      </w:pPr>
      <w:r>
        <w:rPr>
          <w:rFonts w:ascii="Times New Roman" w:cs="Times New Roman" w:eastAsia="Times New Roman" w:hAnsi="Times New Roman"/>
          <w:sz w:val="17"/>
          <w:szCs w:val="17"/>
          <w:color w:val="auto"/>
        </w:rPr>
        <w:t>Anti-a-syn active immunotherapy induced a long lasting and boostable antibody response (Figure 14, left). Such induced antibodies have been shown to bind preferentially the aggregated species of a-syn. The induced antibodies were also demonstrated to bind to a-syn aggregates in human PD and DLB brain tissue.</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Pharmacological and clinical effect</w:t>
      </w:r>
    </w:p>
    <w:p>
      <w:pPr>
        <w:spacing w:after="0" w:line="198" w:lineRule="exact"/>
        <w:rPr>
          <w:sz w:val="20"/>
          <w:szCs w:val="20"/>
          <w:color w:val="auto"/>
        </w:rPr>
      </w:pPr>
    </w:p>
    <w:p>
      <w:pPr>
        <w:jc w:val="both"/>
        <w:ind w:left="40" w:right="239" w:firstLine="305"/>
        <w:spacing w:after="0" w:line="266" w:lineRule="auto"/>
        <w:rPr>
          <w:sz w:val="20"/>
          <w:szCs w:val="20"/>
          <w:color w:val="auto"/>
        </w:rPr>
      </w:pPr>
      <w:r>
        <w:rPr>
          <w:rFonts w:ascii="Times New Roman" w:cs="Times New Roman" w:eastAsia="Times New Roman" w:hAnsi="Times New Roman"/>
          <w:sz w:val="17"/>
          <w:szCs w:val="17"/>
          <w:color w:val="auto"/>
        </w:rPr>
        <w:t xml:space="preserve">Evidence for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target engagement was observed in these Phase 1 studies in PD, as immunization was associated with a decrease in oligomeric a-syn in CSF of treated patients (Volc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The Lancet Neurology, 2020). Post hoc analyses of this study series delivered highly encouraging data with respect to identification of a potential biomarker for PD, including:</w:t>
      </w:r>
    </w:p>
    <w:p>
      <w:pPr>
        <w:spacing w:after="0" w:line="162" w:lineRule="exact"/>
        <w:rPr>
          <w:sz w:val="20"/>
          <w:szCs w:val="20"/>
          <w:color w:val="auto"/>
        </w:rPr>
      </w:pPr>
    </w:p>
    <w:p>
      <w:pPr>
        <w:ind w:left="680" w:right="99" w:hanging="305"/>
        <w:spacing w:after="0" w:line="282" w:lineRule="auto"/>
        <w:tabs>
          <w:tab w:leader="none" w:pos="68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 vivo </w:t>
      </w:r>
      <w:r>
        <w:rPr>
          <w:rFonts w:ascii="Times New Roman" w:cs="Times New Roman" w:eastAsia="Times New Roman" w:hAnsi="Times New Roman"/>
          <w:sz w:val="17"/>
          <w:szCs w:val="17"/>
          <w:color w:val="auto"/>
        </w:rPr>
        <w:t>target engagement of induced antibodies was demonstrated by lowering of oligomeric a-syn in CSF of immunized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subjects (Figure 14, middle).</w:t>
      </w:r>
    </w:p>
    <w:p>
      <w:pPr>
        <w:spacing w:after="0" w:line="153" w:lineRule="exact"/>
        <w:rPr>
          <w:rFonts w:ascii="Times New Roman" w:cs="Times New Roman" w:eastAsia="Times New Roman" w:hAnsi="Times New Roman"/>
          <w:sz w:val="17"/>
          <w:szCs w:val="17"/>
          <w:color w:val="auto"/>
        </w:rPr>
      </w:pPr>
    </w:p>
    <w:p>
      <w:pPr>
        <w:ind w:left="680" w:right="559" w:hanging="305"/>
        <w:spacing w:after="0" w:line="277" w:lineRule="auto"/>
        <w:tabs>
          <w:tab w:leader="none" w:pos="68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reduction of oligomeric a-syn in CSF correlated significantly with clinical improvement, the changes in MDS-UPDRS III score over time (Figure 14, right).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81" w:name="page82"/>
    <w:bookmarkEnd w:id="8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Figure 14: Pharmacokinetic and pharmacodynamic effect of ACI-7104.056 predecessor immunization in early PD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24765</wp:posOffset>
            </wp:positionV>
            <wp:extent cx="5109845" cy="19907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09845" cy="1990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0" w:right="379" w:firstLine="5"/>
        <w:spacing w:after="0" w:line="269" w:lineRule="auto"/>
        <w:tabs>
          <w:tab w:leader="none" w:pos="208"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Data from 75 ug dose group; (4) Cerebrospinal fluid; (5) Change in oligomeric a-syn calculated at week 26, change in UPDRS III calculated at week 100; (6) Unified Parkinson’s Disease Rating Scale</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 xml:space="preserve">Ref: Volc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Lancet Neurology, 2020</w:t>
      </w:r>
    </w:p>
    <w:p>
      <w:pPr>
        <w:spacing w:after="0" w:line="215" w:lineRule="exact"/>
        <w:rPr>
          <w:sz w:val="20"/>
          <w:szCs w:val="20"/>
          <w:color w:val="auto"/>
        </w:rPr>
      </w:pPr>
    </w:p>
    <w:p>
      <w:pPr>
        <w:ind w:left="40" w:right="119" w:firstLine="305"/>
        <w:spacing w:after="0" w:line="250" w:lineRule="auto"/>
        <w:rPr>
          <w:sz w:val="20"/>
          <w:szCs w:val="20"/>
          <w:color w:val="auto"/>
        </w:rPr>
      </w:pPr>
      <w:r>
        <w:rPr>
          <w:rFonts w:ascii="Times New Roman" w:cs="Times New Roman" w:eastAsia="Times New Roman" w:hAnsi="Times New Roman"/>
          <w:sz w:val="17"/>
          <w:szCs w:val="17"/>
          <w:color w:val="auto"/>
        </w:rPr>
        <w:t>These combined data support the role of a-syn in disease progression and demonstrate that a-syn directed immunization has the potential to positively impact clinical outcome. Recent clinical data from an anti-a-syn monoclonal antibody (mAb) evaluated in PD further suggested possible benefits of targeting a-syn in early PD. The optimized formulation, ACI-7104.056, is now being tested in early PD subjects in EU and in the UK in a Phase 2, multicenter, placebo-controlled, double-blind, randomized study (VacSYn study; NCT06015841). The study profile includes a screening period of up to 8 weeks, a 74-week double-blind treatment period, and a 26-week post-treatment follow-up period. The first dosing was performed in July 2023. Enrollment of Part 1 was completed by the end of 2024 with over 30 patients randomized to receive ACI-7104.56 or placebo at a ratio of 3:1. Safety and immunogenicity interim analyses from the trial were reported in H2 2024, and showed strong antibody responses directed against a-syn after two immunizations. Patients treated with ACI-7104.056 showed antibody responses compared to placebo after three immunizations.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Further interim results, including pharmacodynamic data, were reported in H2 2025 and results</w:t>
      </w:r>
    </w:p>
    <w:p>
      <w:pPr>
        <w:spacing w:after="0" w:line="211" w:lineRule="exact"/>
        <w:rPr>
          <w:sz w:val="20"/>
          <w:szCs w:val="20"/>
          <w:color w:val="auto"/>
        </w:rPr>
      </w:pPr>
    </w:p>
    <w:p>
      <w:pPr>
        <w:ind w:left="960" w:right="79" w:hanging="610"/>
        <w:spacing w:after="0" w:line="252" w:lineRule="auto"/>
        <w:tabs>
          <w:tab w:leader="none" w:pos="96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confirm that ACI-7104.056 is safe and well-tolerated and induces a robust antibody response against the immunizing a-syn target antigen with a 100% responder rate. At week 76, two weeks after the sixth immunization, antibody titers in serum were over 500-fold higher than in the placebo group. Antibody responses to both the immunizing and the native a-syn peptide were boosted after each dose from the second to the sixth immunization, while the placebo group did not show any detectable signal;</w:t>
      </w:r>
    </w:p>
    <w:p>
      <w:pPr>
        <w:spacing w:after="0" w:line="179" w:lineRule="exact"/>
        <w:rPr>
          <w:rFonts w:ascii="Times New Roman" w:cs="Times New Roman" w:eastAsia="Times New Roman" w:hAnsi="Times New Roman"/>
          <w:sz w:val="17"/>
          <w:szCs w:val="17"/>
          <w:color w:val="auto"/>
        </w:rPr>
      </w:pPr>
    </w:p>
    <w:p>
      <w:pPr>
        <w:ind w:left="960" w:right="339" w:hanging="610"/>
        <w:spacing w:after="0" w:line="277" w:lineRule="auto"/>
        <w:tabs>
          <w:tab w:leader="none" w:pos="96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show that ACI-7104.056-induced antibodies cross the blood-brain barrier and average IgG antibody levels in CSF were over 500-fold higher in the active group compared to the placebo group;</w:t>
      </w:r>
    </w:p>
    <w:p>
      <w:pPr>
        <w:spacing w:after="0" w:line="157" w:lineRule="exact"/>
        <w:rPr>
          <w:rFonts w:ascii="Times New Roman" w:cs="Times New Roman" w:eastAsia="Times New Roman" w:hAnsi="Times New Roman"/>
          <w:sz w:val="17"/>
          <w:szCs w:val="17"/>
          <w:color w:val="auto"/>
        </w:rPr>
      </w:pPr>
    </w:p>
    <w:p>
      <w:pPr>
        <w:ind w:left="960" w:right="99" w:hanging="610"/>
        <w:spacing w:after="0" w:line="252" w:lineRule="auto"/>
        <w:tabs>
          <w:tab w:leader="none" w:pos="96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reveal a stabilization of disease-relevant biomarkers in the central nervous system (CNS), including stabilization of a-syn and of neurofilament light chain (NfL) levels in CSF, as well as stabilization of the imaging biomarker DaT SPECT, an established marker of degeneration of presynaptic dopaminergic synapses/terminals in the brain region called striatum. All these findings suggest a slowing of Parkinson’s disease pathology, with potential disease modification; and</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82" w:name="page83"/>
    <w:bookmarkEnd w:id="8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960" w:hanging="610"/>
        <w:spacing w:after="0"/>
        <w:tabs>
          <w:tab w:leader="none" w:pos="96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demonstrate trends for stabilization of the clinical measure of motor symptoms in the active arm of the study.</w:t>
      </w:r>
    </w:p>
    <w:p>
      <w:pPr>
        <w:spacing w:after="0" w:line="211" w:lineRule="exact"/>
        <w:rPr>
          <w:sz w:val="20"/>
          <w:szCs w:val="20"/>
          <w:color w:val="auto"/>
        </w:rPr>
      </w:pPr>
    </w:p>
    <w:p>
      <w:pPr>
        <w:ind w:left="40" w:right="379" w:firstLine="305"/>
        <w:spacing w:after="0" w:line="263" w:lineRule="auto"/>
        <w:rPr>
          <w:sz w:val="20"/>
          <w:szCs w:val="20"/>
          <w:color w:val="auto"/>
        </w:rPr>
      </w:pPr>
      <w:r>
        <w:rPr>
          <w:rFonts w:ascii="Times New Roman" w:cs="Times New Roman" w:eastAsia="Times New Roman" w:hAnsi="Times New Roman"/>
          <w:sz w:val="17"/>
          <w:szCs w:val="17"/>
          <w:color w:val="auto"/>
        </w:rPr>
        <w:t>Based on these promising interim results, AC Immune aims to seek regulatory feedback on an ACI-7104.056 clinical development plan to potentially accelerate towards registration. Final data from Part 1 of the VacSYn trial are expected in mid-2026.</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ACI-35.030 – anti-pTau active immunotherapy</w:t>
      </w:r>
    </w:p>
    <w:p>
      <w:pPr>
        <w:spacing w:after="0" w:line="215" w:lineRule="exact"/>
        <w:rPr>
          <w:sz w:val="20"/>
          <w:szCs w:val="20"/>
          <w:color w:val="auto"/>
        </w:rPr>
      </w:pPr>
    </w:p>
    <w:p>
      <w:pPr>
        <w:ind w:left="40" w:right="139" w:firstLine="305"/>
        <w:spacing w:after="0" w:line="251" w:lineRule="auto"/>
        <w:rPr>
          <w:sz w:val="20"/>
          <w:szCs w:val="20"/>
          <w:color w:val="auto"/>
        </w:rPr>
      </w:pPr>
      <w:r>
        <w:rPr>
          <w:rFonts w:ascii="Times New Roman" w:cs="Times New Roman" w:eastAsia="Times New Roman" w:hAnsi="Times New Roman"/>
          <w:sz w:val="17"/>
          <w:szCs w:val="17"/>
          <w:color w:val="auto"/>
        </w:rPr>
        <w:t>ACI-35.030, AC Immune’s active immunotherapy developed in collaboration with Janssen, is selective for pathological phosphorylated Tau (pTau) and was advanced into the ReTain Phase 2b study (NCT06544616) that was initiated with the first patient being dosed in H2 2024. ACI-35.030 (now called JNJ-2056) is being assessed in subjects with preclinical (i.e., pre-symptomatic) AD. The trial aims to randomize approximately 500 participants with confirmed early-stage Tau pathology who will be treated over a four-year period. The trial will include analysis of Tau-PET as a potential surrogate biomarker, which might be used to initiate Phase 3 development to allow for overall program acceleration. Developed using our SupraAntigen technology, ACI-35.030/JNJ-2056 is designed to stimulate a patient’s immune system to produce antibodies against pathological phosphorylated Tau, which aggregates to create the neurofibrillary tangles that characterize AD.</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Potential advantages of anti-pTau active immunotherapy over other therapeutic approaches</w:t>
      </w:r>
    </w:p>
    <w:p>
      <w:pPr>
        <w:spacing w:after="0" w:line="202" w:lineRule="exact"/>
        <w:rPr>
          <w:sz w:val="20"/>
          <w:szCs w:val="20"/>
          <w:color w:val="auto"/>
        </w:rPr>
      </w:pPr>
    </w:p>
    <w:p>
      <w:pPr>
        <w:ind w:left="40" w:right="479" w:firstLine="305"/>
        <w:spacing w:after="0" w:line="256" w:lineRule="auto"/>
        <w:rPr>
          <w:sz w:val="20"/>
          <w:szCs w:val="20"/>
          <w:color w:val="auto"/>
        </w:rPr>
      </w:pPr>
      <w:r>
        <w:rPr>
          <w:rFonts w:ascii="Times New Roman" w:cs="Times New Roman" w:eastAsia="Times New Roman" w:hAnsi="Times New Roman"/>
          <w:sz w:val="17"/>
          <w:szCs w:val="17"/>
          <w:color w:val="auto"/>
        </w:rPr>
        <w:t xml:space="preserve">ACI-35.030 induces a specific, early, long-lasting and boostable polyclonal antibody response against pathological Tau species. Compared to anti-Tau monoclonal antibodies, which typically show much shorter half-lives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and require more frequent administration of higher drug volumes (delivered iv or sc), ACI-35.030 may thus offer a more cost effective and less burdensome approach for the treatment of Tau pathology. This may be particularly relevant for addressing chronic neurodegenerative tauopathies such as AD.</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Mechanism of action</w:t>
      </w:r>
    </w:p>
    <w:p>
      <w:pPr>
        <w:spacing w:after="0" w:line="215" w:lineRule="exact"/>
        <w:rPr>
          <w:sz w:val="20"/>
          <w:szCs w:val="20"/>
          <w:color w:val="auto"/>
        </w:rPr>
      </w:pPr>
    </w:p>
    <w:p>
      <w:pPr>
        <w:ind w:left="40" w:right="59" w:firstLine="305"/>
        <w:spacing w:after="0" w:line="252" w:lineRule="auto"/>
        <w:rPr>
          <w:sz w:val="20"/>
          <w:szCs w:val="20"/>
          <w:color w:val="auto"/>
        </w:rPr>
      </w:pPr>
      <w:r>
        <w:rPr>
          <w:rFonts w:ascii="Times New Roman" w:cs="Times New Roman" w:eastAsia="Times New Roman" w:hAnsi="Times New Roman"/>
          <w:sz w:val="17"/>
          <w:szCs w:val="17"/>
          <w:color w:val="auto"/>
        </w:rPr>
        <w:t>ACI-35.030 is a liposomal anti-pTau active immunotherapy formulation designed to elicit antibodies against extracellular pTau protein in order to prevent and reduce the spread and development of Tau pathology within the brain. In non-clinical studies, ACI-35.030 demonstrated an excellent non-clinical safety profile and highly specific antibody response against pTau. ACI-35.030/JNJ-2056 has entered a Phase 2b clinical study (ReTain) with potential pathways for acceleration with Janssen, in accordance with our collaboration agreement.</w:t>
      </w:r>
    </w:p>
    <w:p>
      <w:pPr>
        <w:spacing w:after="0" w:line="179" w:lineRule="exact"/>
        <w:rPr>
          <w:sz w:val="20"/>
          <w:szCs w:val="20"/>
          <w:color w:val="auto"/>
        </w:rPr>
      </w:pPr>
    </w:p>
    <w:p>
      <w:pPr>
        <w:ind w:left="680" w:right="119" w:hanging="305"/>
        <w:spacing w:after="0" w:line="277" w:lineRule="auto"/>
        <w:tabs>
          <w:tab w:leader="none" w:pos="68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ACI-35.030 comprises a pTau peptide and a non-Tau T-cell peptide capable of binding to human leukocyte antigen-major histocompatibility complex, class II (HLA-DR) molecules.</w:t>
      </w:r>
    </w:p>
    <w:p>
      <w:pPr>
        <w:spacing w:after="0" w:line="157" w:lineRule="exact"/>
        <w:rPr>
          <w:rFonts w:ascii="Times New Roman" w:cs="Times New Roman" w:eastAsia="Times New Roman" w:hAnsi="Times New Roman"/>
          <w:sz w:val="17"/>
          <w:szCs w:val="17"/>
          <w:color w:val="auto"/>
        </w:rPr>
      </w:pPr>
    </w:p>
    <w:p>
      <w:pPr>
        <w:ind w:left="680" w:right="119" w:hanging="305"/>
        <w:spacing w:after="0" w:line="258" w:lineRule="auto"/>
        <w:tabs>
          <w:tab w:leader="none" w:pos="68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rhesus monkeys, ACI-35.030 induced IgG antibodies with a strong specificity towards the pTau peptide, with very low binding to the non-phosphorylated Tau peptide (Figure 15). This is meaningful as Tau hyper-phosphorylation is considered an early event in the development of Tau pathology, occurring even decades before the onset of cognitive impairment.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83" w:name="page84"/>
    <w:bookmarkEnd w:id="8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b w:val="1"/>
          <w:bCs w:val="1"/>
          <w:color w:val="auto"/>
        </w:rPr>
        <w:t>Figure 15: pTau-specific IgG titers in Non-Human Primates (NHP) induced by ACI-35.030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1465580</wp:posOffset>
            </wp:positionH>
            <wp:positionV relativeFrom="paragraph">
              <wp:posOffset>106680</wp:posOffset>
            </wp:positionV>
            <wp:extent cx="2788285" cy="14992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788285" cy="1499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Ref: Vukicevic, ADPD 2024</w:t>
      </w:r>
    </w:p>
    <w:p>
      <w:pPr>
        <w:spacing w:after="0" w:line="211" w:lineRule="exact"/>
        <w:rPr>
          <w:sz w:val="20"/>
          <w:szCs w:val="20"/>
          <w:color w:val="auto"/>
        </w:rPr>
      </w:pPr>
    </w:p>
    <w:p>
      <w:pPr>
        <w:ind w:left="680" w:right="239" w:hanging="305"/>
        <w:spacing w:after="0" w:line="263" w:lineRule="auto"/>
        <w:tabs>
          <w:tab w:leader="none" w:pos="6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Sera from rhesus monkeys immunized with ACI-35.030 binds specifically to pathological Tau in brain sections from patients with AD as compared to healthy human brain tissue (Kosco-Vilbois, KOL event ‘Untangling’ Tau Pathology to Treat Alzheimer’s and Neurodegenerative Diseases NYC, Nov 2019).</w:t>
      </w:r>
    </w:p>
    <w:p>
      <w:pPr>
        <w:spacing w:after="0" w:line="169" w:lineRule="exact"/>
        <w:rPr>
          <w:rFonts w:ascii="Times New Roman" w:cs="Times New Roman" w:eastAsia="Times New Roman" w:hAnsi="Times New Roman"/>
          <w:sz w:val="17"/>
          <w:szCs w:val="17"/>
          <w:color w:val="auto"/>
        </w:rPr>
      </w:pPr>
    </w:p>
    <w:p>
      <w:pPr>
        <w:ind w:left="680" w:right="539" w:hanging="305"/>
        <w:spacing w:after="0" w:line="277" w:lineRule="auto"/>
        <w:tabs>
          <w:tab w:leader="none" w:pos="6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Immunization of rhesus monkeys with ACI-35.030 generated a strong and sustained IgG antibody response against enriched paired helical filaments (ePHF) (Vukicevic, ADPD 2024).</w:t>
      </w:r>
    </w:p>
    <w:p>
      <w:pPr>
        <w:spacing w:after="0" w:line="157" w:lineRule="exact"/>
        <w:rPr>
          <w:rFonts w:ascii="Times New Roman" w:cs="Times New Roman" w:eastAsia="Times New Roman" w:hAnsi="Times New Roman"/>
          <w:sz w:val="17"/>
          <w:szCs w:val="17"/>
          <w:color w:val="auto"/>
        </w:rPr>
      </w:pPr>
    </w:p>
    <w:p>
      <w:pPr>
        <w:ind w:left="680" w:right="459" w:hanging="305"/>
        <w:spacing w:after="0" w:line="277" w:lineRule="auto"/>
        <w:tabs>
          <w:tab w:leader="none" w:pos="6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Epitope mapping analyses revealed that immunization of NHPs with ACI-35.030 induces a wide range of antibodies covering the pTau antigenic sequence (Kosco-Vilbois, CTAD 2022).</w:t>
      </w:r>
    </w:p>
    <w:p>
      <w:pPr>
        <w:spacing w:after="0" w:line="157" w:lineRule="exact"/>
        <w:rPr>
          <w:rFonts w:ascii="Times New Roman" w:cs="Times New Roman" w:eastAsia="Times New Roman" w:hAnsi="Times New Roman"/>
          <w:sz w:val="17"/>
          <w:szCs w:val="17"/>
          <w:color w:val="auto"/>
        </w:rPr>
      </w:pPr>
    </w:p>
    <w:p>
      <w:pPr>
        <w:ind w:left="680" w:right="79" w:hanging="305"/>
        <w:spacing w:after="0" w:line="277" w:lineRule="auto"/>
        <w:tabs>
          <w:tab w:leader="none" w:pos="6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Sera from NHPs immunized with ACI-35.030 showed the ability to specifically reduce ePHF-seeded Tau aggregation in a functional cellular assay (Vukicevic, ADPD 2024).</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Clinical development</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Phase 1b/2a study</w:t>
      </w:r>
    </w:p>
    <w:p>
      <w:pPr>
        <w:spacing w:after="0" w:line="215" w:lineRule="exact"/>
        <w:rPr>
          <w:sz w:val="20"/>
          <w:szCs w:val="20"/>
          <w:color w:val="auto"/>
        </w:rPr>
      </w:pPr>
    </w:p>
    <w:p>
      <w:pPr>
        <w:ind w:left="40" w:right="79" w:firstLine="305"/>
        <w:spacing w:after="0" w:line="251" w:lineRule="auto"/>
        <w:rPr>
          <w:sz w:val="20"/>
          <w:szCs w:val="20"/>
          <w:color w:val="auto"/>
        </w:rPr>
      </w:pPr>
      <w:r>
        <w:rPr>
          <w:rFonts w:ascii="Times New Roman" w:cs="Times New Roman" w:eastAsia="Times New Roman" w:hAnsi="Times New Roman"/>
          <w:sz w:val="17"/>
          <w:szCs w:val="17"/>
          <w:color w:val="auto"/>
        </w:rPr>
        <w:t xml:space="preserve">The Phase 1b/2a study (NCT04445831) was a randomized, multicenter, double-blind, placebo-controlled clinical study with a primary objective to assess the safety, tolerability and immunogenicity of different dosages of ACI-35.030 and JACI-35.054 (an alternative candidate for anti-pTau active immunotherapy) in participants with early AD. Secondary objectives assessed additional immunogenicity parameters, while exploratory endpoints included notable biomarkers of progression of AD as well as clinical assessments. This Phase 1b/2a study conducted in Europe was aimed at evaluating ACI-35.030 and JACI-35.054. The clinical trial was completed in September 2023. The clinical study report was finalized in H1 2024. Data obtained in this study was published in eBiomedicine (Part of THE LANCET Discovery Science) in September 2025 (Sol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2025 eBiomedicine).</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Safety (data are consolidated in the final clinical study report)</w:t>
      </w:r>
    </w:p>
    <w:p>
      <w:pPr>
        <w:spacing w:after="0" w:line="215" w:lineRule="exact"/>
        <w:rPr>
          <w:sz w:val="20"/>
          <w:szCs w:val="20"/>
          <w:color w:val="auto"/>
        </w:rPr>
      </w:pPr>
    </w:p>
    <w:p>
      <w:pPr>
        <w:ind w:left="40" w:right="219" w:firstLine="305"/>
        <w:spacing w:after="0" w:line="263" w:lineRule="auto"/>
        <w:rPr>
          <w:sz w:val="20"/>
          <w:szCs w:val="20"/>
          <w:color w:val="auto"/>
        </w:rPr>
      </w:pPr>
      <w:r>
        <w:rPr>
          <w:rFonts w:ascii="Times New Roman" w:cs="Times New Roman" w:eastAsia="Times New Roman" w:hAnsi="Times New Roman"/>
          <w:sz w:val="17"/>
          <w:szCs w:val="17"/>
          <w:color w:val="auto"/>
        </w:rPr>
        <w:t>A total of 57 subjects were randomized, of which 41 subjects were randomized into the Cohort 1 (low-, mid-, or high-dose levels of ACI-35.030 or placebo), and 16 subjects were randomized into the Cohort 2 (low- or mid-dose levels of JACI-35.054 or placebo). The active/placebo ratio was 3:1 in each Cohort.</w:t>
      </w:r>
    </w:p>
    <w:p>
      <w:pPr>
        <w:spacing w:after="0" w:line="157" w:lineRule="exact"/>
        <w:rPr>
          <w:sz w:val="20"/>
          <w:szCs w:val="20"/>
          <w:color w:val="auto"/>
        </w:rPr>
      </w:pPr>
    </w:p>
    <w:p>
      <w:pPr>
        <w:ind w:left="40" w:right="59" w:firstLine="305"/>
        <w:spacing w:after="0" w:line="256" w:lineRule="auto"/>
        <w:rPr>
          <w:sz w:val="20"/>
          <w:szCs w:val="20"/>
          <w:color w:val="auto"/>
        </w:rPr>
      </w:pPr>
      <w:r>
        <w:rPr>
          <w:rFonts w:ascii="Times New Roman" w:cs="Times New Roman" w:eastAsia="Times New Roman" w:hAnsi="Times New Roman"/>
          <w:sz w:val="17"/>
          <w:szCs w:val="17"/>
          <w:color w:val="auto"/>
        </w:rPr>
        <w:t>ACI-35.030 and JACI-35.054 showed a good safety and tolerability profile. Most adverse events (AEs) were of mild or moderate intensity. No death was reported. No AE led to study discontinuation or to study treatment discontinuation. Injection site reactions were one of the most frequently reported AEs in actively treated subjects. The serious adverse events (SAEs) were mainly observed in subjects treated with ACI-35.030 with no particular relationship to dose. All of them were unlikely related to the study treatment, except the injection site rash and dizziness observed in</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84" w:name="page85"/>
    <w:bookmarkEnd w:id="8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219"/>
        <w:spacing w:after="0" w:line="256" w:lineRule="auto"/>
        <w:rPr>
          <w:sz w:val="20"/>
          <w:szCs w:val="20"/>
          <w:color w:val="auto"/>
        </w:rPr>
      </w:pPr>
      <w:r>
        <w:rPr>
          <w:rFonts w:ascii="Times New Roman" w:cs="Times New Roman" w:eastAsia="Times New Roman" w:hAnsi="Times New Roman"/>
          <w:sz w:val="17"/>
          <w:szCs w:val="17"/>
          <w:color w:val="auto"/>
        </w:rPr>
        <w:t>one subject treated with the mid-dose of ACI-35.030 that were considered respectively probably and possibly related to the study treatment. All SAEs resolved and none of them led to dose changes of study treatment or study discontinuation. No clinically relevant findings were reported on brain MRI. There was no difference in the incidence of cardiovascular disorders between the active and placebo arms. One case of sinus node dysfunction, that was rated as SAE, was observed in one subject treated with the low dose of ACI-35.030.</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Antibody response</w:t>
      </w:r>
    </w:p>
    <w:p>
      <w:pPr>
        <w:spacing w:after="0" w:line="215" w:lineRule="exact"/>
        <w:rPr>
          <w:sz w:val="20"/>
          <w:szCs w:val="20"/>
          <w:color w:val="auto"/>
        </w:rPr>
      </w:pPr>
    </w:p>
    <w:p>
      <w:pPr>
        <w:ind w:left="40" w:right="59" w:firstLine="305"/>
        <w:spacing w:after="0" w:line="251" w:lineRule="auto"/>
        <w:rPr>
          <w:sz w:val="20"/>
          <w:szCs w:val="20"/>
          <w:color w:val="auto"/>
        </w:rPr>
      </w:pPr>
      <w:r>
        <w:rPr>
          <w:rFonts w:ascii="Times New Roman" w:cs="Times New Roman" w:eastAsia="Times New Roman" w:hAnsi="Times New Roman"/>
          <w:sz w:val="17"/>
          <w:szCs w:val="17"/>
          <w:color w:val="auto"/>
        </w:rPr>
        <w:t xml:space="preserve">ACI-35.030 generated a rapid antibody response (anti-pTau, anti-ePHF and anti-Tau IgG) after the first injection (at week 2) at all three tested doses. An increase in IgG titers (pTau, Tau, and ePHF) was observed between the low and mid-dose levels while no apparent dose effect was observed between the mid and high doses. The increase of antibody titers was observed after each injection (compared to pre-injection level), especially against pathological Tau species (pTau and ePHF), with robust and consistent antibody responses that were maintained over time. Long-term persistence of the anti-ePHF IgG titers against endogenous pathological Tau was observed in all ACI-35.030 active treatment groups. Kinetics and duration of the IgG profiles demonstrated the ability of ACI-35.030 to drive a selective response against pathological Tau species while avoiding the generation of antibodies that bind to non-phosphorylated Tau (Sol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2025 eBiomedicine).</w:t>
      </w:r>
    </w:p>
    <w:p>
      <w:pPr>
        <w:spacing w:after="0" w:line="167" w:lineRule="exact"/>
        <w:rPr>
          <w:sz w:val="20"/>
          <w:szCs w:val="20"/>
          <w:color w:val="auto"/>
        </w:rPr>
      </w:pPr>
    </w:p>
    <w:p>
      <w:pPr>
        <w:ind w:left="40" w:right="239" w:firstLine="305"/>
        <w:spacing w:after="0" w:line="263" w:lineRule="auto"/>
        <w:rPr>
          <w:sz w:val="20"/>
          <w:szCs w:val="20"/>
          <w:color w:val="auto"/>
        </w:rPr>
      </w:pPr>
      <w:r>
        <w:rPr>
          <w:rFonts w:ascii="Times New Roman" w:cs="Times New Roman" w:eastAsia="Times New Roman" w:hAnsi="Times New Roman"/>
          <w:sz w:val="17"/>
          <w:szCs w:val="17"/>
          <w:color w:val="auto"/>
        </w:rPr>
        <w:t xml:space="preserve">After the first injection of JACI-35.054, antibody IgG response rates against pTau, ePHF, and Tau were less elevated as compared to ACI-35.030. No apparent dose response between both tested doses of JACI-35.054 and no preferential development of antibody responses against the pathological target were observed (Sol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2025 eBiomedicine).</w:t>
      </w:r>
    </w:p>
    <w:p>
      <w:pPr>
        <w:spacing w:after="0" w:line="166" w:lineRule="exact"/>
        <w:rPr>
          <w:sz w:val="20"/>
          <w:szCs w:val="20"/>
          <w:color w:val="auto"/>
        </w:rPr>
      </w:pPr>
    </w:p>
    <w:p>
      <w:pPr>
        <w:jc w:val="center"/>
        <w:ind w:left="40" w:right="59"/>
        <w:spacing w:after="0" w:line="282" w:lineRule="auto"/>
        <w:rPr>
          <w:sz w:val="20"/>
          <w:szCs w:val="20"/>
          <w:color w:val="auto"/>
        </w:rPr>
      </w:pPr>
      <w:r>
        <w:rPr>
          <w:rFonts w:ascii="Times New Roman" w:cs="Times New Roman" w:eastAsia="Times New Roman" w:hAnsi="Times New Roman"/>
          <w:sz w:val="17"/>
          <w:szCs w:val="17"/>
          <w:b w:val="1"/>
          <w:bCs w:val="1"/>
          <w:color w:val="auto"/>
        </w:rPr>
        <w:t>Figure 16: ACI-35.030 generates antibody response with preference for enriched paired helical filaments (ePHF) and phosphorylated Tau (pTau), over non-phosphorylated Tau (Tau)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132080</wp:posOffset>
            </wp:positionV>
            <wp:extent cx="5012690" cy="22085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012690" cy="2208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(1) ACI-35.030 original sub-cohort 1.2 data; (2) Enriched paired helical filaments; (3) Phosphorylated Tau; (4) Alzheimer’s disease; (5) Antibody</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 xml:space="preserve">Ref: Streffer,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2022 CTAD</w:t>
      </w:r>
    </w:p>
    <w:p>
      <w:pPr>
        <w:spacing w:after="0" w:line="215" w:lineRule="exact"/>
        <w:rPr>
          <w:sz w:val="20"/>
          <w:szCs w:val="20"/>
          <w:color w:val="auto"/>
        </w:rPr>
      </w:pPr>
    </w:p>
    <w:p>
      <w:pPr>
        <w:ind w:left="40" w:right="79" w:firstLine="305"/>
        <w:spacing w:after="0" w:line="251" w:lineRule="auto"/>
        <w:rPr>
          <w:sz w:val="20"/>
          <w:szCs w:val="20"/>
          <w:color w:val="auto"/>
        </w:rPr>
      </w:pPr>
      <w:r>
        <w:rPr>
          <w:rFonts w:ascii="Times New Roman" w:cs="Times New Roman" w:eastAsia="Times New Roman" w:hAnsi="Times New Roman"/>
          <w:sz w:val="17"/>
          <w:szCs w:val="17"/>
          <w:color w:val="auto"/>
        </w:rPr>
        <w:t xml:space="preserve">High responder rates were generally observed for ACI-35.030 after the first and all following immunizations, across all dose levels. A 100% IgG response rate against pTau was observed in almost all timepoints at the mid and high doses until study end (i.e. higher than a pretreatment value multiplied by a threshold factor of greater than 2x). A higher IgG responder rate against ePHF (70.6-94.4%) was observed for the mid-dose compared to the high dose (33.3-83.3%) at all time points measured. The IgG responder rate against non-phosphorylated Tau decreased in a regular manner over time and was ≤20% at study end for the 2 highest doses (Sol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2025 eBiomedicine).</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85" w:name="page86"/>
    <w:bookmarkEnd w:id="8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99" w:firstLine="305"/>
        <w:spacing w:after="0" w:line="277" w:lineRule="auto"/>
        <w:rPr>
          <w:sz w:val="20"/>
          <w:szCs w:val="20"/>
          <w:color w:val="auto"/>
        </w:rPr>
      </w:pPr>
      <w:r>
        <w:rPr>
          <w:rFonts w:ascii="Times New Roman" w:cs="Times New Roman" w:eastAsia="Times New Roman" w:hAnsi="Times New Roman"/>
          <w:sz w:val="17"/>
          <w:szCs w:val="17"/>
          <w:color w:val="auto"/>
        </w:rPr>
        <w:t xml:space="preserve">JACI-35.054 generated a potent antibody IgG response without preference for pathological Tau (ePHF) or phosphorylated Tau (pTau), over non-phosphorylated Tau (Sol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2025 eBiomedicine).</w:t>
      </w:r>
    </w:p>
    <w:p>
      <w:pPr>
        <w:spacing w:after="0" w:line="158" w:lineRule="exact"/>
        <w:rPr>
          <w:sz w:val="20"/>
          <w:szCs w:val="20"/>
          <w:color w:val="auto"/>
        </w:rPr>
      </w:pPr>
    </w:p>
    <w:p>
      <w:pPr>
        <w:ind w:left="40" w:right="259" w:firstLine="305"/>
        <w:spacing w:after="0" w:line="277" w:lineRule="auto"/>
        <w:rPr>
          <w:sz w:val="20"/>
          <w:szCs w:val="20"/>
          <w:color w:val="auto"/>
        </w:rPr>
      </w:pPr>
      <w:r>
        <w:rPr>
          <w:rFonts w:ascii="Times New Roman" w:cs="Times New Roman" w:eastAsia="Times New Roman" w:hAnsi="Times New Roman"/>
          <w:sz w:val="17"/>
          <w:szCs w:val="17"/>
          <w:color w:val="auto"/>
        </w:rPr>
        <w:t>Together, these data indicate that the presentation of the B-cell peptide on the surface of the liposomes in ACI-35.030 drives the antibody response towards pathological Tau species.</w:t>
      </w:r>
    </w:p>
    <w:p>
      <w:pPr>
        <w:spacing w:after="0" w:line="154" w:lineRule="exact"/>
        <w:rPr>
          <w:sz w:val="20"/>
          <w:szCs w:val="20"/>
          <w:color w:val="auto"/>
        </w:rPr>
      </w:pPr>
    </w:p>
    <w:p>
      <w:pPr>
        <w:ind w:left="40" w:right="99" w:firstLine="305"/>
        <w:spacing w:after="0" w:line="255" w:lineRule="auto"/>
        <w:rPr>
          <w:sz w:val="20"/>
          <w:szCs w:val="20"/>
          <w:color w:val="auto"/>
        </w:rPr>
      </w:pPr>
      <w:r>
        <w:rPr>
          <w:rFonts w:ascii="Times New Roman" w:cs="Times New Roman" w:eastAsia="Times New Roman" w:hAnsi="Times New Roman"/>
          <w:sz w:val="17"/>
          <w:szCs w:val="17"/>
          <w:color w:val="auto"/>
        </w:rPr>
        <w:t xml:space="preserve">Serum antibodies from 6 participants receiving mid-dose ACI-35.030 and 3 participants receiving placebo were tested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for their capacity to inhibit Tau aggregation induced by pathological Tau species. As compared to placebo, antibodies induced after mid-dose ACI-35.030 treatment were able to block Tau seeding over multiple serum dilutions (Theunis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ADPD 2025), suggesting that ACI-35.030-induced antibodies have the potential to interfere with seeded tau aggregation.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Fluid Biomarkers</w:t>
      </w:r>
    </w:p>
    <w:p>
      <w:pPr>
        <w:spacing w:after="0" w:line="215" w:lineRule="exact"/>
        <w:rPr>
          <w:sz w:val="20"/>
          <w:szCs w:val="20"/>
          <w:color w:val="auto"/>
        </w:rPr>
      </w:pPr>
    </w:p>
    <w:p>
      <w:pPr>
        <w:ind w:left="40" w:right="79" w:firstLine="305"/>
        <w:spacing w:after="0" w:line="251" w:lineRule="auto"/>
        <w:rPr>
          <w:sz w:val="20"/>
          <w:szCs w:val="20"/>
          <w:color w:val="auto"/>
        </w:rPr>
      </w:pPr>
      <w:r>
        <w:rPr>
          <w:rFonts w:ascii="Times New Roman" w:cs="Times New Roman" w:eastAsia="Times New Roman" w:hAnsi="Times New Roman"/>
          <w:sz w:val="17"/>
          <w:szCs w:val="17"/>
          <w:color w:val="auto"/>
        </w:rPr>
        <w:t xml:space="preserve">A post-hoc analysis revealed evidence for alteration of AD-related plasma biomarkers, more specifically decreased pTau217 and increased brain-derived (BD) Tau levels, after ACI-35.030 treatment. When compared to the changes from baseline in placebo, the change from baseline in BD-Tau plasma levels after ACI-35.030 treatment reached nominal significance upon the last dose administration for the mid- and high-dose. For plasma pTau217, the change from baseline with ACI-35.030 treatment, when compared to the change from baseline for placebo, was nominally significant at certain timepoints upon the third and fourth mid-dose and upon the second and third high-dose administration (Sol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2025 eBiomedicine).</w:t>
      </w:r>
    </w:p>
    <w:p>
      <w:pPr>
        <w:spacing w:after="0" w:line="182" w:lineRule="exact"/>
        <w:rPr>
          <w:sz w:val="20"/>
          <w:szCs w:val="20"/>
          <w:color w:val="auto"/>
        </w:rPr>
      </w:pPr>
    </w:p>
    <w:p>
      <w:pPr>
        <w:ind w:left="40" w:right="119" w:firstLine="305"/>
        <w:spacing w:after="0" w:line="258" w:lineRule="auto"/>
        <w:rPr>
          <w:sz w:val="20"/>
          <w:szCs w:val="20"/>
          <w:color w:val="auto"/>
        </w:rPr>
      </w:pPr>
      <w:r>
        <w:rPr>
          <w:rFonts w:ascii="Times New Roman" w:cs="Times New Roman" w:eastAsia="Times New Roman" w:hAnsi="Times New Roman"/>
          <w:sz w:val="17"/>
          <w:szCs w:val="17"/>
          <w:color w:val="auto"/>
        </w:rPr>
        <w:t xml:space="preserve">In the same post-hoc analysis, treatment with JACI-35.054 compared to placebo reached significance for both BD-Tau as well as pTau217 changes only at the higher dose and only at a single time point upon the second dose administration, indicating no consistent effect on these biomarkers. A dose-independent increase of plasma pTau181 was however observed as compared to placebo (Sol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2025 eBiomedicine).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Phase 2b study ReTain</w:t>
      </w:r>
    </w:p>
    <w:p>
      <w:pPr>
        <w:spacing w:after="0" w:line="215" w:lineRule="exact"/>
        <w:rPr>
          <w:sz w:val="20"/>
          <w:szCs w:val="20"/>
          <w:color w:val="auto"/>
        </w:rPr>
      </w:pPr>
    </w:p>
    <w:p>
      <w:pPr>
        <w:ind w:left="40" w:right="419" w:firstLine="305"/>
        <w:spacing w:after="0" w:line="277" w:lineRule="auto"/>
        <w:rPr>
          <w:sz w:val="20"/>
          <w:szCs w:val="20"/>
          <w:color w:val="auto"/>
        </w:rPr>
      </w:pPr>
      <w:r>
        <w:rPr>
          <w:rFonts w:ascii="Times New Roman" w:cs="Times New Roman" w:eastAsia="Times New Roman" w:hAnsi="Times New Roman"/>
          <w:sz w:val="17"/>
          <w:szCs w:val="17"/>
          <w:color w:val="auto"/>
        </w:rPr>
        <w:t>ACI-35.030/JNJ-2056 is now being assessed in subjects with preclinical (i.e., pre-symptomatic) AD in the Phase 2b study ReTain (NCT06544616).</w:t>
      </w:r>
    </w:p>
    <w:p>
      <w:pPr>
        <w:spacing w:after="0" w:line="145" w:lineRule="exact"/>
        <w:rPr>
          <w:sz w:val="20"/>
          <w:szCs w:val="20"/>
          <w:color w:val="auto"/>
        </w:rPr>
      </w:pPr>
    </w:p>
    <w:p>
      <w:pPr>
        <w:ind w:left="40" w:right="119" w:firstLine="305"/>
        <w:spacing w:after="0" w:line="273" w:lineRule="auto"/>
        <w:rPr>
          <w:sz w:val="20"/>
          <w:szCs w:val="20"/>
          <w:color w:val="auto"/>
        </w:rPr>
      </w:pPr>
      <w:r>
        <w:rPr>
          <w:rFonts w:ascii="Times New Roman" w:cs="Times New Roman" w:eastAsia="Times New Roman" w:hAnsi="Times New Roman"/>
          <w:sz w:val="16"/>
          <w:szCs w:val="16"/>
          <w:color w:val="auto"/>
        </w:rPr>
        <w:t>ReTain is a multicenter, randomized, placebo-controlled, double-blind, parallel-group study to assess efficacy, safety and immunogenicity of ACI-35.030/JNJ-2056 in participants with preclinical AD. The purpose of this study is to assess the effect of this anti-pTau active immunotherapy on cognitive decline, as measured by Preclinical Alzheimer's disease Cognitive Composite 5 (PACC-5) compared with placebo. The ongoing trial aims to randomize approximately 500 participants with confirmed early-stage brain Tau pathology, who will be treated over a four-year period. The trial will also include interim biomarker analyses, notably on brain Tau-PET scan, potentially allowing for acceleration towards a regulatory filing. The first patient was dosed in H2 2024.</w:t>
      </w:r>
    </w:p>
    <w:p>
      <w:pPr>
        <w:spacing w:after="0" w:line="166" w:lineRule="exact"/>
        <w:rPr>
          <w:sz w:val="20"/>
          <w:szCs w:val="20"/>
          <w:color w:val="auto"/>
        </w:rPr>
      </w:pPr>
    </w:p>
    <w:p>
      <w:pPr>
        <w:ind w:left="40" w:right="179" w:firstLine="305"/>
        <w:spacing w:after="0" w:line="252" w:lineRule="auto"/>
        <w:rPr>
          <w:sz w:val="20"/>
          <w:szCs w:val="20"/>
          <w:color w:val="auto"/>
        </w:rPr>
      </w:pPr>
      <w:r>
        <w:rPr>
          <w:rFonts w:ascii="Times New Roman" w:cs="Times New Roman" w:eastAsia="Times New Roman" w:hAnsi="Times New Roman"/>
          <w:sz w:val="17"/>
          <w:szCs w:val="17"/>
          <w:color w:val="auto"/>
        </w:rPr>
        <w:t>AC Immune SA has been informed by Johnson &amp; Johnson, in relation to the Phase 2b study ReTain (NCT06544616) that while the Phase 2b Retain trial continues, enrollment has been temporarily paused while Janssen evaluates aspects of the trial (including recruitment). There is no change for enrolled participants at this time, and they will continue to be treated and followed according to the protocol. The temporary pause in recruitment is voluntary and not related to new safety findings, and the trial’s pre-specified interim immunogenicity threshold was met.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86" w:name="page87"/>
    <w:bookmarkEnd w:id="8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Figure 17: Trial design of Phase 2b ReTain study of ACI-35.030/JNJ-2056 in preclinical 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154940</wp:posOffset>
            </wp:positionV>
            <wp:extent cx="5222240" cy="20066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22240" cy="200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40" w:right="99" w:firstLine="5"/>
        <w:spacing w:after="0" w:line="256" w:lineRule="auto"/>
        <w:tabs>
          <w:tab w:leader="none" w:pos="208"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Alzheimer’s disease; (2) Abeta positivity (A+) is based on the fact that participants with a positive pT217 plasma test result who also meet pathologic tau criteria on tau PET are highly likely to be amyloid positive (A+). Amyloid PET scan is not performed in the study to avoid unnecessary radiation exposure; (3) Tau-PET measured in the Tau-naïve composite region; (4) PACC-5</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Neuroinflammation and the NLRP3 inflammasome pathway</w:t>
      </w:r>
    </w:p>
    <w:p>
      <w:pPr>
        <w:spacing w:after="0" w:line="215" w:lineRule="exact"/>
        <w:rPr>
          <w:sz w:val="20"/>
          <w:szCs w:val="20"/>
          <w:color w:val="auto"/>
        </w:rPr>
      </w:pPr>
    </w:p>
    <w:p>
      <w:pPr>
        <w:ind w:left="40" w:right="119" w:firstLine="305"/>
        <w:spacing w:after="0" w:line="252" w:lineRule="auto"/>
        <w:rPr>
          <w:sz w:val="20"/>
          <w:szCs w:val="20"/>
          <w:color w:val="auto"/>
        </w:rPr>
      </w:pPr>
      <w:r>
        <w:rPr>
          <w:rFonts w:ascii="Times New Roman" w:cs="Times New Roman" w:eastAsia="Times New Roman" w:hAnsi="Times New Roman"/>
          <w:sz w:val="17"/>
          <w:szCs w:val="17"/>
          <w:color w:val="auto"/>
        </w:rPr>
        <w:t>Microglial cells are the main resident immune cells in the brain, which maintain a healthy environment by removing damaged cells and misfolded protein aggregates. When overstimulated, microglia can drive neuroinflammation, leading to increased neuronal death and disease progression. A key molecular pathway that is activated by misfolded proteins related to neurodegenerative and other diseases is the NLRP3 inflammasome, a multi-protein complex that forms within microglia leading to production of pro-inflammatory factors that exacerbate neuronal atrophy.</w:t>
      </w:r>
    </w:p>
    <w:p>
      <w:pPr>
        <w:spacing w:after="0" w:line="179" w:lineRule="exact"/>
        <w:rPr>
          <w:sz w:val="20"/>
          <w:szCs w:val="20"/>
          <w:color w:val="auto"/>
        </w:rPr>
      </w:pPr>
    </w:p>
    <w:p>
      <w:pPr>
        <w:ind w:left="40" w:right="259" w:firstLine="305"/>
        <w:spacing w:after="0" w:line="310" w:lineRule="auto"/>
        <w:rPr>
          <w:sz w:val="20"/>
          <w:szCs w:val="20"/>
          <w:color w:val="auto"/>
        </w:rPr>
      </w:pPr>
      <w:r>
        <w:rPr>
          <w:rFonts w:ascii="Times New Roman" w:cs="Times New Roman" w:eastAsia="Times New Roman" w:hAnsi="Times New Roman"/>
          <w:sz w:val="16"/>
          <w:szCs w:val="16"/>
          <w:color w:val="auto"/>
        </w:rPr>
        <w:t xml:space="preserve">NLRP3 inflammasome activation is also involved in the inflammatory processes occurring in many peripheral diseases including cardiovascular, metabolic, skin and respiratory disorders (Yao </w:t>
      </w:r>
      <w:r>
        <w:rPr>
          <w:rFonts w:ascii="Times New Roman" w:cs="Times New Roman" w:eastAsia="Times New Roman" w:hAnsi="Times New Roman"/>
          <w:sz w:val="16"/>
          <w:szCs w:val="16"/>
          <w:i w:val="1"/>
          <w:iCs w:val="1"/>
          <w:color w:val="auto"/>
        </w:rPr>
        <w:t>et al.,</w:t>
      </w:r>
      <w:r>
        <w:rPr>
          <w:rFonts w:ascii="Times New Roman" w:cs="Times New Roman" w:eastAsia="Times New Roman" w:hAnsi="Times New Roman"/>
          <w:sz w:val="16"/>
          <w:szCs w:val="16"/>
          <w:color w:val="auto"/>
        </w:rPr>
        <w:t xml:space="preserve"> Signal Transduction and Targeted Therapy, 2024).</w:t>
      </w:r>
    </w:p>
    <w:p>
      <w:pPr>
        <w:spacing w:after="0" w:line="134" w:lineRule="exact"/>
        <w:rPr>
          <w:sz w:val="20"/>
          <w:szCs w:val="20"/>
          <w:color w:val="auto"/>
        </w:rPr>
      </w:pPr>
    </w:p>
    <w:p>
      <w:pPr>
        <w:ind w:left="40" w:right="59" w:firstLine="305"/>
        <w:spacing w:after="0" w:line="252" w:lineRule="auto"/>
        <w:rPr>
          <w:sz w:val="20"/>
          <w:szCs w:val="20"/>
          <w:color w:val="auto"/>
        </w:rPr>
      </w:pPr>
      <w:r>
        <w:rPr>
          <w:rFonts w:ascii="Times New Roman" w:cs="Times New Roman" w:eastAsia="Times New Roman" w:hAnsi="Times New Roman"/>
          <w:sz w:val="17"/>
          <w:szCs w:val="17"/>
          <w:color w:val="auto"/>
        </w:rPr>
        <w:t>As illustrated in Figure 16, pathological species of Abeta, Tau, a-syn and TDP-43 induce NLRP3 inflammasome activation and ASC speck formation. AC Immune is developing multiple small molecules and antibody-based candidates with the potential to inhibit the NLRP3 pathway and reduce the unwanted progression of inflammation. Our aim is to develop therapeutics that decrease production of pro-inflammatory factors yet maintain normal phagocytosis of debris and misfolded proteins as well as allow the function of other pathogen-sensing pathways.</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87" w:name="page88"/>
    <w:bookmarkEnd w:id="8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Figure 18: NLRP3</w:t>
      </w:r>
      <w:r>
        <w:rPr>
          <w:rFonts w:ascii="Times New Roman" w:cs="Times New Roman" w:eastAsia="Times New Roman" w:hAnsi="Times New Roman"/>
          <w:sz w:val="25"/>
          <w:szCs w:val="25"/>
          <w:b w:val="1"/>
          <w:bCs w:val="1"/>
          <w:color w:val="auto"/>
          <w:vertAlign w:val="superscript"/>
        </w:rPr>
        <w:t>1</w:t>
      </w:r>
      <w:r>
        <w:rPr>
          <w:rFonts w:ascii="Times New Roman" w:cs="Times New Roman" w:eastAsia="Times New Roman" w:hAnsi="Times New Roman"/>
          <w:sz w:val="17"/>
          <w:szCs w:val="17"/>
          <w:b w:val="1"/>
          <w:bCs w:val="1"/>
          <w:color w:val="auto"/>
        </w:rPr>
        <w:t xml:space="preserve"> inflammasome is a promising therapeutic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92710</wp:posOffset>
            </wp:positionV>
            <wp:extent cx="5158105" cy="1821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58105" cy="1821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 w:right="699" w:firstLine="5"/>
        <w:spacing w:after="0" w:line="316" w:lineRule="auto"/>
        <w:tabs>
          <w:tab w:leader="none" w:pos="208" w:val="left"/>
        </w:tabs>
        <w:numPr>
          <w:ilvl w:val="0"/>
          <w:numId w:val="7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Nod-Like Receptor protein containing Pyrin 3; (2) Central nervous system; (3) Clinical Trial Authorization; (4) TAR DNA binding protein-43; (5) Venegas et al., 2017; (6) phosphorylated Tau; (7) alpha-synuclein; (8) Interleukin-1 beta; (9) Interleukin-18; (10) Apoptosis-associated speck-like protein containing a CARD, also called PYCARD</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 xml:space="preserve">Ref: Adapted from Stancu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xml:space="preserve">, 2019; Dempsey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xml:space="preserve">, 2018; Gordon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2018</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Small molecule inhibitors of NLRP3</w:t>
      </w:r>
    </w:p>
    <w:p>
      <w:pPr>
        <w:spacing w:after="0" w:line="215" w:lineRule="exact"/>
        <w:rPr>
          <w:sz w:val="20"/>
          <w:szCs w:val="20"/>
          <w:color w:val="auto"/>
        </w:rPr>
      </w:pPr>
    </w:p>
    <w:p>
      <w:pPr>
        <w:ind w:left="40" w:right="299" w:firstLine="305"/>
        <w:spacing w:after="0" w:line="263" w:lineRule="auto"/>
        <w:rPr>
          <w:sz w:val="20"/>
          <w:szCs w:val="20"/>
          <w:color w:val="auto"/>
        </w:rPr>
      </w:pPr>
      <w:r>
        <w:rPr>
          <w:rFonts w:ascii="Times New Roman" w:cs="Times New Roman" w:eastAsia="Times New Roman" w:hAnsi="Times New Roman"/>
          <w:sz w:val="17"/>
          <w:szCs w:val="17"/>
          <w:color w:val="auto"/>
        </w:rPr>
        <w:t>Leveraging our extensive in-house medicinal chemistry expertise, several structurally different chemical series of potent NLRP3 inhibitors with favorable pharmacokinetic properties have been identified. Potent novel brain penetrant and peripherally restricted NLRP3 inhibitors have been identified.</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Brain penetrant small molecule inhibitors of NLRP3</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Figure 19: ACI-19764, a differentiated small molecule targeting NLRP3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146685</wp:posOffset>
            </wp:positionV>
            <wp:extent cx="5206365" cy="20872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06365" cy="2087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 w:right="99" w:firstLine="5"/>
        <w:spacing w:after="0" w:line="276" w:lineRule="auto"/>
        <w:tabs>
          <w:tab w:leader="none" w:pos="208" w:val="left"/>
        </w:tabs>
        <w:numPr>
          <w:ilvl w:val="0"/>
          <w:numId w:val="7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Optimal brain to plasma ration (Kp,uu) = 1.0; (2) cerebrospinal fluid; (3) Biopharmaceutics Classification System; class 1 defines high soluble and high permeable drugs (4) interleukin-1 beta; (5) Experimental autoimmune encephalomyelitis; (6) Glial fibrillary acidic protein; (7) cluster of differentiation 4, marker of T helper cells; (8) AIM2, NLRP1, NLRC4;</w:t>
      </w:r>
    </w:p>
    <w:p>
      <w:pPr>
        <w:ind w:left="220" w:hanging="175"/>
        <w:spacing w:after="0"/>
        <w:tabs>
          <w:tab w:leader="none" w:pos="22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Diet-induced obesity model.</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88" w:name="page89"/>
    <w:bookmarkEnd w:id="8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right="279" w:firstLine="305"/>
        <w:spacing w:after="0" w:line="279" w:lineRule="auto"/>
        <w:rPr>
          <w:sz w:val="20"/>
          <w:szCs w:val="20"/>
          <w:color w:val="auto"/>
        </w:rPr>
      </w:pPr>
      <w:r>
        <w:rPr>
          <w:rFonts w:ascii="Times New Roman" w:cs="Times New Roman" w:eastAsia="Times New Roman" w:hAnsi="Times New Roman"/>
          <w:sz w:val="17"/>
          <w:szCs w:val="17"/>
          <w:color w:val="auto"/>
        </w:rPr>
        <w:t>The lead compound, ACI-19764 (Figure 20A), is a highly brain penetrant molecule showing a brain/plasma ratio (Kp.uu) of 0.7 after a single oral dose in rats (5 mg/kg) and a Kp,uu,CSF of 1.0 in dogs (5 mg/kg). These data indicate that ACI-19764 is readily distributed to the brain and can reach and maintain concentrations above IC90 over 24h at relatively low doses.</w:t>
      </w:r>
    </w:p>
    <w:p>
      <w:pPr>
        <w:spacing w:after="0" w:line="88" w:lineRule="exact"/>
        <w:rPr>
          <w:sz w:val="20"/>
          <w:szCs w:val="20"/>
          <w:color w:val="auto"/>
        </w:rPr>
      </w:pPr>
    </w:p>
    <w:p>
      <w:pPr>
        <w:ind w:left="40" w:right="99" w:firstLine="305"/>
        <w:spacing w:after="0" w:line="260" w:lineRule="auto"/>
        <w:rPr>
          <w:sz w:val="20"/>
          <w:szCs w:val="20"/>
          <w:color w:val="auto"/>
        </w:rPr>
      </w:pPr>
      <w:r>
        <w:rPr>
          <w:rFonts w:ascii="Times New Roman" w:cs="Times New Roman" w:eastAsia="Times New Roman" w:hAnsi="Times New Roman"/>
          <w:sz w:val="17"/>
          <w:szCs w:val="17"/>
          <w:color w:val="auto"/>
        </w:rPr>
        <w:t xml:space="preserve">ACI-19764 exhibits excellent efficacy in low nM range in translationally relevant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assays such as the NLRP3 activation in human whole blood assay and is at least a log more efficacious than the reference standard compound, MCC950 (Figure 20B). Furthermore, when tested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in the EAE mouse model of MS, ACI-19764 potently inhibited the effector of NLRP3 pathway, caspase-1 in spinal cord lysates by reverting the values to the baseline group (Figure 20C).</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 xml:space="preserve">Figure 20: ACI-19764 is a highly brain-penetrant compound showing excellent efficacy </w:t>
      </w:r>
      <w:r>
        <w:rPr>
          <w:rFonts w:ascii="Times New Roman" w:cs="Times New Roman" w:eastAsia="Times New Roman" w:hAnsi="Times New Roman"/>
          <w:sz w:val="17"/>
          <w:szCs w:val="17"/>
          <w:b w:val="1"/>
          <w:bCs w:val="1"/>
          <w:i w:val="1"/>
          <w:iCs w:val="1"/>
          <w:color w:val="auto"/>
        </w:rPr>
        <w:t>in vitro</w:t>
      </w:r>
      <w:r>
        <w:rPr>
          <w:rFonts w:ascii="Times New Roman" w:cs="Times New Roman" w:eastAsia="Times New Roman" w:hAnsi="Times New Roman"/>
          <w:sz w:val="17"/>
          <w:szCs w:val="17"/>
          <w:b w:val="1"/>
          <w:bCs w:val="1"/>
          <w:color w:val="auto"/>
        </w:rPr>
        <w:t xml:space="preserve"> and </w:t>
      </w:r>
      <w:r>
        <w:rPr>
          <w:rFonts w:ascii="Times New Roman" w:cs="Times New Roman" w:eastAsia="Times New Roman" w:hAnsi="Times New Roman"/>
          <w:sz w:val="17"/>
          <w:szCs w:val="17"/>
          <w:b w:val="1"/>
          <w:bCs w:val="1"/>
          <w:i w:val="1"/>
          <w:iCs w:val="1"/>
          <w:color w:val="auto"/>
        </w:rPr>
        <w:t>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146685</wp:posOffset>
            </wp:positionV>
            <wp:extent cx="5222240" cy="15957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22240" cy="159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(1) ATP: Adenosine triphosphate; (2) Experimental Autoimmune Encephalomyelitis</w:t>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Ref: Seredenina, ADPD 2024</w:t>
      </w:r>
    </w:p>
    <w:p>
      <w:pPr>
        <w:spacing w:after="0" w:line="207" w:lineRule="exact"/>
        <w:rPr>
          <w:sz w:val="20"/>
          <w:szCs w:val="20"/>
          <w:color w:val="auto"/>
        </w:rPr>
      </w:pPr>
    </w:p>
    <w:p>
      <w:pPr>
        <w:ind w:left="40" w:right="659" w:firstLine="305"/>
        <w:spacing w:after="0" w:line="266" w:lineRule="auto"/>
        <w:rPr>
          <w:sz w:val="20"/>
          <w:szCs w:val="20"/>
          <w:color w:val="auto"/>
        </w:rPr>
      </w:pPr>
      <w:r>
        <w:rPr>
          <w:rFonts w:ascii="Times New Roman" w:cs="Times New Roman" w:eastAsia="Times New Roman" w:hAnsi="Times New Roman"/>
          <w:sz w:val="17"/>
          <w:szCs w:val="17"/>
          <w:color w:val="auto"/>
        </w:rPr>
        <w:t xml:space="preserve">ACI-19764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activity was further demonstrated in a mouse model of LPS-induced neuroinflammation where it significantly reduced key pro-inflammatory cytokines in the brain, IL-1β and TNF, compared to placebo treated mice. This highlighted the ability of ACI-19764 to potently penetrate the CNS.</w:t>
      </w:r>
    </w:p>
    <w:p>
      <w:pPr>
        <w:spacing w:after="0" w:line="154" w:lineRule="exact"/>
        <w:rPr>
          <w:sz w:val="20"/>
          <w:szCs w:val="20"/>
          <w:color w:val="auto"/>
        </w:rPr>
      </w:pPr>
    </w:p>
    <w:p>
      <w:pPr>
        <w:ind w:left="40" w:right="79" w:firstLine="305"/>
        <w:spacing w:after="0" w:line="258" w:lineRule="auto"/>
        <w:rPr>
          <w:sz w:val="20"/>
          <w:szCs w:val="20"/>
          <w:color w:val="auto"/>
        </w:rPr>
      </w:pPr>
      <w:r>
        <w:rPr>
          <w:rFonts w:ascii="Times New Roman" w:cs="Times New Roman" w:eastAsia="Times New Roman" w:hAnsi="Times New Roman"/>
          <w:sz w:val="17"/>
          <w:szCs w:val="17"/>
          <w:color w:val="auto"/>
        </w:rPr>
        <w:t>In another model using chronic LPS treatment ACI-19764 markedly reduced the number of IBA1-positive (activated) microglial cells compared to the placebo group. These findings further demonstrate the excellent brain penetration and activity of ACI-19764 in mitigating microgliosis. ACI-19764 shows CNS efficacy by reducing translationally relevant neuroinflammation and neurodegeneration markers in a mouse model of neuroinflammation (Figure 21).</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89" w:name="page90"/>
    <w:bookmarkEnd w:id="8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Figure 21: ACI-19764 Inhibits key disease mechanisms relevant to Alzheimer’s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146685</wp:posOffset>
            </wp:positionV>
            <wp:extent cx="5206365" cy="18776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06365" cy="187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0" w:right="399" w:firstLine="5"/>
        <w:spacing w:after="0" w:line="269" w:lineRule="auto"/>
        <w:tabs>
          <w:tab w:leader="none" w:pos="208"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Chronic LPS-mediated CNS inflammation - 5 days of 1mg/kg/day intraperitoneally, Micheli et al., Int. J. of Mol. Sci., 2022; (2) Lipopolysaccharide; (3) Ionized calcium-binding adapter molecule 1, (4) Glial fibrillary acidic protein; (5) Neurofilament light; (6) Cerebrospinal fluid</w:t>
      </w:r>
    </w:p>
    <w:p>
      <w:pPr>
        <w:spacing w:after="0" w:line="168" w:lineRule="exact"/>
        <w:rPr>
          <w:sz w:val="20"/>
          <w:szCs w:val="20"/>
          <w:color w:val="auto"/>
        </w:rPr>
      </w:pPr>
    </w:p>
    <w:p>
      <w:pPr>
        <w:ind w:left="40" w:right="179" w:firstLine="305"/>
        <w:spacing w:after="0" w:line="266" w:lineRule="auto"/>
        <w:rPr>
          <w:sz w:val="20"/>
          <w:szCs w:val="20"/>
          <w:color w:val="auto"/>
        </w:rPr>
      </w:pPr>
      <w:r>
        <w:rPr>
          <w:rFonts w:ascii="Times New Roman" w:cs="Times New Roman" w:eastAsia="Times New Roman" w:hAnsi="Times New Roman"/>
          <w:sz w:val="17"/>
          <w:szCs w:val="17"/>
          <w:color w:val="auto"/>
        </w:rPr>
        <w:t xml:space="preserve">Based on this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efficacy, brain penetration, a favorable tolerability and developability profile (Figure 21), ACI-19764 was selected as lead candidate for preclinical development. The IND/CTA enabling activities are completed, and CTA was approved by CTIS for the healthy volunteer study ACI-19764-2501 in the Netherlands in January 2026.​</w:t>
      </w:r>
    </w:p>
    <w:p>
      <w:pPr>
        <w:spacing w:after="0" w:line="179" w:lineRule="exact"/>
        <w:rPr>
          <w:sz w:val="20"/>
          <w:szCs w:val="20"/>
          <w:color w:val="auto"/>
        </w:rPr>
      </w:pPr>
    </w:p>
    <w:p>
      <w:pPr>
        <w:ind w:left="340" w:right="339"/>
        <w:spacing w:after="0" w:line="293" w:lineRule="auto"/>
        <w:rPr>
          <w:sz w:val="20"/>
          <w:szCs w:val="20"/>
          <w:color w:val="auto"/>
        </w:rPr>
      </w:pPr>
      <w:r>
        <w:rPr>
          <w:rFonts w:ascii="Times New Roman" w:cs="Times New Roman" w:eastAsia="Times New Roman" w:hAnsi="Times New Roman"/>
          <w:sz w:val="17"/>
          <w:szCs w:val="17"/>
          <w:color w:val="auto"/>
        </w:rPr>
        <w:t>Continued medicinal chemistry efforts have also successfully identified back up compounds for ACI-19764. They are from distinct chemical series.</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Peripherally restricted small molecule inhibitors of NLRP3</w:t>
      </w:r>
    </w:p>
    <w:p>
      <w:pPr>
        <w:spacing w:after="0" w:line="125" w:lineRule="exact"/>
        <w:rPr>
          <w:sz w:val="20"/>
          <w:szCs w:val="20"/>
          <w:color w:val="auto"/>
        </w:rPr>
      </w:pPr>
    </w:p>
    <w:p>
      <w:pPr>
        <w:jc w:val="both"/>
        <w:ind w:left="340" w:right="59"/>
        <w:spacing w:after="0" w:line="237" w:lineRule="auto"/>
        <w:rPr>
          <w:sz w:val="20"/>
          <w:szCs w:val="20"/>
          <w:color w:val="auto"/>
        </w:rPr>
      </w:pPr>
      <w:r>
        <w:rPr>
          <w:rFonts w:ascii="Times New Roman" w:cs="Times New Roman" w:eastAsia="Times New Roman" w:hAnsi="Times New Roman"/>
          <w:sz w:val="17"/>
          <w:szCs w:val="17"/>
          <w:color w:val="auto"/>
        </w:rPr>
        <w:t>The lead peripherally restricted compound, ACI-21053 has an excellent potency in the 1-60nM IC</w:t>
      </w:r>
      <w:r>
        <w:rPr>
          <w:rFonts w:ascii="Times New Roman" w:cs="Times New Roman" w:eastAsia="Times New Roman" w:hAnsi="Times New Roman"/>
          <w:sz w:val="25"/>
          <w:szCs w:val="25"/>
          <w:color w:val="auto"/>
          <w:vertAlign w:val="subscript"/>
        </w:rPr>
        <w:t>50</w:t>
      </w:r>
      <w:r>
        <w:rPr>
          <w:rFonts w:ascii="Times New Roman" w:cs="Times New Roman" w:eastAsia="Times New Roman" w:hAnsi="Times New Roman"/>
          <w:sz w:val="17"/>
          <w:szCs w:val="17"/>
          <w:color w:val="auto"/>
        </w:rPr>
        <w:t xml:space="preserve"> range in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assays (Figure 22A). It is also highly active in an acute peritonitis model (Figure 22B). ACI-21053 was also evaluated in </w:t>
      </w:r>
      <w:r>
        <w:rPr>
          <w:rFonts w:ascii="Times New Roman" w:cs="Times New Roman" w:eastAsia="Times New Roman" w:hAnsi="Times New Roman"/>
          <w:sz w:val="17"/>
          <w:szCs w:val="17"/>
          <w:i w:val="1"/>
          <w:iCs w:val="1"/>
          <w:color w:val="auto"/>
        </w:rPr>
        <w:t>ex vivo</w:t>
      </w:r>
      <w:r>
        <w:rPr>
          <w:rFonts w:ascii="Times New Roman" w:cs="Times New Roman" w:eastAsia="Times New Roman" w:hAnsi="Times New Roman"/>
          <w:sz w:val="17"/>
          <w:szCs w:val="17"/>
          <w:color w:val="auto"/>
        </w:rPr>
        <w:t xml:space="preserve"> biopsies obtained from HS patients where it inhibited IL-1β levels by over 95% with an IC</w:t>
      </w:r>
      <w:r>
        <w:rPr>
          <w:rFonts w:ascii="Times New Roman" w:cs="Times New Roman" w:eastAsia="Times New Roman" w:hAnsi="Times New Roman"/>
          <w:sz w:val="25"/>
          <w:szCs w:val="25"/>
          <w:color w:val="auto"/>
          <w:vertAlign w:val="subscript"/>
        </w:rPr>
        <w:t>50</w:t>
      </w:r>
      <w:r>
        <w:rPr>
          <w:rFonts w:ascii="Times New Roman" w:cs="Times New Roman" w:eastAsia="Times New Roman" w:hAnsi="Times New Roman"/>
          <w:sz w:val="17"/>
          <w:szCs w:val="17"/>
          <w:color w:val="auto"/>
        </w:rPr>
        <w:t xml:space="preserve"> in the single-digit nanomolar range.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 xml:space="preserve">Figure 22: ACI-21053 shows excellent efficacy </w:t>
      </w:r>
      <w:r>
        <w:rPr>
          <w:rFonts w:ascii="Times New Roman" w:cs="Times New Roman" w:eastAsia="Times New Roman" w:hAnsi="Times New Roman"/>
          <w:sz w:val="17"/>
          <w:szCs w:val="17"/>
          <w:b w:val="1"/>
          <w:bCs w:val="1"/>
          <w:i w:val="1"/>
          <w:iCs w:val="1"/>
          <w:color w:val="auto"/>
        </w:rPr>
        <w:t>in vitro</w:t>
      </w:r>
      <w:r>
        <w:rPr>
          <w:rFonts w:ascii="Times New Roman" w:cs="Times New Roman" w:eastAsia="Times New Roman" w:hAnsi="Times New Roman"/>
          <w:sz w:val="17"/>
          <w:szCs w:val="17"/>
          <w:b w:val="1"/>
          <w:bCs w:val="1"/>
          <w:color w:val="auto"/>
        </w:rPr>
        <w:t xml:space="preserve"> and </w:t>
      </w:r>
      <w:r>
        <w:rPr>
          <w:rFonts w:ascii="Times New Roman" w:cs="Times New Roman" w:eastAsia="Times New Roman" w:hAnsi="Times New Roman"/>
          <w:sz w:val="17"/>
          <w:szCs w:val="17"/>
          <w:b w:val="1"/>
          <w:bCs w:val="1"/>
          <w:i w:val="1"/>
          <w:iCs w:val="1"/>
          <w:color w:val="auto"/>
        </w:rPr>
        <w:t>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146685</wp:posOffset>
            </wp:positionV>
            <wp:extent cx="4916170" cy="17005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916170" cy="1700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 Lipopolysaccharide; (2) Adenosine triphosphate; (3) proof-of-concept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90" w:name="page91"/>
    <w:bookmarkEnd w:id="9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Morphomer Tau</w:t>
      </w:r>
    </w:p>
    <w:p>
      <w:pPr>
        <w:spacing w:after="0" w:line="215" w:lineRule="exact"/>
        <w:rPr>
          <w:sz w:val="20"/>
          <w:szCs w:val="20"/>
          <w:color w:val="auto"/>
        </w:rPr>
      </w:pPr>
    </w:p>
    <w:p>
      <w:pPr>
        <w:ind w:left="40" w:right="59" w:firstLine="305"/>
        <w:spacing w:after="0" w:line="263" w:lineRule="auto"/>
        <w:rPr>
          <w:sz w:val="20"/>
          <w:szCs w:val="20"/>
          <w:color w:val="auto"/>
        </w:rPr>
      </w:pPr>
      <w:r>
        <w:rPr>
          <w:rFonts w:ascii="Times New Roman" w:cs="Times New Roman" w:eastAsia="Times New Roman" w:hAnsi="Times New Roman"/>
          <w:sz w:val="17"/>
          <w:szCs w:val="17"/>
          <w:color w:val="auto"/>
        </w:rPr>
        <w:t>Through rational design and thorough medicinal chemistry optimization work, the proprietary Morphomer Tau program library has delivered the identification of several chemical series to deliver orally bioavailable small molecule Tau aggregation inhibitors, with suitable CNS drug-like properties.</w:t>
      </w:r>
    </w:p>
    <w:p>
      <w:pPr>
        <w:spacing w:after="0" w:line="166" w:lineRule="exact"/>
        <w:rPr>
          <w:sz w:val="20"/>
          <w:szCs w:val="20"/>
          <w:color w:val="auto"/>
        </w:rPr>
      </w:pPr>
    </w:p>
    <w:p>
      <w:pPr>
        <w:ind w:left="40" w:right="79" w:firstLine="305"/>
        <w:spacing w:after="0" w:line="252" w:lineRule="auto"/>
        <w:rPr>
          <w:sz w:val="20"/>
          <w:szCs w:val="20"/>
          <w:color w:val="auto"/>
        </w:rPr>
      </w:pPr>
      <w:r>
        <w:rPr>
          <w:rFonts w:ascii="Times New Roman" w:cs="Times New Roman" w:eastAsia="Times New Roman" w:hAnsi="Times New Roman"/>
          <w:sz w:val="17"/>
          <w:szCs w:val="17"/>
          <w:color w:val="auto"/>
        </w:rPr>
        <w:t xml:space="preserve">Biological activity for these compounds is assessed using multiple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ex vivo</w:t>
      </w:r>
      <w:r>
        <w:rPr>
          <w:rFonts w:ascii="Times New Roman" w:cs="Times New Roman" w:eastAsia="Times New Roman" w:hAnsi="Times New Roman"/>
          <w:sz w:val="17"/>
          <w:szCs w:val="17"/>
          <w:color w:val="auto"/>
        </w:rPr>
        <w:t xml:space="preserve"> assays as well as using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mouse models of disease with key findings summarized in 2025 at the ADPD conference. In 2025, several lead compounds were identified as being highly potent at decreasing intracellular Tau aggregation induced by different pathological Tau species, including insoluble and the highly toxic soluble aggregates. These compounds are highly selective for the pathological Tau species, while not binding to physiological Tau, ensuring safety. Additionally lead compounds have a good development profile and therefore qualifying to advance into CTA/IND-enabling studies, which are expected to start in 2026.</w:t>
      </w:r>
    </w:p>
    <w:p>
      <w:pPr>
        <w:spacing w:after="0" w:line="181" w:lineRule="exact"/>
        <w:rPr>
          <w:sz w:val="20"/>
          <w:szCs w:val="20"/>
          <w:color w:val="auto"/>
        </w:rPr>
      </w:pPr>
    </w:p>
    <w:p>
      <w:pPr>
        <w:jc w:val="both"/>
        <w:ind w:left="40" w:right="279" w:firstLine="305"/>
        <w:spacing w:after="0" w:line="258" w:lineRule="auto"/>
        <w:rPr>
          <w:sz w:val="20"/>
          <w:szCs w:val="20"/>
          <w:color w:val="auto"/>
        </w:rPr>
      </w:pPr>
      <w:r>
        <w:rPr>
          <w:rFonts w:ascii="Times New Roman" w:cs="Times New Roman" w:eastAsia="Times New Roman" w:hAnsi="Times New Roman"/>
          <w:sz w:val="17"/>
          <w:szCs w:val="17"/>
          <w:color w:val="auto"/>
        </w:rPr>
        <w:t>In 2025, the therapeutic program has also been complemented by the identification of a target engagement tool that can be used during the early phase of clinical development (e.g. in Phase 1b studies) to derisk following and more expensive proof-of-concept studies. This parallel program has indeed delivered a customized Tau PET ligand, sharing the same binding site than the therapeutic compounds, and which can also advance in CTA/IND enabling studies in 2026.</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Morphomer a-syn</w:t>
      </w:r>
    </w:p>
    <w:p>
      <w:pPr>
        <w:spacing w:after="0" w:line="215" w:lineRule="exact"/>
        <w:rPr>
          <w:sz w:val="20"/>
          <w:szCs w:val="20"/>
          <w:color w:val="auto"/>
        </w:rPr>
      </w:pPr>
    </w:p>
    <w:p>
      <w:pPr>
        <w:ind w:left="40" w:right="139" w:firstLine="305"/>
        <w:spacing w:after="0" w:line="256" w:lineRule="auto"/>
        <w:rPr>
          <w:sz w:val="20"/>
          <w:szCs w:val="20"/>
          <w:color w:val="auto"/>
        </w:rPr>
      </w:pPr>
      <w:r>
        <w:rPr>
          <w:rFonts w:ascii="Times New Roman" w:cs="Times New Roman" w:eastAsia="Times New Roman" w:hAnsi="Times New Roman"/>
          <w:sz w:val="17"/>
          <w:szCs w:val="17"/>
          <w:color w:val="auto"/>
        </w:rPr>
        <w:t>Leveraging our Morphomer platform, we discovered and characterized small molecule inhibitors targeting intracellular alpha-synuclein (a-syn) aggregates. Based on their mechanism of action, these molecules can target simultaneously the intracellular aggregation of a-syn and its extracellular spreading and are therefore expected to delay or halt disease progression, possibly providing more pronounced clinical benefits in Parkinson’s disease (PD) or even in faster progressing diseases such as Multiple System Atrophy (MSA) than other drugs currently in development.</w:t>
      </w:r>
    </w:p>
    <w:p>
      <w:pPr>
        <w:spacing w:after="0" w:line="176" w:lineRule="exact"/>
        <w:rPr>
          <w:sz w:val="20"/>
          <w:szCs w:val="20"/>
          <w:color w:val="auto"/>
        </w:rPr>
      </w:pPr>
    </w:p>
    <w:p>
      <w:pPr>
        <w:ind w:left="40" w:right="159" w:firstLine="305"/>
        <w:spacing w:after="0" w:line="254" w:lineRule="auto"/>
        <w:rPr>
          <w:sz w:val="20"/>
          <w:szCs w:val="20"/>
          <w:color w:val="auto"/>
        </w:rPr>
      </w:pPr>
      <w:r>
        <w:rPr>
          <w:rFonts w:ascii="Times New Roman" w:cs="Times New Roman" w:eastAsia="Times New Roman" w:hAnsi="Times New Roman"/>
          <w:sz w:val="17"/>
          <w:szCs w:val="17"/>
          <w:color w:val="auto"/>
        </w:rPr>
        <w:t xml:space="preserve">Hit compounds from different chemical series, including ACI-21018, significantly decrease intracellular a-syn aggregate accumulation in neurons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by interfering with the seeding and fibrillation processes. Significant inhibitory effects are achieved in neurons, even with therapeutic treatment paradigms (i.e., compound treatment done post a-syn seeding initiation), proving a broad intracellular activity. ACI-21018 progressed into an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efficacy evaluation in an animal model of PD where it led to a reduction of seeding-competent a-syn aggregates, together with significant neuroprotective effects. Key data on the program were presented at ADPD</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2025.</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Medicinal chemistry optimization work is currently ongoing with the goal of a lead declaration by Q3 2026.</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PET Tracers</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Tau diagnostics</w:t>
      </w:r>
    </w:p>
    <w:p>
      <w:pPr>
        <w:spacing w:after="0" w:line="202" w:lineRule="exact"/>
        <w:rPr>
          <w:sz w:val="20"/>
          <w:szCs w:val="20"/>
          <w:color w:val="auto"/>
        </w:rPr>
      </w:pPr>
    </w:p>
    <w:p>
      <w:pPr>
        <w:ind w:left="40" w:right="159" w:firstLine="305"/>
        <w:spacing w:after="0" w:line="255" w:lineRule="auto"/>
        <w:rPr>
          <w:sz w:val="20"/>
          <w:szCs w:val="20"/>
          <w:color w:val="auto"/>
        </w:rPr>
      </w:pPr>
      <w:r>
        <w:rPr>
          <w:rFonts w:ascii="Times New Roman" w:cs="Times New Roman" w:eastAsia="Times New Roman" w:hAnsi="Times New Roman"/>
          <w:sz w:val="17"/>
          <w:szCs w:val="17"/>
          <w:color w:val="auto"/>
        </w:rPr>
        <w:t>The severity of cognitive impairment in patients with AD is correlated with the presence of Tau protein tangles, leading us to believe that an imaging agent for Tau is equally, if not more important than Abeta-PET to assess spreading of pathology in the brain. While Eli Lilly’s Tau-PET tracer TAUVID (flortaucipir F18 injection) has been approved by the FDA, the European Committee for Medicinal Products for Human Use (CHMP) and Medicines and Healthcare products Regulatory Agency (MHRA) in the UK, it is approved only for a pathology indication (i.e. correlation with histopathology findings in Braak 5 and 6 patients), not for prognosis (i.e. prediction of cognitive deterioration).</w:t>
      </w:r>
    </w:p>
    <w:p>
      <w:pPr>
        <w:spacing w:after="0" w:line="166" w:lineRule="exact"/>
        <w:rPr>
          <w:sz w:val="20"/>
          <w:szCs w:val="20"/>
          <w:color w:val="auto"/>
        </w:rPr>
      </w:pPr>
    </w:p>
    <w:p>
      <w:pPr>
        <w:ind w:left="40" w:right="219" w:firstLine="305"/>
        <w:spacing w:after="0" w:line="230" w:lineRule="auto"/>
        <w:rPr>
          <w:sz w:val="20"/>
          <w:szCs w:val="20"/>
          <w:color w:val="auto"/>
        </w:rPr>
      </w:pPr>
      <w:r>
        <w:rPr>
          <w:rFonts w:ascii="Times New Roman" w:cs="Times New Roman" w:eastAsia="Times New Roman" w:hAnsi="Times New Roman"/>
          <w:sz w:val="17"/>
          <w:szCs w:val="17"/>
          <w:color w:val="auto"/>
        </w:rPr>
        <w:t xml:space="preserve">The Tau-PET tracer, </w:t>
      </w:r>
      <w:r>
        <w:rPr>
          <w:rFonts w:ascii="Times New Roman" w:cs="Times New Roman" w:eastAsia="Times New Roman" w:hAnsi="Times New Roman"/>
          <w:sz w:val="25"/>
          <w:szCs w:val="25"/>
          <w:color w:val="auto"/>
          <w:vertAlign w:val="superscript"/>
        </w:rPr>
        <w:t>18</w:t>
      </w:r>
      <w:r>
        <w:rPr>
          <w:rFonts w:ascii="Times New Roman" w:cs="Times New Roman" w:eastAsia="Times New Roman" w:hAnsi="Times New Roman"/>
          <w:sz w:val="17"/>
          <w:szCs w:val="17"/>
          <w:color w:val="auto"/>
        </w:rPr>
        <w:t>F-PI-2620, is a potentially best-in-class Tau-PET tracer with high binding affinity and selectivity for aggregated Tau and is suitable for measuring Tau accumulation over time. While it binds specifically to the pathological forms of human Tau in AD, a major differentiator for PI- 2620 is its ability to bind 4repeat (4R) Tau isoforms seen in PSP and CBD. Most Tau-PET tracers approved (TAUVID) or in development are not able to bind 4R Tau and are therefore of limited use for the diseases driven by these Tau species.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91" w:name="page92"/>
    <w:bookmarkEnd w:id="9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59" w:firstLine="305"/>
        <w:spacing w:after="0" w:line="231" w:lineRule="auto"/>
        <w:rPr>
          <w:sz w:val="20"/>
          <w:szCs w:val="20"/>
          <w:color w:val="auto"/>
        </w:rPr>
      </w:pPr>
      <w:r>
        <w:rPr>
          <w:rFonts w:ascii="Times New Roman" w:cs="Times New Roman" w:eastAsia="Times New Roman" w:hAnsi="Times New Roman"/>
          <w:sz w:val="17"/>
          <w:szCs w:val="17"/>
          <w:color w:val="auto"/>
        </w:rPr>
        <w:t xml:space="preserve">In May 2014, we established a license and collaboration agreement for our Tau-PET imaging program with Life Molecular Imaging. Results from Phase 1 and Phase 2 clinical studies of PI-2620 in AD have been presented at AAIC 2022 and published in the Journal of Nuclear Medicine in 2024 (Oh M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xml:space="preserve">., J. Nucl. Med. 2024) and elsewhere (Young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xml:space="preserve"> Imaging Neuroscience 2024), showing that </w:t>
      </w:r>
      <w:r>
        <w:rPr>
          <w:rFonts w:ascii="Times New Roman" w:cs="Times New Roman" w:eastAsia="Times New Roman" w:hAnsi="Times New Roman"/>
          <w:sz w:val="25"/>
          <w:szCs w:val="25"/>
          <w:color w:val="auto"/>
          <w:vertAlign w:val="superscript"/>
        </w:rPr>
        <w:t>18</w:t>
      </w:r>
      <w:r>
        <w:rPr>
          <w:rFonts w:ascii="Times New Roman" w:cs="Times New Roman" w:eastAsia="Times New Roman" w:hAnsi="Times New Roman"/>
          <w:sz w:val="17"/>
          <w:szCs w:val="17"/>
          <w:color w:val="auto"/>
        </w:rPr>
        <w:t>F-PI-2620 accurately captures Tau aggregations in AD and correlates with cognitive decline in patients in the AD continuum (Figure 23).</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 xml:space="preserve">Figure 23: Representative </w:t>
      </w:r>
      <w:r>
        <w:rPr>
          <w:rFonts w:ascii="Times New Roman" w:cs="Times New Roman" w:eastAsia="Times New Roman" w:hAnsi="Times New Roman"/>
          <w:sz w:val="25"/>
          <w:szCs w:val="25"/>
          <w:b w:val="1"/>
          <w:bCs w:val="1"/>
          <w:color w:val="auto"/>
          <w:vertAlign w:val="superscript"/>
        </w:rPr>
        <w:t>18</w:t>
      </w:r>
      <w:r>
        <w:rPr>
          <w:rFonts w:ascii="Times New Roman" w:cs="Times New Roman" w:eastAsia="Times New Roman" w:hAnsi="Times New Roman"/>
          <w:sz w:val="17"/>
          <w:szCs w:val="17"/>
          <w:b w:val="1"/>
          <w:bCs w:val="1"/>
          <w:color w:val="auto"/>
        </w:rPr>
        <w:t>F-PI-2620 images of Aβ</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7"/>
          <w:szCs w:val="17"/>
          <w:b w:val="1"/>
          <w:bCs w:val="1"/>
          <w:color w:val="auto"/>
        </w:rPr>
        <w:t>, LO</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7"/>
          <w:szCs w:val="17"/>
          <w:b w:val="1"/>
          <w:bCs w:val="1"/>
          <w:color w:val="auto"/>
        </w:rPr>
        <w:t xml:space="preserve"> and EO</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7"/>
          <w:szCs w:val="17"/>
          <w:b w:val="1"/>
          <w:bCs w:val="1"/>
          <w:color w:val="auto"/>
        </w:rPr>
        <w:t xml:space="preserve"> at baseline (BL) and at 1-year follow-up (FU)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506730</wp:posOffset>
            </wp:positionH>
            <wp:positionV relativeFrom="paragraph">
              <wp:posOffset>85090</wp:posOffset>
            </wp:positionV>
            <wp:extent cx="4706620" cy="3344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706620" cy="334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Ref: Oh M </w:t>
      </w:r>
      <w:r>
        <w:rPr>
          <w:rFonts w:ascii="Times New Roman" w:cs="Times New Roman" w:eastAsia="Times New Roman" w:hAnsi="Times New Roman"/>
          <w:sz w:val="14"/>
          <w:szCs w:val="14"/>
          <w:i w:val="1"/>
          <w:iCs w:val="1"/>
          <w:color w:val="auto"/>
        </w:rPr>
        <w:t>et al</w:t>
      </w:r>
      <w:r>
        <w:rPr>
          <w:rFonts w:ascii="Times New Roman" w:cs="Times New Roman" w:eastAsia="Times New Roman" w:hAnsi="Times New Roman"/>
          <w:sz w:val="14"/>
          <w:szCs w:val="14"/>
          <w:color w:val="auto"/>
        </w:rPr>
        <w:t>., Journal of Nuclear Medicine, 2024</w:t>
      </w:r>
    </w:p>
    <w:p>
      <w:pPr>
        <w:spacing w:after="0" w:line="226" w:lineRule="exact"/>
        <w:rPr>
          <w:sz w:val="20"/>
          <w:szCs w:val="20"/>
          <w:color w:val="auto"/>
        </w:rPr>
      </w:pPr>
    </w:p>
    <w:p>
      <w:pPr>
        <w:ind w:left="40" w:right="459" w:firstLine="305"/>
        <w:spacing w:after="0" w:line="274" w:lineRule="auto"/>
        <w:rPr>
          <w:sz w:val="20"/>
          <w:szCs w:val="20"/>
          <w:color w:val="auto"/>
        </w:rPr>
      </w:pPr>
      <w:r>
        <w:rPr>
          <w:rFonts w:ascii="Times New Roman" w:cs="Times New Roman" w:eastAsia="Times New Roman" w:hAnsi="Times New Roman"/>
          <w:sz w:val="17"/>
          <w:szCs w:val="17"/>
          <w:color w:val="auto"/>
        </w:rPr>
        <w:t xml:space="preserve">Numerous publications have demonstrated the diagnostic value of PI-2620 in AD and in patients with PSP and CBD (Franzmeier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xml:space="preserve"> Nat. Communications, 2022; Mena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xml:space="preserve">, Mov. Disord. Clin. Pract., 2023; Siemann L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xml:space="preserve">. Acta Neuropathologica, 2024; Rullmann et al. (Eur J Nucl Med Mol Imaging. 2025and Frontzkowski L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Eur J Nucl Med Mol Imaging. 2025).</w:t>
      </w:r>
    </w:p>
    <w:p>
      <w:pPr>
        <w:spacing w:after="0" w:line="169" w:lineRule="exact"/>
        <w:rPr>
          <w:sz w:val="20"/>
          <w:szCs w:val="20"/>
          <w:color w:val="auto"/>
        </w:rPr>
      </w:pPr>
    </w:p>
    <w:p>
      <w:pPr>
        <w:ind w:left="40" w:right="319" w:firstLine="305"/>
        <w:spacing w:after="0" w:line="244" w:lineRule="auto"/>
        <w:rPr>
          <w:sz w:val="20"/>
          <w:szCs w:val="20"/>
          <w:color w:val="auto"/>
        </w:rPr>
      </w:pPr>
      <w:r>
        <w:rPr>
          <w:rFonts w:ascii="Times New Roman" w:cs="Times New Roman" w:eastAsia="Times New Roman" w:hAnsi="Times New Roman"/>
          <w:sz w:val="17"/>
          <w:szCs w:val="17"/>
          <w:color w:val="auto"/>
        </w:rPr>
        <w:t xml:space="preserve">Importantly, the diagnostic value of PI-2620 in capturing early disease stage was shown by Tonietto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xml:space="preserve"> (Alzheimers Res. Ther., 2024). The results from this head-to-head Tau-PET comparison study indicate that </w:t>
      </w:r>
      <w:r>
        <w:rPr>
          <w:rFonts w:ascii="Times New Roman" w:cs="Times New Roman" w:eastAsia="Times New Roman" w:hAnsi="Times New Roman"/>
          <w:sz w:val="25"/>
          <w:szCs w:val="25"/>
          <w:color w:val="auto"/>
          <w:vertAlign w:val="superscript"/>
        </w:rPr>
        <w:t>18</w:t>
      </w:r>
      <w:r>
        <w:rPr>
          <w:rFonts w:ascii="Times New Roman" w:cs="Times New Roman" w:eastAsia="Times New Roman" w:hAnsi="Times New Roman"/>
          <w:sz w:val="17"/>
          <w:szCs w:val="17"/>
          <w:color w:val="auto"/>
        </w:rPr>
        <w:t>F-PI-2620 can detect Tau binding in very early stages of the AD continuum. Taken together these results strongly support the utility of PI-2620 as diagnostic and prognostic biomarker of Tau pathology and therefore its use in biomarker-based clinical trials of Tau- but also Abeta-targeting therapeutic agents.</w:t>
      </w:r>
    </w:p>
    <w:p>
      <w:pPr>
        <w:spacing w:after="0" w:line="186" w:lineRule="exact"/>
        <w:rPr>
          <w:sz w:val="20"/>
          <w:szCs w:val="20"/>
          <w:color w:val="auto"/>
        </w:rPr>
      </w:pPr>
    </w:p>
    <w:p>
      <w:pPr>
        <w:ind w:left="40" w:right="119" w:firstLine="305"/>
        <w:spacing w:after="0" w:line="228" w:lineRule="auto"/>
        <w:rPr>
          <w:sz w:val="20"/>
          <w:szCs w:val="20"/>
          <w:color w:val="auto"/>
        </w:rPr>
      </w:pPr>
      <w:r>
        <w:rPr>
          <w:rFonts w:ascii="Times New Roman" w:cs="Times New Roman" w:eastAsia="Times New Roman" w:hAnsi="Times New Roman"/>
          <w:sz w:val="17"/>
          <w:szCs w:val="17"/>
          <w:color w:val="auto"/>
        </w:rPr>
        <w:t xml:space="preserve">A pivotal Phase 3 histopathology study in AD (NCT05641688), ADvance, was initiated in December 2022 and the first Alzheimer’s patient imaged with PI-2620 in January 2023. The ADvance study is currently ongoing exclusively in the US and will enroll approximately 200 end-of-life subjects. The primary objective is to determine the sensitivity and specificity of the visual assessment of </w:t>
      </w:r>
      <w:r>
        <w:rPr>
          <w:rFonts w:ascii="Times New Roman" w:cs="Times New Roman" w:eastAsia="Times New Roman" w:hAnsi="Times New Roman"/>
          <w:sz w:val="25"/>
          <w:szCs w:val="25"/>
          <w:color w:val="auto"/>
          <w:vertAlign w:val="superscript"/>
        </w:rPr>
        <w:t>18</w:t>
      </w:r>
      <w:r>
        <w:rPr>
          <w:rFonts w:ascii="Times New Roman" w:cs="Times New Roman" w:eastAsia="Times New Roman" w:hAnsi="Times New Roman"/>
          <w:sz w:val="17"/>
          <w:szCs w:val="17"/>
          <w:color w:val="auto"/>
        </w:rPr>
        <w:t>F-PI-2620 PET imaging compared to postmortem histopathological verification of Tau neurofibrillary pathology associated with AD as the standard of truth. In August 2024, partner Life Molecular</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92" w:name="page93"/>
    <w:bookmarkEnd w:id="9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right="79"/>
        <w:spacing w:after="0" w:line="214" w:lineRule="auto"/>
        <w:rPr>
          <w:sz w:val="20"/>
          <w:szCs w:val="20"/>
          <w:color w:val="auto"/>
        </w:rPr>
      </w:pPr>
      <w:r>
        <w:rPr>
          <w:rFonts w:ascii="Times New Roman" w:cs="Times New Roman" w:eastAsia="Times New Roman" w:hAnsi="Times New Roman"/>
          <w:sz w:val="17"/>
          <w:szCs w:val="17"/>
          <w:color w:val="auto"/>
        </w:rPr>
        <w:t xml:space="preserve">Imaging received FDA Fast Track Designation for the diagnostic </w:t>
      </w:r>
      <w:r>
        <w:rPr>
          <w:rFonts w:ascii="Times New Roman" w:cs="Times New Roman" w:eastAsia="Times New Roman" w:hAnsi="Times New Roman"/>
          <w:sz w:val="25"/>
          <w:szCs w:val="25"/>
          <w:color w:val="auto"/>
          <w:vertAlign w:val="superscript"/>
        </w:rPr>
        <w:t>18</w:t>
      </w:r>
      <w:r>
        <w:rPr>
          <w:rFonts w:ascii="Times New Roman" w:cs="Times New Roman" w:eastAsia="Times New Roman" w:hAnsi="Times New Roman"/>
          <w:sz w:val="17"/>
          <w:szCs w:val="17"/>
          <w:color w:val="auto"/>
        </w:rPr>
        <w:t>F-PI-2620, in three neurodegenerative conditions: AD, PSP and CBD.</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A-syn diagnostics</w:t>
      </w:r>
    </w:p>
    <w:p>
      <w:pPr>
        <w:spacing w:after="0" w:line="215" w:lineRule="exact"/>
        <w:rPr>
          <w:sz w:val="20"/>
          <w:szCs w:val="20"/>
          <w:color w:val="auto"/>
        </w:rPr>
      </w:pPr>
    </w:p>
    <w:p>
      <w:pPr>
        <w:ind w:left="40" w:right="79" w:firstLine="305"/>
        <w:spacing w:after="0" w:line="252" w:lineRule="auto"/>
        <w:rPr>
          <w:sz w:val="20"/>
          <w:szCs w:val="20"/>
          <w:color w:val="auto"/>
        </w:rPr>
      </w:pPr>
      <w:r>
        <w:rPr>
          <w:rFonts w:ascii="Times New Roman" w:cs="Times New Roman" w:eastAsia="Times New Roman" w:hAnsi="Times New Roman"/>
          <w:sz w:val="17"/>
          <w:szCs w:val="17"/>
          <w:color w:val="auto"/>
        </w:rPr>
        <w:t>We are also developing PET imaging agents to detect a-syn aggregates, which progressively accumulate in the brains of PD patients and are believed to be central to the neurodegenerative process of PD, as well as several other disorders, including Lewy body dementia and MSA, making it a priority target for development of therapeutics and diagnostics. We have identified molecules leveraging our Morphomer technology that selectively bind to a-syn pathological structures from human PD brain with high affinity and selectivity versus common co-pathologies.</w:t>
      </w:r>
    </w:p>
    <w:p>
      <w:pPr>
        <w:spacing w:after="0" w:line="179" w:lineRule="exact"/>
        <w:rPr>
          <w:sz w:val="20"/>
          <w:szCs w:val="20"/>
          <w:color w:val="auto"/>
        </w:rPr>
      </w:pPr>
    </w:p>
    <w:p>
      <w:pPr>
        <w:ind w:left="40" w:right="219" w:firstLine="305"/>
        <w:spacing w:after="0" w:line="256" w:lineRule="auto"/>
        <w:rPr>
          <w:sz w:val="20"/>
          <w:szCs w:val="20"/>
          <w:color w:val="auto"/>
        </w:rPr>
      </w:pPr>
      <w:r>
        <w:rPr>
          <w:rFonts w:ascii="Times New Roman" w:cs="Times New Roman" w:eastAsia="Times New Roman" w:hAnsi="Times New Roman"/>
          <w:sz w:val="17"/>
          <w:szCs w:val="17"/>
          <w:color w:val="auto"/>
        </w:rPr>
        <w:t>We are advancing the clinical development of ACI-12589, the first molecule capable to detect pathological a-syn in the brain of patients with MSA and to differentiate them from controls (Figure 24), other synucleinopathies and more generally other neurodegenerative diseases. Preclinical and clinical data were published in October 2023 in Nature Communications. ACI-12589 has completed the biodistribution study in healthy volunteers and all the manufacturing activities required to supply the tracer where needed. Currently, ACI-12589 is evaluated for its differential diagnostic and prognostic potential.</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Figure 24: ACI-12589 PET signal in patients with MSA compared to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1207770</wp:posOffset>
            </wp:positionH>
            <wp:positionV relativeFrom="paragraph">
              <wp:posOffset>138430</wp:posOffset>
            </wp:positionV>
            <wp:extent cx="3304540" cy="28689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04540" cy="2868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 xml:space="preserve">Ref: Smith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Nature Communications, 2023</w:t>
      </w:r>
    </w:p>
    <w:p>
      <w:pPr>
        <w:spacing w:after="0" w:line="215" w:lineRule="exact"/>
        <w:rPr>
          <w:sz w:val="20"/>
          <w:szCs w:val="20"/>
          <w:color w:val="auto"/>
        </w:rPr>
      </w:pPr>
    </w:p>
    <w:p>
      <w:pPr>
        <w:ind w:left="40" w:right="199" w:firstLine="302"/>
        <w:spacing w:after="0" w:line="258" w:lineRule="auto"/>
        <w:rPr>
          <w:sz w:val="20"/>
          <w:szCs w:val="20"/>
          <w:color w:val="auto"/>
        </w:rPr>
      </w:pPr>
      <w:r>
        <w:rPr>
          <w:rFonts w:ascii="Times New Roman" w:cs="Times New Roman" w:eastAsia="Times New Roman" w:hAnsi="Times New Roman"/>
          <w:sz w:val="17"/>
          <w:szCs w:val="17"/>
          <w:color w:val="auto"/>
        </w:rPr>
        <w:t xml:space="preserve">Moreover, in 2025 our next-generation clinical candidate, ACI-15916 initiated its clinical evaluation. ACI-15916 shows significantly higher binding and target occupancy in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analyses using in human brain tissues from cases with different synucleinopathies, including idiopathic PD, which is the most common form. ACI-15916 also retains the excellent selectivity and pharmacokinetic profile of ACI-12589 and has no major off-target binding. The FiH study in</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93" w:name="page94"/>
    <w:bookmarkEnd w:id="9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779"/>
        <w:spacing w:after="0" w:line="277" w:lineRule="auto"/>
        <w:rPr>
          <w:sz w:val="20"/>
          <w:szCs w:val="20"/>
          <w:color w:val="auto"/>
        </w:rPr>
      </w:pPr>
      <w:r>
        <w:rPr>
          <w:rFonts w:ascii="Times New Roman" w:cs="Times New Roman" w:eastAsia="Times New Roman" w:hAnsi="Times New Roman"/>
          <w:sz w:val="17"/>
          <w:szCs w:val="17"/>
          <w:color w:val="auto"/>
        </w:rPr>
        <w:t>different synucleinopathies and controls was initiated in Q1 2025, with data confirming clinically the safety and the good pharmacokinetic profile.</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TDP-43 imaging FIH study</w:t>
      </w:r>
    </w:p>
    <w:p>
      <w:pPr>
        <w:spacing w:after="0" w:line="215" w:lineRule="exact"/>
        <w:rPr>
          <w:sz w:val="20"/>
          <w:szCs w:val="20"/>
          <w:color w:val="auto"/>
        </w:rPr>
      </w:pPr>
    </w:p>
    <w:p>
      <w:pPr>
        <w:ind w:left="40" w:right="199" w:firstLine="305"/>
        <w:spacing w:after="0" w:line="251" w:lineRule="auto"/>
        <w:rPr>
          <w:sz w:val="20"/>
          <w:szCs w:val="20"/>
          <w:color w:val="auto"/>
        </w:rPr>
      </w:pPr>
      <w:r>
        <w:rPr>
          <w:rFonts w:ascii="Times New Roman" w:cs="Times New Roman" w:eastAsia="Times New Roman" w:hAnsi="Times New Roman"/>
          <w:sz w:val="17"/>
          <w:szCs w:val="17"/>
          <w:color w:val="auto"/>
        </w:rPr>
        <w:t>Using our Morphomer platform a set of small molecular weight compounds from several chemically distinct series were identified to bind to patient-derived pathological TDP-43. Several of these compounds demonstrated favorable pharmacokinetic profile in rodents suggesting suitable properties for further development as PET ligands. Medicinal chemistry optimization led to the identification of the first-in-class TDP-43 ligand, ACI-19626, that shows specific binding to aggregated TDP-43 with low nM affinity (Kd) on FTLD-TDP brain tissue and potential to detect TDP-43 pathology in various indications, including FTLD with TDP-43 pathology, ALS, AD and LATE (Figure 25, Vokali et al., 2025 Nature Comm).</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License agreements and collaborations</w:t>
      </w:r>
    </w:p>
    <w:p>
      <w:pPr>
        <w:spacing w:after="0" w:line="215" w:lineRule="exact"/>
        <w:rPr>
          <w:sz w:val="20"/>
          <w:szCs w:val="20"/>
          <w:color w:val="auto"/>
        </w:rPr>
      </w:pPr>
    </w:p>
    <w:p>
      <w:pPr>
        <w:ind w:left="40" w:right="179" w:firstLine="305"/>
        <w:spacing w:after="0" w:line="274" w:lineRule="auto"/>
        <w:rPr>
          <w:sz w:val="20"/>
          <w:szCs w:val="20"/>
          <w:color w:val="auto"/>
        </w:rPr>
      </w:pPr>
      <w:r>
        <w:rPr>
          <w:rFonts w:ascii="Times New Roman" w:cs="Times New Roman" w:eastAsia="Times New Roman" w:hAnsi="Times New Roman"/>
          <w:sz w:val="16"/>
          <w:szCs w:val="16"/>
          <w:color w:val="auto"/>
        </w:rPr>
        <w:t>Our SupraAntigen and Morphomer platforms have generated large numbers of clinical assets that address multiple diseases related to protein misfolding. Selected key assets in the product pipeline have been licensed for upfront payments, milestones and royalties to help offset the cost of our research and internal product development. We have signed a number of licensing and other agreements with leading pharmaceutical companies to assist and accelerate the development of our product pipeline, including:</w:t>
      </w:r>
    </w:p>
    <w:p>
      <w:pPr>
        <w:spacing w:after="0" w:line="162" w:lineRule="exact"/>
        <w:rPr>
          <w:sz w:val="20"/>
          <w:szCs w:val="20"/>
          <w:color w:val="auto"/>
        </w:rPr>
      </w:pPr>
    </w:p>
    <w:p>
      <w:pPr>
        <w:ind w:left="680" w:right="119" w:hanging="305"/>
        <w:spacing w:after="0" w:line="263" w:lineRule="auto"/>
        <w:tabs>
          <w:tab w:leader="none" w:pos="6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worldwide licensing agreement with Genentech signed in November 2006 (and amended in March 2009, January 2013, May 2014 and May 2015) for anti-Abeta antibodies for AD. As announced on January 22, 2024, this agreement was terminated. The termination became effective in April 2024;</w:t>
      </w:r>
    </w:p>
    <w:p>
      <w:pPr>
        <w:spacing w:after="0" w:line="169" w:lineRule="exact"/>
        <w:rPr>
          <w:rFonts w:ascii="Times New Roman" w:cs="Times New Roman" w:eastAsia="Times New Roman" w:hAnsi="Times New Roman"/>
          <w:sz w:val="17"/>
          <w:szCs w:val="17"/>
          <w:color w:val="auto"/>
        </w:rPr>
      </w:pPr>
    </w:p>
    <w:p>
      <w:pPr>
        <w:ind w:left="680" w:right="419" w:hanging="305"/>
        <w:spacing w:after="0" w:line="263" w:lineRule="auto"/>
        <w:tabs>
          <w:tab w:leader="none" w:pos="6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worldwide licensing agreement with Genentech signed in June 2012 (and amended in December 2015) for anti-Tau antibodies to treat AD. As announced on January 22, 2024, this agreement was terminated. The termination became effective in April 2024;</w:t>
      </w:r>
    </w:p>
    <w:p>
      <w:pPr>
        <w:spacing w:after="0" w:line="169" w:lineRule="exact"/>
        <w:rPr>
          <w:rFonts w:ascii="Times New Roman" w:cs="Times New Roman" w:eastAsia="Times New Roman" w:hAnsi="Times New Roman"/>
          <w:sz w:val="17"/>
          <w:szCs w:val="17"/>
          <w:color w:val="auto"/>
        </w:rPr>
      </w:pPr>
    </w:p>
    <w:p>
      <w:pPr>
        <w:ind w:left="680" w:right="239" w:hanging="305"/>
        <w:spacing w:after="0" w:line="258" w:lineRule="auto"/>
        <w:tabs>
          <w:tab w:leader="none" w:pos="6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worldwide licensing agreement with Janssen signed in December 2014 (and amended in April 2016, July 2017, January 2019, November 2019, December 2022, November 2023, September 2024 and December 2024) for therapeutic anti-Tau active immunotherapies for AD, and potentially other tauopathies, under which we may become eligible to receive payments totaling up to CHF 500 million, excluding royalties;</w:t>
      </w:r>
    </w:p>
    <w:p>
      <w:pPr>
        <w:spacing w:after="0" w:line="162" w:lineRule="exact"/>
        <w:rPr>
          <w:rFonts w:ascii="Times New Roman" w:cs="Times New Roman" w:eastAsia="Times New Roman" w:hAnsi="Times New Roman"/>
          <w:sz w:val="17"/>
          <w:szCs w:val="17"/>
          <w:color w:val="auto"/>
        </w:rPr>
      </w:pPr>
    </w:p>
    <w:p>
      <w:pPr>
        <w:ind w:left="680" w:right="339" w:hanging="305"/>
        <w:spacing w:after="0" w:line="263" w:lineRule="auto"/>
        <w:tabs>
          <w:tab w:leader="none" w:pos="6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worldwide licensing and collaboration agreement (LCA) with Lantheus (formerly LMI), signed in May 2014 (and amended in June 2022) for small-molecule Tau ligands for use as PET tracers under which we may become eligible to receive payments totaling up to EUR 160 (CHF 150) million, excluding royalties;</w:t>
      </w:r>
    </w:p>
    <w:p>
      <w:pPr>
        <w:spacing w:after="0" w:line="169" w:lineRule="exact"/>
        <w:rPr>
          <w:rFonts w:ascii="Times New Roman" w:cs="Times New Roman" w:eastAsia="Times New Roman" w:hAnsi="Times New Roman"/>
          <w:sz w:val="17"/>
          <w:szCs w:val="17"/>
          <w:color w:val="auto"/>
        </w:rPr>
      </w:pPr>
    </w:p>
    <w:p>
      <w:pPr>
        <w:ind w:left="680" w:right="239" w:hanging="305"/>
        <w:spacing w:after="0" w:line="258" w:lineRule="auto"/>
        <w:tabs>
          <w:tab w:leader="none" w:pos="6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worldwide license agreement with Lilly to research and develop Morphomer Tau small molecules for the treatment of AD and other neurodegenerative diseases, which was entered into in December 2018 (and amended in September 2019 and March 2020). The agreement was deemed effective on January 23, 2019. Under this agreement, we may become eligible to receive payments up to approximately CHF 1.9 billion, excluding royalties; and</w:t>
      </w:r>
    </w:p>
    <w:p>
      <w:pPr>
        <w:spacing w:after="0" w:line="162" w:lineRule="exact"/>
        <w:rPr>
          <w:rFonts w:ascii="Times New Roman" w:cs="Times New Roman" w:eastAsia="Times New Roman" w:hAnsi="Times New Roman"/>
          <w:sz w:val="17"/>
          <w:szCs w:val="17"/>
          <w:color w:val="auto"/>
        </w:rPr>
      </w:pPr>
    </w:p>
    <w:p>
      <w:pPr>
        <w:ind w:left="680" w:right="259" w:hanging="305"/>
        <w:spacing w:after="0" w:line="258" w:lineRule="auto"/>
        <w:tabs>
          <w:tab w:leader="none" w:pos="6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worldwide option and license agreement with Takeda signed in May 2024 for our active immunotherapies targeting Abeta, including ACI-24.060. Under this agreement, we may be eligible to receive an option exercise fee in the low-to-mid nine-figure USD range and additional potential development, commercial and sales-based milestones of up to approximately USD 2.1 (CHF 1.7) billion, excluding royalties.</w:t>
      </w:r>
    </w:p>
    <w:p>
      <w:pPr>
        <w:spacing w:after="0" w:line="162" w:lineRule="exact"/>
        <w:rPr>
          <w:sz w:val="20"/>
          <w:szCs w:val="20"/>
          <w:color w:val="auto"/>
        </w:rPr>
      </w:pPr>
    </w:p>
    <w:p>
      <w:pPr>
        <w:ind w:left="40" w:right="559" w:firstLine="305"/>
        <w:spacing w:after="0" w:line="277" w:lineRule="auto"/>
        <w:rPr>
          <w:sz w:val="20"/>
          <w:szCs w:val="20"/>
          <w:color w:val="auto"/>
        </w:rPr>
      </w:pPr>
      <w:r>
        <w:rPr>
          <w:rFonts w:ascii="Times New Roman" w:cs="Times New Roman" w:eastAsia="Times New Roman" w:hAnsi="Times New Roman"/>
          <w:sz w:val="17"/>
          <w:szCs w:val="17"/>
          <w:color w:val="auto"/>
        </w:rPr>
        <w:t>Further information concerning details of our agreements and collaborations can be found under “Item 5: Operating and financial review and prospects.”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94" w:name="page95"/>
    <w:bookmarkEnd w:id="9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15" w:lineRule="exact"/>
        <w:rPr>
          <w:sz w:val="20"/>
          <w:szCs w:val="20"/>
          <w:color w:val="auto"/>
        </w:rPr>
      </w:pPr>
    </w:p>
    <w:p>
      <w:pPr>
        <w:ind w:left="40" w:right="179" w:firstLine="305"/>
        <w:spacing w:after="0" w:line="255" w:lineRule="auto"/>
        <w:rPr>
          <w:sz w:val="20"/>
          <w:szCs w:val="20"/>
          <w:color w:val="auto"/>
        </w:rPr>
      </w:pPr>
      <w:r>
        <w:rPr>
          <w:rFonts w:ascii="Times New Roman" w:cs="Times New Roman" w:eastAsia="Times New Roman" w:hAnsi="Times New Roman"/>
          <w:sz w:val="17"/>
          <w:szCs w:val="17"/>
          <w:color w:val="auto"/>
        </w:rPr>
        <w:t>The pharmaceutical and biopharmaceutical industries are highly competitive across all therapeutic fields. In the field of neurodegenerative diseases, there are many public and private companies or institutions that are actively engaged in the discovery and development of therapeutic and diagnostic products. Some of these products may have a similar target to our product candidates or address similar markets. The industry is still in its infancy in terms of defining the pathology of neurodegenerative diseases. As disease understanding progresses, the number of novel product candidates may well increase and broaden the therapeutic and diagnostic options in our product markets.</w:t>
      </w:r>
    </w:p>
    <w:p>
      <w:pPr>
        <w:spacing w:after="0" w:line="163" w:lineRule="exact"/>
        <w:rPr>
          <w:sz w:val="20"/>
          <w:szCs w:val="20"/>
          <w:color w:val="auto"/>
        </w:rPr>
      </w:pPr>
    </w:p>
    <w:p>
      <w:pPr>
        <w:ind w:left="40" w:right="139" w:firstLine="305"/>
        <w:spacing w:after="0" w:line="258" w:lineRule="auto"/>
        <w:rPr>
          <w:sz w:val="20"/>
          <w:szCs w:val="20"/>
          <w:color w:val="auto"/>
        </w:rPr>
      </w:pPr>
      <w:r>
        <w:rPr>
          <w:rFonts w:ascii="Times New Roman" w:cs="Times New Roman" w:eastAsia="Times New Roman" w:hAnsi="Times New Roman"/>
          <w:sz w:val="17"/>
          <w:szCs w:val="17"/>
          <w:color w:val="auto"/>
        </w:rPr>
        <w:t>Currently, there are two commercially available FDA-approved disease-modifying products for AD, Leqembi (Biogen / Eisai) and Kisunla (Eli Lilly). Other approved therapies seek to treat the symptoms of AD, but do not slow or stop the progression of the disease. In addition, there is common off-label prescription of antidepressant and antipsychotic agents for more patients with advanced AD who may have agitation, aggressive behaviors, psychosis and depression.</w:t>
      </w:r>
    </w:p>
    <w:p>
      <w:pPr>
        <w:spacing w:after="0" w:line="175" w:lineRule="exact"/>
        <w:rPr>
          <w:sz w:val="20"/>
          <w:szCs w:val="20"/>
          <w:color w:val="auto"/>
        </w:rPr>
      </w:pPr>
    </w:p>
    <w:p>
      <w:pPr>
        <w:ind w:left="40" w:right="279" w:firstLine="305"/>
        <w:spacing w:after="0" w:line="263" w:lineRule="auto"/>
        <w:rPr>
          <w:sz w:val="20"/>
          <w:szCs w:val="20"/>
          <w:color w:val="auto"/>
        </w:rPr>
      </w:pPr>
      <w:r>
        <w:rPr>
          <w:rFonts w:ascii="Times New Roman" w:cs="Times New Roman" w:eastAsia="Times New Roman" w:hAnsi="Times New Roman"/>
          <w:sz w:val="17"/>
          <w:szCs w:val="17"/>
          <w:color w:val="auto"/>
        </w:rPr>
        <w:t>Several new classes of disease-modifying agents could enter the AD market. Beyond monoclonal antibodies, our pipeline includes active immunotherapies: ACI-35.030 (targeting aggregated, phosphorylated Tau) and ACI-24.060 (targeting oligomeric and pyroGlu Abeta), and our small molecule Morphomer Tau program (inhibiting Tau aggregation).</w:t>
      </w:r>
    </w:p>
    <w:p>
      <w:pPr>
        <w:spacing w:after="0" w:line="157" w:lineRule="exact"/>
        <w:rPr>
          <w:sz w:val="20"/>
          <w:szCs w:val="20"/>
          <w:color w:val="auto"/>
        </w:rPr>
      </w:pPr>
    </w:p>
    <w:p>
      <w:pPr>
        <w:ind w:left="40" w:right="79" w:firstLine="305"/>
        <w:spacing w:after="0" w:line="258" w:lineRule="auto"/>
        <w:rPr>
          <w:sz w:val="20"/>
          <w:szCs w:val="20"/>
          <w:color w:val="auto"/>
        </w:rPr>
      </w:pPr>
      <w:r>
        <w:rPr>
          <w:rFonts w:ascii="Times New Roman" w:cs="Times New Roman" w:eastAsia="Times New Roman" w:hAnsi="Times New Roman"/>
          <w:sz w:val="17"/>
          <w:szCs w:val="17"/>
          <w:color w:val="auto"/>
        </w:rPr>
        <w:t>The availability of novel diagnostic agents to visualize disease development in patients with AD is critical for successful clinical development and commercialization of disease-modifying products in AD. At the forefront of this new diagnostic effort are PET agents for imaging of disease pathology, and in particular, Tau-PET agents, which we believe will allow precise assessment of disease in patients with AD.</w:t>
      </w:r>
    </w:p>
    <w:p>
      <w:pPr>
        <w:spacing w:after="0" w:line="171" w:lineRule="exact"/>
        <w:rPr>
          <w:sz w:val="20"/>
          <w:szCs w:val="20"/>
          <w:color w:val="auto"/>
        </w:rPr>
      </w:pPr>
    </w:p>
    <w:p>
      <w:pPr>
        <w:ind w:left="40" w:right="219" w:firstLine="305"/>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ACI-35.030. </w:t>
      </w:r>
      <w:r>
        <w:rPr>
          <w:rFonts w:ascii="Times New Roman" w:cs="Times New Roman" w:eastAsia="Times New Roman" w:hAnsi="Times New Roman"/>
          <w:sz w:val="17"/>
          <w:szCs w:val="17"/>
          <w:color w:val="auto"/>
        </w:rPr>
        <w:t>ACI-35.030, if approved, would potentially compete with other Tau-targeting active immunotherapies currently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being developed. This could include, for example, the AADvac1 active immunotherapy from Axon Neuroscience, which completed a Phase 2 study in 2019, AV-1980R (Nuravax) which is now in Phase 1 clinical development, and TV-301 (TheraVac), for which plans to move into clinical trials have been announced.</w:t>
      </w:r>
    </w:p>
    <w:p>
      <w:pPr>
        <w:spacing w:after="0" w:line="156" w:lineRule="exact"/>
        <w:rPr>
          <w:sz w:val="20"/>
          <w:szCs w:val="20"/>
          <w:color w:val="auto"/>
        </w:rPr>
      </w:pPr>
    </w:p>
    <w:p>
      <w:pPr>
        <w:ind w:left="40" w:right="159" w:firstLine="305"/>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ACI-24.060 for AD. </w:t>
      </w:r>
      <w:r>
        <w:rPr>
          <w:rFonts w:ascii="Times New Roman" w:cs="Times New Roman" w:eastAsia="Times New Roman" w:hAnsi="Times New Roman"/>
          <w:sz w:val="17"/>
          <w:szCs w:val="17"/>
          <w:color w:val="auto"/>
        </w:rPr>
        <w:t>ACI-24.060, if approved, would potentially compete with other anti-Abeta-targeting active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immunotherapies currently being developed. This includes the ABvac 40 (Araclon Biotech), which has completed a Phase 2 study and UB-311(Vaxxinity), which has completed a Phase 2a study. In addition, Alzinova has completed a Phase 1b evaluation of ALZ-101 (Alzinova) and AV-1959D (Nuravax) is being evaluated in Phase 1 study.</w:t>
      </w:r>
    </w:p>
    <w:p>
      <w:pPr>
        <w:spacing w:after="0" w:line="168" w:lineRule="exact"/>
        <w:rPr>
          <w:sz w:val="20"/>
          <w:szCs w:val="20"/>
          <w:color w:val="auto"/>
        </w:rPr>
      </w:pPr>
    </w:p>
    <w:p>
      <w:pPr>
        <w:ind w:left="40" w:right="159" w:firstLine="305"/>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 xml:space="preserve">ACI-24.060 for DS. </w:t>
      </w:r>
      <w:r>
        <w:rPr>
          <w:rFonts w:ascii="Times New Roman" w:cs="Times New Roman" w:eastAsia="Times New Roman" w:hAnsi="Times New Roman"/>
          <w:sz w:val="17"/>
          <w:szCs w:val="17"/>
          <w:color w:val="auto"/>
        </w:rPr>
        <w:t>ACI-24.060 is the first disease-modifying active immunotherapy candidate addressing DS-related AD,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with a potential preventive and therapeutic application. Although there are symptomatic treatments of DS in clinical development, to our knowledge there are currently no other disease-modifying treatments in clinical development for AD in DS.</w:t>
      </w:r>
    </w:p>
    <w:p>
      <w:pPr>
        <w:spacing w:after="0" w:line="1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ACI-7104.056. </w:t>
      </w:r>
      <w:r>
        <w:rPr>
          <w:rFonts w:ascii="Times New Roman" w:cs="Times New Roman" w:eastAsia="Times New Roman" w:hAnsi="Times New Roman"/>
          <w:sz w:val="17"/>
          <w:szCs w:val="17"/>
          <w:color w:val="auto"/>
        </w:rPr>
        <w:t>ACI-7104.056, if approved, would potentially compete with other a-syn-targeting active immunotherapies.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This includes the UB-312 active immunotherapy developed by Vaxxinity, for which a Phase 1b study was completed in June 2023.</w:t>
      </w:r>
    </w:p>
    <w:p>
      <w:pPr>
        <w:spacing w:after="0" w:line="202" w:lineRule="exact"/>
        <w:rPr>
          <w:sz w:val="20"/>
          <w:szCs w:val="20"/>
          <w:color w:val="auto"/>
        </w:rPr>
      </w:pPr>
    </w:p>
    <w:p>
      <w:pPr>
        <w:ind w:left="40" w:right="99" w:firstLine="305"/>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 xml:space="preserve">Tau-PET tracer. </w:t>
      </w:r>
      <w:r>
        <w:rPr>
          <w:rFonts w:ascii="Times New Roman" w:cs="Times New Roman" w:eastAsia="Times New Roman" w:hAnsi="Times New Roman"/>
          <w:sz w:val="17"/>
          <w:szCs w:val="17"/>
          <w:color w:val="auto"/>
        </w:rPr>
        <w:t>TAUVID (previously known as Flortaucipir) was developed by Eli Lilly and approved by FDA in May 2020.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However, should the Company’s PI-2620 be approved, it would also compete with (i) 18F-florzolotau (previously known as APN-1607), a product candidate advanced by Aprinoia currently in Phase 2 (USA, Taiwan, Japan) and Phase 3 (China) trials; (ii) 18F-MK-6240, developed by Lantheus, currently in Phase 2 and 3 clinical trials; (iii) 18F-GTP1, which is being developed by Genentech and has completed a Phase 2 study in subjects at risk of developing ADAD, (iv) 18F-RO6958948, for which Roche has completed a Phase 1 study in patients with AD and (v) 18F-JNJ-067, for which Janssen has completed a Phase 1 study in patients with AD.</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95" w:name="page96"/>
    <w:bookmarkEnd w:id="9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right="279" w:firstLine="305"/>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ACI-12589 and ACI-15916. </w:t>
      </w:r>
      <w:r>
        <w:rPr>
          <w:rFonts w:ascii="Times New Roman" w:cs="Times New Roman" w:eastAsia="Times New Roman" w:hAnsi="Times New Roman"/>
          <w:sz w:val="17"/>
          <w:szCs w:val="17"/>
          <w:color w:val="auto"/>
        </w:rPr>
        <w:t>ACI-12589 and ACI-15916, if approved, would potentially compete with other a-syn-targeting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PET tracers. This includes the 18F-UCB-2897 tracer developed by UCB, which is being evaluated in a Phase 1 study.</w:t>
      </w:r>
    </w:p>
    <w:p>
      <w:pPr>
        <w:spacing w:after="0" w:line="1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ACI-19764.</w:t>
      </w:r>
    </w:p>
    <w:p>
      <w:pPr>
        <w:spacing w:after="0" w:line="215" w:lineRule="exact"/>
        <w:rPr>
          <w:sz w:val="20"/>
          <w:szCs w:val="20"/>
          <w:color w:val="auto"/>
        </w:rPr>
      </w:pPr>
    </w:p>
    <w:p>
      <w:pPr>
        <w:ind w:left="40" w:right="179" w:firstLine="305"/>
        <w:spacing w:after="0" w:line="251" w:lineRule="auto"/>
        <w:rPr>
          <w:sz w:val="20"/>
          <w:szCs w:val="20"/>
          <w:color w:val="auto"/>
        </w:rPr>
      </w:pPr>
      <w:r>
        <w:rPr>
          <w:rFonts w:ascii="Times New Roman" w:cs="Times New Roman" w:eastAsia="Times New Roman" w:hAnsi="Times New Roman"/>
          <w:sz w:val="17"/>
          <w:szCs w:val="17"/>
          <w:color w:val="auto"/>
        </w:rPr>
        <w:t>ACI-19764, if approved, would potentially compete with other CNS-penetrant NLRP3 inhibitors: (i) VTX3232 (Ventyx) completed a small Phase 2a in PD in 2025 and a Phase 2 trial in obesity with elevated cardiovascular risk (the company was acquired by Eli Lilly in January 2026); (ii) NT-0796 (NodThera) completed a Phase 1b/2a trial in early PD and a Phase 1b/2a trial in obesity with elevated cardiovascular risk; (iii) selnoflast (Roche) has completed a Phase 1b trial in early PD; (iv) VENT-02 (Ventus) development in a Phase 1b in PD was terminated; (v) ZYIL1 (Zydus) has completed a Phase 1a trial in ALS and is expected to undergo a trial in PD. Multiple other NLRP3 inhibitors are being or have been evaluated for non-neurodegenerative indications, such as dapansutrile (Olatec), DFV890 (Novartis), RRx-01 (EpicentRx), and new entrants (e.g. BGE-102 from BioAge) are emerging frequently.</w:t>
      </w:r>
    </w:p>
    <w:p>
      <w:pPr>
        <w:spacing w:after="0" w:line="175" w:lineRule="exact"/>
        <w:rPr>
          <w:sz w:val="20"/>
          <w:szCs w:val="20"/>
          <w:color w:val="auto"/>
        </w:rPr>
      </w:pPr>
    </w:p>
    <w:p>
      <w:pPr>
        <w:ind w:left="40" w:right="139" w:firstLine="305"/>
        <w:spacing w:after="0" w:line="273" w:lineRule="auto"/>
        <w:rPr>
          <w:sz w:val="20"/>
          <w:szCs w:val="20"/>
          <w:color w:val="auto"/>
        </w:rPr>
      </w:pPr>
      <w:r>
        <w:rPr>
          <w:rFonts w:ascii="Times New Roman" w:cs="Times New Roman" w:eastAsia="Times New Roman" w:hAnsi="Times New Roman"/>
          <w:sz w:val="16"/>
          <w:szCs w:val="16"/>
          <w:b w:val="1"/>
          <w:bCs w:val="1"/>
          <w:i w:val="1"/>
          <w:iCs w:val="1"/>
          <w:color w:val="auto"/>
        </w:rPr>
        <w:t>Morphomer Tau.</w:t>
      </w:r>
      <w:r>
        <w:rPr>
          <w:rFonts w:ascii="Times New Roman" w:cs="Times New Roman" w:eastAsia="Times New Roman" w:hAnsi="Times New Roman"/>
          <w:sz w:val="16"/>
          <w:szCs w:val="16"/>
          <w:color w:val="auto"/>
        </w:rPr>
        <w:t>We are researching and developing small molecule Tau aggregation inhibitors with plans to evaluate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candidates in AD and potentially other tauopathies. Continued candidate characterization across the research program also identified new and highly differentiated candidates with excellent cerebrospinal fluid exposure and selectivity for pathological aggregated Tau. There are only a few small molecule inhibitors of Tau aggregation in clinical development. TauRx has completed several Phase 3 trials of HMTM (TRx0037) for patients with AD or FTD. OLX07010 (Oligomerix) is undergoing a Phase 1 study.</w:t>
      </w:r>
    </w:p>
    <w:p>
      <w:pPr>
        <w:spacing w:after="0" w:line="159" w:lineRule="exact"/>
        <w:rPr>
          <w:sz w:val="20"/>
          <w:szCs w:val="20"/>
          <w:color w:val="auto"/>
        </w:rPr>
      </w:pPr>
    </w:p>
    <w:p>
      <w:pPr>
        <w:jc w:val="both"/>
        <w:ind w:left="40" w:right="439" w:firstLine="305"/>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 xml:space="preserve">Morphomer a-syn. </w:t>
      </w:r>
      <w:r>
        <w:rPr>
          <w:rFonts w:ascii="Times New Roman" w:cs="Times New Roman" w:eastAsia="Times New Roman" w:hAnsi="Times New Roman"/>
          <w:sz w:val="17"/>
          <w:szCs w:val="17"/>
          <w:color w:val="auto"/>
        </w:rPr>
        <w:t>The program, if further developed, would potentially compete with small molecule inhibitors of a-­syn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aggregation. TEV-56286 (Teva) has been evaluated in a Phase 1 study in PD, and it is currently undergoing a Phase 2 study in MSA.</w:t>
      </w:r>
      <w:r>
        <w:rPr>
          <w:rFonts w:ascii="Times New Roman" w:cs="Times New Roman" w:eastAsia="Times New Roman" w:hAnsi="Times New Roman"/>
          <w:sz w:val="17"/>
          <w:szCs w:val="17"/>
          <w:b w:val="1"/>
          <w:bCs w:val="1"/>
          <w:i w:val="1"/>
          <w:iCs w:val="1"/>
          <w:color w:val="auto"/>
        </w:rPr>
        <w:t>TDP-43 PET tracer, ACI-19626.</w:t>
      </w:r>
      <w:r>
        <w:rPr>
          <w:rFonts w:ascii="Times New Roman" w:cs="Times New Roman" w:eastAsia="Times New Roman" w:hAnsi="Times New Roman"/>
          <w:sz w:val="17"/>
          <w:szCs w:val="17"/>
          <w:color w:val="auto"/>
        </w:rPr>
        <w:t xml:space="preserve"> To our knowledge, there are no TDP-43-PET tracers in the clinic.</w:t>
      </w:r>
    </w:p>
    <w:p>
      <w:pPr>
        <w:spacing w:after="0" w:line="166" w:lineRule="exact"/>
        <w:rPr>
          <w:sz w:val="20"/>
          <w:szCs w:val="20"/>
          <w:color w:val="auto"/>
        </w:rPr>
      </w:pPr>
    </w:p>
    <w:p>
      <w:pPr>
        <w:ind w:left="40" w:right="119" w:firstLine="305"/>
        <w:spacing w:after="0" w:line="251" w:lineRule="auto"/>
        <w:rPr>
          <w:sz w:val="20"/>
          <w:szCs w:val="20"/>
          <w:color w:val="auto"/>
        </w:rPr>
      </w:pPr>
      <w:r>
        <w:rPr>
          <w:rFonts w:ascii="Times New Roman" w:cs="Times New Roman" w:eastAsia="Times New Roman" w:hAnsi="Times New Roman"/>
          <w:sz w:val="17"/>
          <w:szCs w:val="17"/>
          <w:color w:val="auto"/>
        </w:rPr>
        <w:t>Many of our competitors have significantly greater financial, technical and human resources than we have. Mergers and acquisitions in the pharmaceutical and biotechnology industries may result in even more resources being concentrated among a smaller number of our competitors. Our commercial opportunities and our success will be based in part on our ability to identify, develop and manage a portfolio of product candidates that are safer and more effective than competing products. However, this opportunity could be eroded or even eliminated if our competitors develop and/or market products that are novel and have superior safety and efficacy profiles, that may be brought to the market more rapidly due to greater available resources, or that are less costly than our current or future product candidates.</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Commercialization strategy</w:t>
      </w:r>
    </w:p>
    <w:p>
      <w:pPr>
        <w:spacing w:after="0" w:line="215" w:lineRule="exact"/>
        <w:rPr>
          <w:sz w:val="20"/>
          <w:szCs w:val="20"/>
          <w:color w:val="auto"/>
        </w:rPr>
      </w:pPr>
    </w:p>
    <w:p>
      <w:pPr>
        <w:ind w:left="40" w:right="99" w:firstLine="305"/>
        <w:spacing w:after="0" w:line="253" w:lineRule="auto"/>
        <w:rPr>
          <w:sz w:val="20"/>
          <w:szCs w:val="20"/>
          <w:color w:val="auto"/>
        </w:rPr>
      </w:pPr>
      <w:r>
        <w:rPr>
          <w:rFonts w:ascii="Times New Roman" w:cs="Times New Roman" w:eastAsia="Times New Roman" w:hAnsi="Times New Roman"/>
          <w:sz w:val="17"/>
          <w:szCs w:val="17"/>
          <w:color w:val="auto"/>
        </w:rPr>
        <w:t>Our strategy to date has been to focus on identifying partnerships for our product candidates at an appropriate time as both a way to secure non-dilutive capital to fund our other research and development programs and as a way to accelerate the development of these products by leveraging a partners’ extensive knowledge in clinical studies, drug development, manufacturing and commercialization.</w:t>
      </w:r>
    </w:p>
    <w:p>
      <w:pPr>
        <w:spacing w:after="0" w:line="178" w:lineRule="exact"/>
        <w:rPr>
          <w:sz w:val="20"/>
          <w:szCs w:val="20"/>
          <w:color w:val="auto"/>
        </w:rPr>
      </w:pPr>
    </w:p>
    <w:p>
      <w:pPr>
        <w:ind w:left="40" w:right="99" w:firstLine="305"/>
        <w:spacing w:after="0" w:line="250" w:lineRule="auto"/>
        <w:rPr>
          <w:sz w:val="20"/>
          <w:szCs w:val="20"/>
          <w:color w:val="auto"/>
        </w:rPr>
      </w:pPr>
      <w:r>
        <w:rPr>
          <w:rFonts w:ascii="Times New Roman" w:cs="Times New Roman" w:eastAsia="Times New Roman" w:hAnsi="Times New Roman"/>
          <w:sz w:val="17"/>
          <w:szCs w:val="17"/>
          <w:color w:val="auto"/>
        </w:rPr>
        <w:t>With the required financial resources at our disposal and the significant knowledge acquired by our scientists and scientific leadership, we intend to retain selected promising product candidates in-house for a longer period of time and fund their development from our own resources. This will allow us to generate greater value from these product candidates, allowing us to demand more significant terms from a prospective partner. Given our current stage of product development, we currently do not have a commercialization infrastructure. If any of our product candidates is granted marketing approval, we would focus our initial commercial efforts in the U.S. and certain European markets, which we believe represent the largest market opportunities for us. In those markets, our commercial operations would potentially include our own specialty sales force focusing on neurologists and gerontologists, both in hospitals and in private practice. In other markets, we would seek partnerships that would maximize our products’ commercial potential.</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96" w:name="page97"/>
    <w:bookmarkEnd w:id="9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15" w:lineRule="exact"/>
        <w:rPr>
          <w:sz w:val="20"/>
          <w:szCs w:val="20"/>
          <w:color w:val="auto"/>
        </w:rPr>
      </w:pPr>
    </w:p>
    <w:p>
      <w:pPr>
        <w:ind w:left="40" w:right="119" w:firstLine="305"/>
        <w:spacing w:after="0" w:line="256" w:lineRule="auto"/>
        <w:rPr>
          <w:sz w:val="20"/>
          <w:szCs w:val="20"/>
          <w:color w:val="auto"/>
        </w:rPr>
      </w:pPr>
      <w:r>
        <w:rPr>
          <w:rFonts w:ascii="Times New Roman" w:cs="Times New Roman" w:eastAsia="Times New Roman" w:hAnsi="Times New Roman"/>
          <w:sz w:val="17"/>
          <w:szCs w:val="17"/>
          <w:color w:val="auto"/>
        </w:rPr>
        <w:t>We strive to protect the proprietary technology that we believe is important to our business, including seeking and maintaining U.S. and foreign patents intended to cover our products and compositions, their methods of use and processes for their manufacture, and our proprietary technology platforms, diagnostic candidates and any other inventions that are commercially important to the development of our business. We also rely on trade secrets and know-how to protect aspects of our business that are not amenable to, or that we do not consider appropriate for, patent protection.</w:t>
      </w:r>
    </w:p>
    <w:p>
      <w:pPr>
        <w:spacing w:after="0" w:line="176" w:lineRule="exact"/>
        <w:rPr>
          <w:sz w:val="20"/>
          <w:szCs w:val="20"/>
          <w:color w:val="auto"/>
        </w:rPr>
      </w:pPr>
    </w:p>
    <w:p>
      <w:pPr>
        <w:ind w:left="40" w:right="99" w:firstLine="305"/>
        <w:spacing w:after="0" w:line="252" w:lineRule="auto"/>
        <w:rPr>
          <w:sz w:val="20"/>
          <w:szCs w:val="20"/>
          <w:color w:val="auto"/>
        </w:rPr>
      </w:pPr>
      <w:r>
        <w:rPr>
          <w:rFonts w:ascii="Times New Roman" w:cs="Times New Roman" w:eastAsia="Times New Roman" w:hAnsi="Times New Roman"/>
          <w:sz w:val="17"/>
          <w:szCs w:val="17"/>
          <w:color w:val="auto"/>
        </w:rPr>
        <w:t>Our success will significantly depend on our and our collaboration and licensing partners’ ability to obtain and maintain patent and other proprietary protection for commercially important technology, inventions and know-how related to our business, to defend and enforce patents, to preserve the confidentiality of our trade secrets and to operate our business without infringing any patents and other intellectual property or proprietary rights of third parties. See the section titled “Risk factors— Risks related to intellectual property” for additional information.</w:t>
      </w:r>
    </w:p>
    <w:p>
      <w:pPr>
        <w:spacing w:after="0" w:line="179" w:lineRule="exact"/>
        <w:rPr>
          <w:sz w:val="20"/>
          <w:szCs w:val="20"/>
          <w:color w:val="auto"/>
        </w:rPr>
      </w:pPr>
    </w:p>
    <w:p>
      <w:pPr>
        <w:ind w:left="40" w:right="99" w:firstLine="305"/>
        <w:spacing w:after="0" w:line="253" w:lineRule="auto"/>
        <w:rPr>
          <w:sz w:val="20"/>
          <w:szCs w:val="20"/>
          <w:color w:val="auto"/>
        </w:rPr>
      </w:pPr>
      <w:r>
        <w:rPr>
          <w:rFonts w:ascii="Times New Roman" w:cs="Times New Roman" w:eastAsia="Times New Roman" w:hAnsi="Times New Roman"/>
          <w:sz w:val="17"/>
          <w:szCs w:val="17"/>
          <w:color w:val="auto"/>
        </w:rPr>
        <w:t>As of December 31, 2025, we owned or co-owned with our collaboration and licensing partners, approximately 32 issued U.S. patents and 204 issued patents in other jurisdictions, as well as 42 pending U.S. patent applications and 421 pending foreign patent applications. As of December 31, 2025, we licensed approximately 19 issued U.S. patents and 120 issued patents in other jurisdictions, as well as 11 pending U.S. patent applications and 69 pending foreign patent applications.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patent portfolios for our most advanced product candidates as of December 31, 2025 are summarized below:</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Anti-Tau active immunotherapies</w:t>
      </w:r>
    </w:p>
    <w:p>
      <w:pPr>
        <w:spacing w:after="0" w:line="215" w:lineRule="exact"/>
        <w:rPr>
          <w:sz w:val="20"/>
          <w:szCs w:val="20"/>
          <w:color w:val="auto"/>
        </w:rPr>
      </w:pPr>
    </w:p>
    <w:p>
      <w:pPr>
        <w:ind w:left="40" w:right="139" w:firstLine="305"/>
        <w:spacing w:after="0" w:line="251" w:lineRule="auto"/>
        <w:rPr>
          <w:sz w:val="20"/>
          <w:szCs w:val="20"/>
          <w:color w:val="auto"/>
        </w:rPr>
      </w:pPr>
      <w:r>
        <w:rPr>
          <w:rFonts w:ascii="Times New Roman" w:cs="Times New Roman" w:eastAsia="Times New Roman" w:hAnsi="Times New Roman"/>
          <w:sz w:val="17"/>
          <w:szCs w:val="17"/>
          <w:color w:val="auto"/>
        </w:rPr>
        <w:t>Our patent portfolio for anti-Tau active immunotherapies includes a patent family with composition-of-matter claims (including claims directed to the ACI-35 antigenic peptide and a pharmaceutical composition comprising such an antigenic peptide), claims directed to treating certain indications using ACI-35 including AD, and claims directed to using ACI-35 to induce an immune response. This patent family currently contains approximately 29 issued patents in 27 countries. The issued patents in this patent family, if the appropriate maintenance, renewal, annuity or other governmental fees are paid, are expected to expire in 2030, excluding any additional term for patent term adjustments or patent term extensions.</w:t>
      </w:r>
    </w:p>
    <w:p>
      <w:pPr>
        <w:spacing w:after="0" w:line="182" w:lineRule="exact"/>
        <w:rPr>
          <w:sz w:val="20"/>
          <w:szCs w:val="20"/>
          <w:color w:val="auto"/>
        </w:rPr>
      </w:pPr>
    </w:p>
    <w:p>
      <w:pPr>
        <w:ind w:left="40" w:right="119" w:firstLine="305"/>
        <w:spacing w:after="0" w:line="251" w:lineRule="auto"/>
        <w:rPr>
          <w:sz w:val="20"/>
          <w:szCs w:val="20"/>
          <w:color w:val="auto"/>
        </w:rPr>
      </w:pPr>
      <w:r>
        <w:rPr>
          <w:rFonts w:ascii="Times New Roman" w:cs="Times New Roman" w:eastAsia="Times New Roman" w:hAnsi="Times New Roman"/>
          <w:sz w:val="17"/>
          <w:szCs w:val="17"/>
          <w:color w:val="auto"/>
        </w:rPr>
        <w:t>Our patent portfolio for anti-Tau active immunotherapies also includes a patent family relating to therapeutic Tau active immunotherapies, including claims directed to a pharmaceutical composition comprising an antigenic Tau peptide, claims directed to using such active immunotherapies to induce an immune response in a subject, and claims directed to methods for preventing or treating a neurodegenerative disease or disorder, including AD, among others. This patent family currently contains 16 issued patents and approximately 18 pending patent applications in 26 countries. The issued patents and any patents issuing in this patent family, if the appropriate maintenance, renewal, annuity or other governmental fees are paid, are expected to expire in 2038, excluding any additional term for patent term adjustments or patent term extensions.</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ACI-24</w:t>
      </w:r>
    </w:p>
    <w:p>
      <w:pPr>
        <w:spacing w:after="0" w:line="215" w:lineRule="exact"/>
        <w:rPr>
          <w:sz w:val="20"/>
          <w:szCs w:val="20"/>
          <w:color w:val="auto"/>
        </w:rPr>
      </w:pPr>
    </w:p>
    <w:p>
      <w:pPr>
        <w:ind w:left="40" w:right="79" w:firstLine="305"/>
        <w:spacing w:after="0" w:line="256" w:lineRule="auto"/>
        <w:rPr>
          <w:sz w:val="20"/>
          <w:szCs w:val="20"/>
          <w:color w:val="auto"/>
        </w:rPr>
      </w:pPr>
      <w:r>
        <w:rPr>
          <w:rFonts w:ascii="Times New Roman" w:cs="Times New Roman" w:eastAsia="Times New Roman" w:hAnsi="Times New Roman"/>
          <w:sz w:val="17"/>
          <w:szCs w:val="17"/>
          <w:color w:val="auto"/>
        </w:rPr>
        <w:t>Our patent portfolio for ACI-24 includes a patent family directed to the use of the ACI-24 active immunotherapy in the treatment and/or prevention of memory and/or cognitive impairments or abnormalities in the DS population, among others. As of December 31, 2025, in this patent family, we owned approximately 7 issued patents and 2 pending patent applications in 8 countries. Issued patents in this patent family, if the appropriate maintenance, renewal, annuity or other governmental fees are paid, are expected to expire in 2032, excluding any additional term for patent term adjustments or patent term extensions.</w:t>
      </w:r>
    </w:p>
    <w:p>
      <w:pPr>
        <w:spacing w:after="0" w:line="163" w:lineRule="exact"/>
        <w:rPr>
          <w:sz w:val="20"/>
          <w:szCs w:val="20"/>
          <w:color w:val="auto"/>
        </w:rPr>
      </w:pPr>
    </w:p>
    <w:p>
      <w:pPr>
        <w:ind w:left="40" w:right="359" w:firstLine="305"/>
        <w:spacing w:after="0" w:line="263" w:lineRule="auto"/>
        <w:rPr>
          <w:sz w:val="20"/>
          <w:szCs w:val="20"/>
          <w:color w:val="auto"/>
        </w:rPr>
      </w:pPr>
      <w:r>
        <w:rPr>
          <w:rFonts w:ascii="Times New Roman" w:cs="Times New Roman" w:eastAsia="Times New Roman" w:hAnsi="Times New Roman"/>
          <w:sz w:val="17"/>
          <w:szCs w:val="17"/>
          <w:color w:val="auto"/>
        </w:rPr>
        <w:t>Our patent portfolio for ACI-24 also includes a patent family relating to therapeutic anti-Abeta treatment claims (including claims directed to a pharmaceutical composition comprising an antigenic peptide), and claims directed to using such active immunotherapies in treating, preventing, inducing a protective immune response against or alleviating</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97" w:name="page98"/>
    <w:bookmarkEnd w:id="9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139"/>
        <w:spacing w:after="0" w:line="258" w:lineRule="auto"/>
        <w:rPr>
          <w:sz w:val="20"/>
          <w:szCs w:val="20"/>
          <w:color w:val="auto"/>
        </w:rPr>
      </w:pPr>
      <w:r>
        <w:rPr>
          <w:rFonts w:ascii="Times New Roman" w:cs="Times New Roman" w:eastAsia="Times New Roman" w:hAnsi="Times New Roman"/>
          <w:sz w:val="17"/>
          <w:szCs w:val="17"/>
          <w:color w:val="auto"/>
        </w:rPr>
        <w:t>the symptoms associated with an Abeta-associated disease in a subject, among others. As of December 31, 2025, in this patent family, we owned 11 issued patents, including two issued U.S. patents, and approximately 28 pending patent applications in 32 countries. Any issued patents in this patent family, if the appropriate maintenance, renewal, annuity or other governmental fees are paid, are expected to expire in 2039, excluding any additional term for patent term adjustments or patent term extensions.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ACI-7104</w:t>
      </w:r>
    </w:p>
    <w:p>
      <w:pPr>
        <w:spacing w:after="0" w:line="215" w:lineRule="exact"/>
        <w:rPr>
          <w:sz w:val="20"/>
          <w:szCs w:val="20"/>
          <w:color w:val="auto"/>
        </w:rPr>
      </w:pPr>
    </w:p>
    <w:p>
      <w:pPr>
        <w:ind w:left="40" w:right="299" w:firstLine="305"/>
        <w:spacing w:after="0" w:line="255" w:lineRule="auto"/>
        <w:rPr>
          <w:sz w:val="20"/>
          <w:szCs w:val="20"/>
          <w:color w:val="auto"/>
        </w:rPr>
      </w:pPr>
      <w:r>
        <w:rPr>
          <w:rFonts w:ascii="Times New Roman" w:cs="Times New Roman" w:eastAsia="Times New Roman" w:hAnsi="Times New Roman"/>
          <w:sz w:val="17"/>
          <w:szCs w:val="17"/>
          <w:color w:val="auto"/>
        </w:rPr>
        <w:t>Our patent portfolio relating to ACI-7104 includes patents and patent applications with composition-of-matter claims (including claims directed to the peptide, as well as pharmaceutical formulations comprising the peptide), and claims directed to the use of compounds comprising the peptide in treating or preventing synucleinopathies including PD and MSA.</w:t>
      </w:r>
    </w:p>
    <w:p>
      <w:pPr>
        <w:spacing w:after="0" w:line="176" w:lineRule="exact"/>
        <w:rPr>
          <w:sz w:val="20"/>
          <w:szCs w:val="20"/>
          <w:color w:val="auto"/>
        </w:rPr>
      </w:pPr>
    </w:p>
    <w:p>
      <w:pPr>
        <w:ind w:left="40" w:right="59" w:firstLine="305"/>
        <w:spacing w:after="0" w:line="256" w:lineRule="auto"/>
        <w:rPr>
          <w:sz w:val="20"/>
          <w:szCs w:val="20"/>
          <w:color w:val="auto"/>
        </w:rPr>
      </w:pPr>
      <w:r>
        <w:rPr>
          <w:rFonts w:ascii="Times New Roman" w:cs="Times New Roman" w:eastAsia="Times New Roman" w:hAnsi="Times New Roman"/>
          <w:sz w:val="17"/>
          <w:szCs w:val="17"/>
          <w:color w:val="auto"/>
        </w:rPr>
        <w:t>Our patent portfolio relating to ACI-7104 includes a patent familyrelated to a pharmaceutical composition comprising an antigenic peptide. As of December 31, 2025, in this patent family, we owned approximately 15 issued patents and 4 pending patent applications, in 10 countries. With respect to the U.S., we owned three issued U.S. patents. Issued patents in the basic patent family, if the appropriate maintenance, renewal, annuity or other governmental fees are paid, are expected to expire in 2029, excluding any additional term for patent term adjustments or patent term extensions.</w:t>
      </w:r>
    </w:p>
    <w:p>
      <w:pPr>
        <w:spacing w:after="0" w:line="176" w:lineRule="exact"/>
        <w:rPr>
          <w:sz w:val="20"/>
          <w:szCs w:val="20"/>
          <w:color w:val="auto"/>
        </w:rPr>
      </w:pPr>
    </w:p>
    <w:p>
      <w:pPr>
        <w:ind w:left="40" w:right="139" w:firstLine="305"/>
        <w:spacing w:after="0" w:line="262" w:lineRule="auto"/>
        <w:rPr>
          <w:sz w:val="20"/>
          <w:szCs w:val="20"/>
          <w:color w:val="auto"/>
        </w:rPr>
      </w:pPr>
      <w:r>
        <w:rPr>
          <w:rFonts w:ascii="Times New Roman" w:cs="Times New Roman" w:eastAsia="Times New Roman" w:hAnsi="Times New Roman"/>
          <w:sz w:val="17"/>
          <w:szCs w:val="17"/>
          <w:color w:val="auto"/>
        </w:rPr>
        <w:t>Our patent portfolio for ACI-7104 also includes two additional patent families with claims directed to compositions of matter, optimized formulation, methods of treatment for certain indications including PD, and methods of use.</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PI-2620</w:t>
      </w:r>
    </w:p>
    <w:p>
      <w:pPr>
        <w:spacing w:after="0" w:line="215" w:lineRule="exact"/>
        <w:rPr>
          <w:sz w:val="20"/>
          <w:szCs w:val="20"/>
          <w:color w:val="auto"/>
        </w:rPr>
      </w:pPr>
    </w:p>
    <w:p>
      <w:pPr>
        <w:ind w:left="40" w:right="79" w:firstLine="305"/>
        <w:spacing w:after="0" w:line="258" w:lineRule="auto"/>
        <w:rPr>
          <w:sz w:val="20"/>
          <w:szCs w:val="20"/>
          <w:color w:val="auto"/>
        </w:rPr>
      </w:pPr>
      <w:r>
        <w:rPr>
          <w:rFonts w:ascii="Times New Roman" w:cs="Times New Roman" w:eastAsia="Times New Roman" w:hAnsi="Times New Roman"/>
          <w:sz w:val="17"/>
          <w:szCs w:val="17"/>
          <w:color w:val="auto"/>
        </w:rPr>
        <w:t>Our patent portfolio relating to PI-2620 includes patent applications with claims directed to composition of matter (including claims directed to the molecule, its precursor and a diagnostic composition comprising such molecule), claims directed to diagnosis of certain indications using PI-2620 including AD and PSP, and claims directed to a method of manufacturing PI-2620, among others.</w:t>
      </w:r>
    </w:p>
    <w:p>
      <w:pPr>
        <w:spacing w:after="0" w:line="175" w:lineRule="exact"/>
        <w:rPr>
          <w:sz w:val="20"/>
          <w:szCs w:val="20"/>
          <w:color w:val="auto"/>
        </w:rPr>
      </w:pPr>
    </w:p>
    <w:p>
      <w:pPr>
        <w:ind w:left="40" w:right="199" w:firstLine="305"/>
        <w:spacing w:after="0" w:line="270" w:lineRule="auto"/>
        <w:rPr>
          <w:sz w:val="20"/>
          <w:szCs w:val="20"/>
          <w:color w:val="auto"/>
        </w:rPr>
      </w:pPr>
      <w:r>
        <w:rPr>
          <w:rFonts w:ascii="Times New Roman" w:cs="Times New Roman" w:eastAsia="Times New Roman" w:hAnsi="Times New Roman"/>
          <w:sz w:val="16"/>
          <w:szCs w:val="16"/>
          <w:color w:val="auto"/>
        </w:rPr>
        <w:t>Our patent portfolio relating to PI-2620 includes patent applications that we own or co-own in three different patent families. As of December 31, 2025, we owned or co-owned 13 patents and approximately 5 patent applications in 16 countries in our main patent family directed to the PI-2620 molecule, its precursor and methods of using the PI-2620 to diagnose certain indications, including AD and PSP. This main patent family includes one issued U.S. patent. If the appropriate maintenance, renewal, annuity, or other governmental fees are paid, national-stage applications claiming priority from this PCT patent application, if issued, are expected to expire in 2037, excluding any additional term for patent term adjustments or patent term extensions, as applicable.</w:t>
      </w:r>
    </w:p>
    <w:p>
      <w:pPr>
        <w:spacing w:after="0" w:line="1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ACI-12589</w:t>
      </w:r>
    </w:p>
    <w:p>
      <w:pPr>
        <w:spacing w:after="0" w:line="215" w:lineRule="exact"/>
        <w:rPr>
          <w:sz w:val="20"/>
          <w:szCs w:val="20"/>
          <w:color w:val="auto"/>
        </w:rPr>
      </w:pPr>
    </w:p>
    <w:p>
      <w:pPr>
        <w:jc w:val="both"/>
        <w:ind w:left="40" w:right="79" w:firstLine="305"/>
        <w:spacing w:after="0" w:line="255" w:lineRule="auto"/>
        <w:rPr>
          <w:sz w:val="20"/>
          <w:szCs w:val="20"/>
          <w:color w:val="auto"/>
        </w:rPr>
      </w:pPr>
      <w:r>
        <w:rPr>
          <w:rFonts w:ascii="Times New Roman" w:cs="Times New Roman" w:eastAsia="Times New Roman" w:hAnsi="Times New Roman"/>
          <w:sz w:val="17"/>
          <w:szCs w:val="17"/>
          <w:color w:val="auto"/>
        </w:rPr>
        <w:t>Our patent portfolio relating to a-syn diagnostics includes composition of matter claims (including claims directed to the ACI-12589 molecule, its precursor, and diagnostic compositions comprising the molecule), and claims directed to use of the molecule in imaging and in diagnostics of a-synucleinopathies including PD and MSA.</w:t>
      </w:r>
    </w:p>
    <w:p>
      <w:pPr>
        <w:spacing w:after="0" w:line="176" w:lineRule="exact"/>
        <w:rPr>
          <w:sz w:val="20"/>
          <w:szCs w:val="20"/>
          <w:color w:val="auto"/>
        </w:rPr>
      </w:pPr>
    </w:p>
    <w:p>
      <w:pPr>
        <w:ind w:left="40" w:right="179" w:firstLine="305"/>
        <w:spacing w:after="0" w:line="255" w:lineRule="auto"/>
        <w:rPr>
          <w:sz w:val="20"/>
          <w:szCs w:val="20"/>
          <w:color w:val="auto"/>
        </w:rPr>
      </w:pPr>
      <w:r>
        <w:rPr>
          <w:rFonts w:ascii="Times New Roman" w:cs="Times New Roman" w:eastAsia="Times New Roman" w:hAnsi="Times New Roman"/>
          <w:sz w:val="17"/>
          <w:szCs w:val="17"/>
          <w:color w:val="auto"/>
        </w:rPr>
        <w:t>Our patent portfolio relating to a-syn diagnostics includes patents and patent applications that we own in nine different patent families. As of December 31, 2025, we owned or co-owned approximately 16 patent applications and 2 issued patents in 17 countries in our main patent family directed to the ACI-12589 molecule, its precursor, diagnostic compositions, and methods of using ACI-12589 for imaging and diagnostics of a-synucleinopathies including PD and MSA. If the appropriate maintenance, renewal, annuity or other governmental fees are paid, any issued patents are expected to provide protection up to 2041, excluding any additional term for patent term adjustments or patent term extensions, as applicable.</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98" w:name="page99"/>
    <w:bookmarkEnd w:id="9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Morphomer Tau</w:t>
      </w:r>
    </w:p>
    <w:p>
      <w:pPr>
        <w:spacing w:after="0" w:line="215" w:lineRule="exact"/>
        <w:rPr>
          <w:sz w:val="20"/>
          <w:szCs w:val="20"/>
          <w:color w:val="auto"/>
        </w:rPr>
      </w:pPr>
    </w:p>
    <w:p>
      <w:pPr>
        <w:ind w:left="40" w:right="199" w:firstLine="305"/>
        <w:spacing w:after="0" w:line="258" w:lineRule="auto"/>
        <w:rPr>
          <w:sz w:val="20"/>
          <w:szCs w:val="20"/>
          <w:color w:val="auto"/>
        </w:rPr>
      </w:pPr>
      <w:r>
        <w:rPr>
          <w:rFonts w:ascii="Times New Roman" w:cs="Times New Roman" w:eastAsia="Times New Roman" w:hAnsi="Times New Roman"/>
          <w:sz w:val="17"/>
          <w:szCs w:val="17"/>
          <w:color w:val="auto"/>
        </w:rPr>
        <w:t>Our patent portfolio relating to Morphomer Tau therapeutics includes patent applications with claims directed to composition of matter (including claims directed to the molecule, a pharmaceutical composition comprising such molecule and a mixture comprising such molecule), and claims directed to prevention and treatment of certain indications using such molecules including AD and PSP, among others.</w:t>
      </w:r>
    </w:p>
    <w:p>
      <w:pPr>
        <w:spacing w:after="0" w:line="175" w:lineRule="exact"/>
        <w:rPr>
          <w:sz w:val="20"/>
          <w:szCs w:val="20"/>
          <w:color w:val="auto"/>
        </w:rPr>
      </w:pPr>
    </w:p>
    <w:p>
      <w:pPr>
        <w:ind w:left="40" w:right="79" w:firstLine="305"/>
        <w:spacing w:after="0" w:line="255" w:lineRule="auto"/>
        <w:rPr>
          <w:sz w:val="20"/>
          <w:szCs w:val="20"/>
          <w:color w:val="auto"/>
        </w:rPr>
      </w:pPr>
      <w:r>
        <w:rPr>
          <w:rFonts w:ascii="Times New Roman" w:cs="Times New Roman" w:eastAsia="Times New Roman" w:hAnsi="Times New Roman"/>
          <w:sz w:val="17"/>
          <w:szCs w:val="17"/>
          <w:color w:val="auto"/>
        </w:rPr>
        <w:t>Our patent portfolio relating to the Morphomer Tau therapeutic program includes patent applications that we own or co-own in four different patent families. As of December 31, 2025, we owned approximately 8 pending patent applications and 10 issued patents.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Semorinemab</w:t>
      </w:r>
    </w:p>
    <w:p>
      <w:pPr>
        <w:spacing w:after="0" w:line="215" w:lineRule="exact"/>
        <w:rPr>
          <w:sz w:val="20"/>
          <w:szCs w:val="20"/>
          <w:color w:val="auto"/>
        </w:rPr>
      </w:pPr>
    </w:p>
    <w:p>
      <w:pPr>
        <w:ind w:left="40" w:right="839" w:firstLine="305"/>
        <w:spacing w:after="0" w:line="310" w:lineRule="auto"/>
        <w:rPr>
          <w:sz w:val="20"/>
          <w:szCs w:val="20"/>
          <w:color w:val="auto"/>
        </w:rPr>
      </w:pPr>
      <w:r>
        <w:rPr>
          <w:rFonts w:ascii="Times New Roman" w:cs="Times New Roman" w:eastAsia="Times New Roman" w:hAnsi="Times New Roman"/>
          <w:sz w:val="16"/>
          <w:szCs w:val="16"/>
          <w:color w:val="auto"/>
        </w:rPr>
        <w:t>Our global patent portfolio relating to semorinemab includes patents and patent applications with claims directed to compositions of matter, methods of treatment for certain indications including AD, and methods of use, among others.</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Crenezumab</w:t>
      </w:r>
    </w:p>
    <w:p>
      <w:pPr>
        <w:spacing w:after="0" w:line="215" w:lineRule="exact"/>
        <w:rPr>
          <w:sz w:val="20"/>
          <w:szCs w:val="20"/>
          <w:color w:val="auto"/>
        </w:rPr>
      </w:pPr>
    </w:p>
    <w:p>
      <w:pPr>
        <w:jc w:val="both"/>
        <w:ind w:left="40" w:right="939" w:firstLine="305"/>
        <w:spacing w:after="0" w:line="310" w:lineRule="auto"/>
        <w:rPr>
          <w:sz w:val="20"/>
          <w:szCs w:val="20"/>
          <w:color w:val="auto"/>
        </w:rPr>
      </w:pPr>
      <w:r>
        <w:rPr>
          <w:rFonts w:ascii="Times New Roman" w:cs="Times New Roman" w:eastAsia="Times New Roman" w:hAnsi="Times New Roman"/>
          <w:sz w:val="16"/>
          <w:szCs w:val="16"/>
          <w:color w:val="auto"/>
        </w:rPr>
        <w:t>Our global patent portfolio relating to crenezumab includes patents and patent applications with claims directed to compositions of matter, methods of treatment for certain indications including AD, and methods of use, among others.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Manufacturing and supply</w:t>
      </w:r>
    </w:p>
    <w:p>
      <w:pPr>
        <w:spacing w:after="0" w:line="215" w:lineRule="exact"/>
        <w:rPr>
          <w:sz w:val="20"/>
          <w:szCs w:val="20"/>
          <w:color w:val="auto"/>
        </w:rPr>
      </w:pPr>
    </w:p>
    <w:p>
      <w:pPr>
        <w:ind w:left="40" w:right="79" w:firstLine="305"/>
        <w:spacing w:after="0" w:line="258" w:lineRule="auto"/>
        <w:rPr>
          <w:sz w:val="20"/>
          <w:szCs w:val="20"/>
          <w:color w:val="auto"/>
        </w:rPr>
      </w:pPr>
      <w:r>
        <w:rPr>
          <w:rFonts w:ascii="Times New Roman" w:cs="Times New Roman" w:eastAsia="Times New Roman" w:hAnsi="Times New Roman"/>
          <w:sz w:val="17"/>
          <w:szCs w:val="17"/>
          <w:color w:val="auto"/>
        </w:rPr>
        <w:t>We do not own or operate facilities for the manufacture, testing, packaging, labeling, storage or distribution of non-clinical or clinical supplies of any of our product candidates. We instead contract with and rely on third-party CMOs to manufacture, package, label, store, test and distribute all non-clinical and clinical supplies of our product candidates, and we plan to continue to do so for the foreseeable future.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Compliance with governing rules and quality requirements</w:t>
      </w:r>
    </w:p>
    <w:p>
      <w:pPr>
        <w:spacing w:after="0" w:line="215" w:lineRule="exact"/>
        <w:rPr>
          <w:sz w:val="20"/>
          <w:szCs w:val="20"/>
          <w:color w:val="auto"/>
        </w:rPr>
      </w:pPr>
    </w:p>
    <w:p>
      <w:pPr>
        <w:ind w:left="40" w:right="79" w:firstLine="305"/>
        <w:spacing w:after="0" w:line="251" w:lineRule="auto"/>
        <w:rPr>
          <w:sz w:val="20"/>
          <w:szCs w:val="20"/>
          <w:color w:val="auto"/>
        </w:rPr>
      </w:pPr>
      <w:r>
        <w:rPr>
          <w:rFonts w:ascii="Times New Roman" w:cs="Times New Roman" w:eastAsia="Times New Roman" w:hAnsi="Times New Roman"/>
          <w:sz w:val="17"/>
          <w:szCs w:val="17"/>
          <w:color w:val="auto"/>
        </w:rPr>
        <w:t>The facilities used by our collaboration partners and CMOs to manufacture our product candidates are systematically audited by local authorities and occasionally inspected by competent authorities where the clinical studies are ongoing. The facilities where the commercial productions are performed will have to be approved by the FDA or other relevant regulatory authorities, pursuant to inspections that are conducted after we submit our NDA or comparable marketing applications. We perform periodic quality audits of the manufacturing facilities and CMOs to monitor their compliance with the regional laws, regulations and applicable cGMP standards and other laws and regulations, such as those related to environmental, health and safety matters. The scope of our audits also involves monitoring the ability of our providers to maintain adequate QCs and QA systems including personnel qualification.</w:t>
      </w:r>
    </w:p>
    <w:p>
      <w:pPr>
        <w:spacing w:after="0" w:line="179" w:lineRule="exact"/>
        <w:rPr>
          <w:sz w:val="20"/>
          <w:szCs w:val="20"/>
          <w:color w:val="auto"/>
        </w:rPr>
      </w:pPr>
    </w:p>
    <w:p>
      <w:pPr>
        <w:ind w:left="40" w:right="79" w:firstLine="305"/>
        <w:spacing w:after="0" w:line="251" w:lineRule="auto"/>
        <w:rPr>
          <w:sz w:val="20"/>
          <w:szCs w:val="20"/>
          <w:color w:val="auto"/>
        </w:rPr>
      </w:pPr>
      <w:r>
        <w:rPr>
          <w:rFonts w:ascii="Times New Roman" w:cs="Times New Roman" w:eastAsia="Times New Roman" w:hAnsi="Times New Roman"/>
          <w:sz w:val="17"/>
          <w:szCs w:val="17"/>
          <w:color w:val="auto"/>
        </w:rPr>
        <w:t>After manufacturing, our products are submitted to extensive characterization and QC testing plans performed by using either generic or properly developed analytical methods that are qualified or validated; this ensures the accuracy of the results generated and provides evidence of the quality of our products. In addition, our products are submitted to periodic, standardized and controlled stability programs aimed at demonstrating product stability during the storage period and thus assign an expiry date after which the products cannot longer be used; this, in addition to guaranteeing the safety of the products, supports the definition of a suitable supply chain that may encompass the distribution of the products in different continents.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Contractual framework</w:t>
      </w:r>
    </w:p>
    <w:p>
      <w:pPr>
        <w:spacing w:after="0" w:line="215" w:lineRule="exact"/>
        <w:rPr>
          <w:sz w:val="20"/>
          <w:szCs w:val="20"/>
          <w:color w:val="auto"/>
        </w:rPr>
      </w:pPr>
    </w:p>
    <w:p>
      <w:pPr>
        <w:ind w:left="40" w:right="119" w:firstLine="305"/>
        <w:spacing w:after="0" w:line="252" w:lineRule="auto"/>
        <w:rPr>
          <w:sz w:val="20"/>
          <w:szCs w:val="20"/>
          <w:color w:val="auto"/>
        </w:rPr>
      </w:pPr>
      <w:r>
        <w:rPr>
          <w:rFonts w:ascii="Times New Roman" w:cs="Times New Roman" w:eastAsia="Times New Roman" w:hAnsi="Times New Roman"/>
          <w:sz w:val="17"/>
          <w:szCs w:val="17"/>
          <w:color w:val="auto"/>
        </w:rPr>
        <w:t>We have established, with CMOs supplying and testing active pharmaceutical ingredients, drug substances or drug products under cGMP, quality agreements and master service agreements. Quality agreements define the quality standards required to develop, produce and supply the product, and also define the responsibilities related to the collaboration with regards to the quality related aspects. Manufacturing service agreements define the commercial and financial framework under which product manufacturing and testing under cGMP is performed. Any failure to achieve</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99" w:name="page100"/>
    <w:bookmarkEnd w:id="9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199"/>
        <w:spacing w:after="0" w:line="250" w:lineRule="auto"/>
        <w:rPr>
          <w:sz w:val="20"/>
          <w:szCs w:val="20"/>
          <w:color w:val="auto"/>
        </w:rPr>
      </w:pPr>
      <w:r>
        <w:rPr>
          <w:rFonts w:ascii="Times New Roman" w:cs="Times New Roman" w:eastAsia="Times New Roman" w:hAnsi="Times New Roman"/>
          <w:sz w:val="17"/>
          <w:szCs w:val="17"/>
          <w:color w:val="auto"/>
        </w:rPr>
        <w:t>and maintain compliance with the laws, regulations and standards, suspension of the manufacturing of our product candidates or withdrawals of cGMP permissions, which would adversely affect our business and reputation, are defined in the master service agreements and quality agreements. The risk that any third-party providers may breach the agreements they have with us because of factors beyond our control and the possibility that they may also terminate or refuse to renew their agreements because of their own financial difficulties or business priorities, potentially at a time that is costly or otherwise inconvenient for us, is managed by us with constant investments toward maintaining reserve stocks and in-depth process know-how. The latter is supported by continuous in-house process development and production activities of small-scale/research grade materials, which may offer the chance to rapidly identify alternative contract manufacturers to whom the manufacturing process could be transferred providing continuity for the clinical study. Finally, our contracts may also offer us limited remedies.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Interaction with CMOs</w:t>
      </w:r>
    </w:p>
    <w:p>
      <w:pPr>
        <w:spacing w:after="0" w:line="215" w:lineRule="exact"/>
        <w:rPr>
          <w:sz w:val="20"/>
          <w:szCs w:val="20"/>
          <w:color w:val="auto"/>
        </w:rPr>
      </w:pPr>
    </w:p>
    <w:p>
      <w:pPr>
        <w:ind w:left="40" w:right="439" w:firstLine="305"/>
        <w:spacing w:after="0" w:line="258" w:lineRule="auto"/>
        <w:rPr>
          <w:sz w:val="20"/>
          <w:szCs w:val="20"/>
          <w:color w:val="auto"/>
        </w:rPr>
      </w:pPr>
      <w:r>
        <w:rPr>
          <w:rFonts w:ascii="Times New Roman" w:cs="Times New Roman" w:eastAsia="Times New Roman" w:hAnsi="Times New Roman"/>
          <w:sz w:val="17"/>
          <w:szCs w:val="17"/>
          <w:color w:val="auto"/>
        </w:rPr>
        <w:t>Finally, our partnerships with CMOs are managed through an efficient project management platform in which teams are formed with subject matter experts representing key functions from both parties. Meetings occur either through virtual on-line conferences aimed at updating short-term actions or face-to-face conferences when mid- to long-term development plans are discussed.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Government regulation and our regulatory department</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Our regulatory department has a strong culture of regulatory compliance, operating under three guiding principles, to:</w:t>
      </w:r>
    </w:p>
    <w:p>
      <w:pPr>
        <w:spacing w:after="0" w:line="211" w:lineRule="exact"/>
        <w:rPr>
          <w:sz w:val="20"/>
          <w:szCs w:val="20"/>
          <w:color w:val="auto"/>
        </w:rPr>
      </w:pPr>
    </w:p>
    <w:p>
      <w:pPr>
        <w:ind w:left="680" w:hanging="305"/>
        <w:spacing w:after="0"/>
        <w:tabs>
          <w:tab w:leader="none" w:pos="68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constructive regulatory strategy for development products;</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ensure smooth regulatory approvals by anticipating hurdles; and</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build confidence with regulators by continuous communication.</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QA group is included within the regulatory department with the mission to:</w:t>
      </w:r>
    </w:p>
    <w:p>
      <w:pPr>
        <w:spacing w:after="0" w:line="211" w:lineRule="exact"/>
        <w:rPr>
          <w:sz w:val="20"/>
          <w:szCs w:val="20"/>
          <w:color w:val="auto"/>
        </w:rPr>
      </w:pPr>
    </w:p>
    <w:p>
      <w:pPr>
        <w:ind w:left="680" w:hanging="305"/>
        <w:spacing w:after="0"/>
        <w:tabs>
          <w:tab w:leader="none" w:pos="68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and maintain a corporate quality management system; and</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ensure cGCP, cGMP, cGLP and current Good Distribution Practice (cGDP) compliance.</w:t>
      </w:r>
    </w:p>
    <w:p>
      <w:pPr>
        <w:spacing w:after="0" w:line="211" w:lineRule="exact"/>
        <w:rPr>
          <w:sz w:val="20"/>
          <w:szCs w:val="20"/>
          <w:color w:val="auto"/>
        </w:rPr>
      </w:pPr>
    </w:p>
    <w:p>
      <w:pPr>
        <w:ind w:left="40" w:right="119" w:firstLine="305"/>
        <w:spacing w:after="0" w:line="249" w:lineRule="auto"/>
        <w:rPr>
          <w:sz w:val="20"/>
          <w:szCs w:val="20"/>
          <w:color w:val="auto"/>
        </w:rPr>
      </w:pPr>
      <w:r>
        <w:rPr>
          <w:rFonts w:ascii="Times New Roman" w:cs="Times New Roman" w:eastAsia="Times New Roman" w:hAnsi="Times New Roman"/>
          <w:sz w:val="17"/>
          <w:szCs w:val="17"/>
          <w:color w:val="auto"/>
        </w:rPr>
        <w:t>A science-driven approach is the cornerstone of our interactions and this has helped us to build and maintain a high level of trust with regulators. Besides informal conversations with the authorities, our regulatory department has conducted several pre-Investigational New Drug (pre-IND), Type B and Type C meetings with the FDA (ACI-24.060 for AD and DS, ACI-7104.056 and PI-2620) and Scientific Advice meetings, which are the European equivalent of pre-IND meetings (with the German Paul-Ehrlich-Institut, Swedish Medical Products Agency; UK Medicine &amp; Healthcare Products Regulatory Agency, Finnish Medicines Agency, the Spanish Agency of Medicines and Medical Devices and the EMA). Since 2008, our regulatory department has filed a total of 27 clinical trial applications in the EU (one each in Austria, Denmark and Poland, and two in Spain, three in Germany and the Netherlands, four in Finland and Sweden and eight in the UK) and 5 INDs in the U.S. Furthermore, our regulatory department successfully applied for and obtained FDA Fast Track designation for ACI-24.060 in AD. Given the seriousness of AD and public pressure for new therapeutics, we consider regulatory agencies to be important stakeholders in our product development strategies. We are committed to working closely with global regulatory authorities to adhere to and achieve the highest levels of safety and quality of our product candidates in the most timely and efficient manner. The transparency we have achieved and our goal of a close working relationship with the regulatory agencies, in particular the FDA and the EMA, are intended to facilitate expeditious execution through the regulatory approval process.</w:t>
      </w:r>
    </w:p>
    <w:p>
      <w:pPr>
        <w:spacing w:after="0" w:line="181" w:lineRule="exact"/>
        <w:rPr>
          <w:sz w:val="20"/>
          <w:szCs w:val="20"/>
          <w:color w:val="auto"/>
        </w:rPr>
      </w:pPr>
    </w:p>
    <w:p>
      <w:pPr>
        <w:ind w:left="40" w:right="179" w:firstLine="305"/>
        <w:spacing w:after="0" w:line="277" w:lineRule="auto"/>
        <w:rPr>
          <w:sz w:val="20"/>
          <w:szCs w:val="20"/>
          <w:color w:val="auto"/>
        </w:rPr>
      </w:pPr>
      <w:r>
        <w:rPr>
          <w:rFonts w:ascii="Times New Roman" w:cs="Times New Roman" w:eastAsia="Times New Roman" w:hAnsi="Times New Roman"/>
          <w:sz w:val="17"/>
          <w:szCs w:val="17"/>
          <w:color w:val="auto"/>
        </w:rPr>
        <w:t>Our regulatory department contains a QA group. As every quality issue ultimately requires regulatory involvement and input, this approach is intended to lead to rapid resolution of issues and ensure full compliance to satisfy both the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00" w:name="page101"/>
    <w:bookmarkEnd w:id="10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119"/>
        <w:spacing w:after="0" w:line="254" w:lineRule="auto"/>
        <w:rPr>
          <w:sz w:val="20"/>
          <w:szCs w:val="20"/>
          <w:color w:val="auto"/>
        </w:rPr>
      </w:pPr>
      <w:r>
        <w:rPr>
          <w:rFonts w:ascii="Times New Roman" w:cs="Times New Roman" w:eastAsia="Times New Roman" w:hAnsi="Times New Roman"/>
          <w:sz w:val="17"/>
          <w:szCs w:val="17"/>
          <w:color w:val="auto"/>
        </w:rPr>
        <w:t>reviewers and the inspectors at the government health authorities. Our regulatory department is charged with keeping our entire organization, directly or indirectly involved in the clinical study application process, in a state of “inspection readiness.” To that end, we ensure that the Trial Master Files are complete and regularly updated. Our QA group is also tasked with generating our annual quality plan. The personnel tasked with QA have issued a set of approximately 163 standard operating procedures and working instructions and continuously train the relevant staff. Our QA personnel conduct regular audits, including in-person audits of the contract manufacturers, contract research organizations and laboratories conducting primary endpoint analysis. In addition, we have a full-time QA documentation assistant to ensure good documentation practice and archiving.</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Product approval process</w:t>
      </w:r>
    </w:p>
    <w:p>
      <w:pPr>
        <w:spacing w:after="0" w:line="215" w:lineRule="exact"/>
        <w:rPr>
          <w:sz w:val="20"/>
          <w:szCs w:val="20"/>
          <w:color w:val="auto"/>
        </w:rPr>
      </w:pPr>
    </w:p>
    <w:p>
      <w:pPr>
        <w:ind w:left="40" w:right="139" w:firstLine="305"/>
        <w:spacing w:after="0" w:line="258" w:lineRule="auto"/>
        <w:rPr>
          <w:sz w:val="20"/>
          <w:szCs w:val="20"/>
          <w:color w:val="auto"/>
        </w:rPr>
      </w:pPr>
      <w:r>
        <w:rPr>
          <w:rFonts w:ascii="Times New Roman" w:cs="Times New Roman" w:eastAsia="Times New Roman" w:hAnsi="Times New Roman"/>
          <w:sz w:val="17"/>
          <w:szCs w:val="17"/>
          <w:color w:val="auto"/>
        </w:rPr>
        <w:t>The clinical studies, manufacturing, labeling, storage, distribution, record-keeping, advertising, promotion, import, export and marketing, among other things, of our product candidates are subject to extensive regulation by governmental authorities in the U.S. and other countries. The U.S. FDA, under the Federal Food, Drug, and Cosmetic Act (FDCA), regulates pharmaceutical products in the U.S. The steps required before a drug may be approved for marketing in the U.S. generally include:</w:t>
      </w:r>
    </w:p>
    <w:p>
      <w:pPr>
        <w:spacing w:after="0" w:line="175" w:lineRule="exact"/>
        <w:rPr>
          <w:sz w:val="20"/>
          <w:szCs w:val="20"/>
          <w:color w:val="auto"/>
        </w:rPr>
      </w:pPr>
    </w:p>
    <w:p>
      <w:pPr>
        <w:ind w:left="680" w:hanging="305"/>
        <w:spacing w:after="0"/>
        <w:tabs>
          <w:tab w:leader="none" w:pos="68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completion of preclinical laboratory tests and animal tests conducted under cGLP regulations;</w:t>
      </w:r>
    </w:p>
    <w:p>
      <w:pPr>
        <w:spacing w:after="0" w:line="210" w:lineRule="exact"/>
        <w:rPr>
          <w:rFonts w:ascii="Times New Roman" w:cs="Times New Roman" w:eastAsia="Times New Roman" w:hAnsi="Times New Roman"/>
          <w:sz w:val="17"/>
          <w:szCs w:val="17"/>
          <w:color w:val="auto"/>
        </w:rPr>
      </w:pPr>
    </w:p>
    <w:p>
      <w:pPr>
        <w:ind w:left="680" w:right="179" w:hanging="305"/>
        <w:spacing w:after="0" w:line="277" w:lineRule="auto"/>
        <w:tabs>
          <w:tab w:leader="none" w:pos="68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submission to the FDA of an IND application for human clinical testing, which must become effective before human clinical studies commence;</w:t>
      </w:r>
    </w:p>
    <w:p>
      <w:pPr>
        <w:spacing w:after="0" w:line="157" w:lineRule="exact"/>
        <w:rPr>
          <w:rFonts w:ascii="Times New Roman" w:cs="Times New Roman" w:eastAsia="Times New Roman" w:hAnsi="Times New Roman"/>
          <w:sz w:val="17"/>
          <w:szCs w:val="17"/>
          <w:color w:val="auto"/>
        </w:rPr>
      </w:pPr>
    </w:p>
    <w:p>
      <w:pPr>
        <w:ind w:left="680" w:right="179" w:hanging="305"/>
        <w:spacing w:after="0" w:line="277" w:lineRule="auto"/>
        <w:tabs>
          <w:tab w:leader="none" w:pos="68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 positive opinion from the ethics committee (Europe)/institutional review board (U.S.) to commence study on human subjects;</w:t>
      </w:r>
    </w:p>
    <w:p>
      <w:pPr>
        <w:spacing w:after="0" w:line="157" w:lineRule="exact"/>
        <w:rPr>
          <w:rFonts w:ascii="Times New Roman" w:cs="Times New Roman" w:eastAsia="Times New Roman" w:hAnsi="Times New Roman"/>
          <w:sz w:val="17"/>
          <w:szCs w:val="17"/>
          <w:color w:val="auto"/>
        </w:rPr>
      </w:pPr>
    </w:p>
    <w:p>
      <w:pPr>
        <w:ind w:left="680" w:right="119" w:hanging="305"/>
        <w:spacing w:after="0" w:line="277" w:lineRule="auto"/>
        <w:tabs>
          <w:tab w:leader="none" w:pos="68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performance of adequate and well-controlled human clinical studies to establish the safety and efficacy of the product candidate for each proposed indication and conducted in accordance with cGCP requirements;</w:t>
      </w:r>
    </w:p>
    <w:p>
      <w:pPr>
        <w:spacing w:after="0" w:line="157"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pre-NDA submission meeting with FDA (highly recommended);</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submission to the FDA of an NDA;</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FDA’s acceptance of the NDA;</w:t>
      </w:r>
    </w:p>
    <w:p>
      <w:pPr>
        <w:spacing w:after="0" w:line="210" w:lineRule="exact"/>
        <w:rPr>
          <w:rFonts w:ascii="Times New Roman" w:cs="Times New Roman" w:eastAsia="Times New Roman" w:hAnsi="Times New Roman"/>
          <w:sz w:val="17"/>
          <w:szCs w:val="17"/>
          <w:color w:val="auto"/>
        </w:rPr>
      </w:pPr>
    </w:p>
    <w:p>
      <w:pPr>
        <w:ind w:left="680" w:right="199" w:hanging="305"/>
        <w:spacing w:after="0" w:line="277" w:lineRule="auto"/>
        <w:tabs>
          <w:tab w:leader="none" w:pos="68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satisfactory completion of an FDA Pre-Approval Inspection (PAI) of the manufacturing facilities at which the product is made to assess compliance with cGMP requirements;</w:t>
      </w:r>
    </w:p>
    <w:p>
      <w:pPr>
        <w:spacing w:after="0" w:line="157"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FDA’s review and approval of an NDA prior to any commercial marketing or sale of the drug in the U.S.</w:t>
      </w:r>
    </w:p>
    <w:p>
      <w:pPr>
        <w:spacing w:after="0" w:line="210" w:lineRule="exact"/>
        <w:rPr>
          <w:rFonts w:ascii="Times New Roman" w:cs="Times New Roman" w:eastAsia="Times New Roman" w:hAnsi="Times New Roman"/>
          <w:sz w:val="17"/>
          <w:szCs w:val="17"/>
          <w:color w:val="auto"/>
        </w:rPr>
      </w:pPr>
    </w:p>
    <w:p>
      <w:pPr>
        <w:ind w:left="680" w:right="159" w:hanging="305"/>
        <w:spacing w:after="0" w:line="252" w:lineRule="auto"/>
        <w:tabs>
          <w:tab w:leader="none" w:pos="68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EU, a similar process exists as in the US, with the additional involvement of payors early on in the development process. Notably, the possibility of having parallel scientific advice from the EMA or Health Technology Assessment body whereby the payors are involved at the outset (Phase 2), which is intended to facilitate the design of clinical studies to target primarily populations with a high chance of obtaining reimbursement and accelerate the process of time to reimbursement.</w:t>
      </w:r>
    </w:p>
    <w:p>
      <w:pPr>
        <w:spacing w:after="0" w:line="179" w:lineRule="exact"/>
        <w:rPr>
          <w:sz w:val="20"/>
          <w:szCs w:val="20"/>
          <w:color w:val="auto"/>
        </w:rPr>
      </w:pPr>
    </w:p>
    <w:p>
      <w:pPr>
        <w:ind w:left="40" w:right="119" w:firstLine="305"/>
        <w:spacing w:after="0" w:line="251" w:lineRule="auto"/>
        <w:rPr>
          <w:sz w:val="20"/>
          <w:szCs w:val="20"/>
          <w:color w:val="auto"/>
        </w:rPr>
      </w:pPr>
      <w:r>
        <w:rPr>
          <w:rFonts w:ascii="Times New Roman" w:cs="Times New Roman" w:eastAsia="Times New Roman" w:hAnsi="Times New Roman"/>
          <w:sz w:val="17"/>
          <w:szCs w:val="17"/>
          <w:color w:val="auto"/>
        </w:rPr>
        <w:t>The FDA has various programs, including Fast Track, Priority review, Accelerated Approval and Breakthrough Therapy designation, which are intended to increase agency interactions, expedite or facilitate the process for reviewing product candidates, and/or provide for initial approval based on surrogate endpoints. We believe that one or more of our product candidates may qualify for some of these expedited development and review programs, as exemplified by the Fast Track designations granted for ACI-24.060, ACI-35.030 or PI-2620. However, even if a product candidate qualifies for one or more of these programs, the FDA may later decide that the product candidate no longer meets the conditions for qualification.</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01" w:name="page102"/>
    <w:bookmarkEnd w:id="10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79" w:firstLine="305"/>
        <w:spacing w:after="0" w:line="250" w:lineRule="auto"/>
        <w:rPr>
          <w:sz w:val="20"/>
          <w:szCs w:val="20"/>
          <w:color w:val="auto"/>
        </w:rPr>
      </w:pPr>
      <w:r>
        <w:rPr>
          <w:rFonts w:ascii="Times New Roman" w:cs="Times New Roman" w:eastAsia="Times New Roman" w:hAnsi="Times New Roman"/>
          <w:sz w:val="17"/>
          <w:szCs w:val="17"/>
          <w:color w:val="auto"/>
        </w:rPr>
        <w:t>The Fast Track program is intended to expedite or facilitate the process for reviewing new drugs that meet certain criteria. Specifically, new drugs are eligible for Fast Track designation if they are designed to treat a serious or life-threatening condition and demonstrate the potential to address unmet medical needs for the condition. Fast Track designation applies to the combination of the product and the specific indication for which it is being studied. The sponsor of a new drug may request the FDA to designate the drug as a Fast Track product at any time during the clinical development of the product. AD, for example, meets both pre-requisites—it is life-threatening and constitutes an unmet medical need. Unique to a Fast Track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85" w:lineRule="exact"/>
        <w:rPr>
          <w:sz w:val="20"/>
          <w:szCs w:val="20"/>
          <w:color w:val="auto"/>
        </w:rPr>
      </w:pPr>
    </w:p>
    <w:p>
      <w:pPr>
        <w:ind w:left="40" w:right="79" w:firstLine="305"/>
        <w:spacing w:after="0" w:line="265" w:lineRule="auto"/>
        <w:rPr>
          <w:sz w:val="20"/>
          <w:szCs w:val="20"/>
          <w:color w:val="auto"/>
        </w:rPr>
      </w:pPr>
      <w:r>
        <w:rPr>
          <w:rFonts w:ascii="Times New Roman" w:cs="Times New Roman" w:eastAsia="Times New Roman" w:hAnsi="Times New Roman"/>
          <w:sz w:val="16"/>
          <w:szCs w:val="16"/>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it provides a significant improvement in the treatment, diagnosis or prevention of a disease compared with marketed products. The FDA will attempt to direct additional resources to the evaluation of an application for a new drug designated for Priority Review to facilitate the review. Additionally, a product may be eligible for the Accelerated Approval program. Product candidates that are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receiving Accelerated Approval perform adequate and well-controlled post-marketing clinical studies. Failure to conduct required post-approval trials, or the inability to confirm a clinical benefit during post-marketing trials, may allow the FDA to withdraw the drug from the market on an expedited basis. In addition, as a condition for Accelerated Approval the FDA currently requires pre-approval of promotional materials, which could adversely impact the timing of the commercial launch of the product. The Fast Track, Priority Review and Accelerated Approval programs do not change the standards for approval but may expedite the development or approval process.</w:t>
      </w:r>
    </w:p>
    <w:p>
      <w:pPr>
        <w:spacing w:after="0" w:line="176" w:lineRule="exact"/>
        <w:rPr>
          <w:sz w:val="20"/>
          <w:szCs w:val="20"/>
          <w:color w:val="auto"/>
        </w:rPr>
      </w:pPr>
    </w:p>
    <w:p>
      <w:pPr>
        <w:ind w:left="40" w:right="59" w:firstLine="305"/>
        <w:spacing w:after="0" w:line="249" w:lineRule="auto"/>
        <w:rPr>
          <w:sz w:val="20"/>
          <w:szCs w:val="20"/>
          <w:color w:val="auto"/>
        </w:rPr>
      </w:pPr>
      <w:r>
        <w:rPr>
          <w:rFonts w:ascii="Times New Roman" w:cs="Times New Roman" w:eastAsia="Times New Roman" w:hAnsi="Times New Roman"/>
          <w:sz w:val="17"/>
          <w:szCs w:val="17"/>
          <w:color w:val="auto"/>
        </w:rPr>
        <w:t>The Food and Drug Administration Safety and Innovation Act of 2012 also amended the FDCA to require the FDA to expedite the development and review of a breakthrough therapy. A drug can be designated as a breakthrough therapy if it is intended to treat a serious or life-threatening disease or condition and preliminary clinical evidence indicates that it may demonstrate substantial improvement over existing therapies in one or more clinically significant endpoints. A sponsor may request that a drug be designated as a breakthrough therapy at any time during the clinical development of the product. If so designated, the FDA shall act to expedite the development and review of the product’s marketing application, including by meeting with the sponsor throughout the product’s development, providing timely advice to the sponsor to ensure that the development program to gather nonclinical and clinical data is as efficient as practicable, involving senior managers and experienced review staff in a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w:t>
      </w:r>
    </w:p>
    <w:p>
      <w:pPr>
        <w:spacing w:after="0" w:line="180" w:lineRule="exact"/>
        <w:rPr>
          <w:sz w:val="20"/>
          <w:szCs w:val="20"/>
          <w:color w:val="auto"/>
        </w:rPr>
      </w:pPr>
    </w:p>
    <w:p>
      <w:pPr>
        <w:ind w:left="40" w:right="99" w:firstLine="305"/>
        <w:spacing w:after="0" w:line="256" w:lineRule="auto"/>
        <w:rPr>
          <w:sz w:val="20"/>
          <w:szCs w:val="20"/>
          <w:color w:val="auto"/>
        </w:rPr>
      </w:pPr>
      <w:r>
        <w:rPr>
          <w:rFonts w:ascii="Times New Roman" w:cs="Times New Roman" w:eastAsia="Times New Roman" w:hAnsi="Times New Roman"/>
          <w:sz w:val="17"/>
          <w:szCs w:val="17"/>
          <w:color w:val="auto"/>
        </w:rPr>
        <w:t>The testing and approval process requires substantial time, effort and financial resources, and the receipt and timing of any approval is uncertain. Given this paradigm, AD has been given Life-Threatening Disease status by the FDA and therefore AD therapies are eligible for the expanded access program for investigational drugs and other pathways such as Breakthrough Therapy, Accelerated Approval and Priority Review. Additionally, a single well-designed, well-conducted, pivotal clinical study could be sufficient to trigger market approval pending a successful PAI.</w:t>
      </w:r>
    </w:p>
    <w:p>
      <w:pPr>
        <w:spacing w:after="0" w:line="176" w:lineRule="exact"/>
        <w:rPr>
          <w:sz w:val="20"/>
          <w:szCs w:val="20"/>
          <w:color w:val="auto"/>
        </w:rPr>
      </w:pPr>
    </w:p>
    <w:p>
      <w:pPr>
        <w:ind w:left="40" w:right="339" w:firstLine="305"/>
        <w:spacing w:after="0" w:line="253" w:lineRule="auto"/>
        <w:rPr>
          <w:sz w:val="20"/>
          <w:szCs w:val="20"/>
          <w:color w:val="auto"/>
        </w:rPr>
      </w:pPr>
      <w:r>
        <w:rPr>
          <w:rFonts w:ascii="Times New Roman" w:cs="Times New Roman" w:eastAsia="Times New Roman" w:hAnsi="Times New Roman"/>
          <w:sz w:val="17"/>
          <w:szCs w:val="17"/>
          <w:color w:val="auto"/>
        </w:rPr>
        <w:t>Preclinical studies include laboratory evaluations of the product candidate, as well as animal studies to assess the potential safety and efficacy of the product candidate. The results of the preclinical studies, together with manufacturing information and analytical data, are submitted to the FDA as part of the IND, which must become effective before clinical studies may be commenced. The IND will automatically become effective 30 days after receipt by the FDA,</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02" w:name="page103"/>
    <w:bookmarkEnd w:id="10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179"/>
        <w:spacing w:after="0" w:line="277" w:lineRule="auto"/>
        <w:rPr>
          <w:sz w:val="20"/>
          <w:szCs w:val="20"/>
          <w:color w:val="auto"/>
        </w:rPr>
      </w:pPr>
      <w:r>
        <w:rPr>
          <w:rFonts w:ascii="Times New Roman" w:cs="Times New Roman" w:eastAsia="Times New Roman" w:hAnsi="Times New Roman"/>
          <w:sz w:val="17"/>
          <w:szCs w:val="17"/>
          <w:color w:val="auto"/>
        </w:rPr>
        <w:t>unless the FDA raises concerns or questions about the conduct of the studies as outlined in the IND prior to that time. In this case, the IND sponsor and the FDA must resolve any outstanding concerns before clinical studies can proceed.</w:t>
      </w:r>
    </w:p>
    <w:p>
      <w:pPr>
        <w:spacing w:after="0" w:line="158" w:lineRule="exact"/>
        <w:rPr>
          <w:sz w:val="20"/>
          <w:szCs w:val="20"/>
          <w:color w:val="auto"/>
        </w:rPr>
      </w:pPr>
    </w:p>
    <w:p>
      <w:pPr>
        <w:ind w:left="40" w:right="79" w:firstLine="305"/>
        <w:spacing w:after="0" w:line="249" w:lineRule="auto"/>
        <w:rPr>
          <w:sz w:val="20"/>
          <w:szCs w:val="20"/>
          <w:color w:val="auto"/>
        </w:rPr>
      </w:pPr>
      <w:r>
        <w:rPr>
          <w:rFonts w:ascii="Times New Roman" w:cs="Times New Roman" w:eastAsia="Times New Roman" w:hAnsi="Times New Roman"/>
          <w:sz w:val="17"/>
          <w:szCs w:val="17"/>
          <w:color w:val="auto"/>
        </w:rPr>
        <w:t>Clinical studies involve the administration of the product candidates to healthy volunteers or patients with the disease to be treated under the supervision of a qualified principal investigator. Clinical studies are conducted under protocols detailing, among other things, the objectives of the study, the parameters to be used in monitoring safety and the efficacy criteria to be evaluated. A protocol for each clinical study and any subsequent protocol amendments must be submitted to the FDA as part of the IND. Further, each clinical study must be reviewed and approved by an independent IRB, either centrally or individually at each institution at which the clinical study will be conducted. The IRB will consider, among other things, ethical factors, the safety of human subjects and the possible liability of the institution. There are also requirements governing the reporting of ongoing clinical studies and clinical study results to public registries. The FDA, the IRB or the clinical study sponsor may suspend or terminate clinical studies at any time on various grounds, including a finding that the subjects or patients are being exposed to an unacceptable health risk. Additionally, some clinical studies are overseen by an independent group of qualified experts organized by the clinical study sponsor, known as a Data Safety Monitoring Board/Committee. This group provides authorization for whether or not a study may move forward at designated checkpoints based on access to certain data from the study. We may also suspend or terminate a clinical study based on evolving business objectives and/or competitive climate.</w:t>
      </w:r>
    </w:p>
    <w:p>
      <w:pPr>
        <w:spacing w:after="0" w:line="181" w:lineRule="exact"/>
        <w:rPr>
          <w:sz w:val="20"/>
          <w:szCs w:val="20"/>
          <w:color w:val="auto"/>
        </w:rPr>
      </w:pPr>
    </w:p>
    <w:p>
      <w:pPr>
        <w:ind w:left="40" w:right="139" w:firstLine="305"/>
        <w:spacing w:after="0" w:line="277" w:lineRule="auto"/>
        <w:rPr>
          <w:sz w:val="20"/>
          <w:szCs w:val="20"/>
          <w:color w:val="auto"/>
        </w:rPr>
      </w:pPr>
      <w:r>
        <w:rPr>
          <w:rFonts w:ascii="Times New Roman" w:cs="Times New Roman" w:eastAsia="Times New Roman" w:hAnsi="Times New Roman"/>
          <w:sz w:val="17"/>
          <w:szCs w:val="17"/>
          <w:color w:val="auto"/>
        </w:rPr>
        <w:t>Clinical studies are typically conducted in three sequential phases prior to approval, but the phases may overlap. These phases generally include the following:</w:t>
      </w:r>
    </w:p>
    <w:p>
      <w:pPr>
        <w:spacing w:after="0" w:line="158" w:lineRule="exact"/>
        <w:rPr>
          <w:sz w:val="20"/>
          <w:szCs w:val="20"/>
          <w:color w:val="auto"/>
        </w:rPr>
      </w:pPr>
    </w:p>
    <w:p>
      <w:pPr>
        <w:jc w:val="both"/>
        <w:ind w:left="40" w:right="539" w:firstLine="305"/>
        <w:spacing w:after="0" w:line="263" w:lineRule="auto"/>
        <w:rPr>
          <w:sz w:val="20"/>
          <w:szCs w:val="20"/>
          <w:color w:val="auto"/>
        </w:rPr>
      </w:pPr>
      <w:r>
        <w:rPr>
          <w:rFonts w:ascii="Times New Roman" w:cs="Times New Roman" w:eastAsia="Times New Roman" w:hAnsi="Times New Roman"/>
          <w:sz w:val="17"/>
          <w:szCs w:val="17"/>
          <w:color w:val="auto"/>
        </w:rPr>
        <w:t>Phase 1. Phase 1 clinical studies represent the initial introduction of a product candidate into human subjects, frequently healthy volunteers. In Phase 1, the product candidate is usually tested for safety, including adverse effects, dosage tolerance, absorption, distribution, metabolism, excretion and pharmacodynamics.</w:t>
      </w:r>
    </w:p>
    <w:p>
      <w:pPr>
        <w:spacing w:after="0" w:line="170" w:lineRule="exact"/>
        <w:rPr>
          <w:sz w:val="20"/>
          <w:szCs w:val="20"/>
          <w:color w:val="auto"/>
        </w:rPr>
      </w:pPr>
    </w:p>
    <w:p>
      <w:pPr>
        <w:ind w:left="40" w:right="279" w:firstLine="305"/>
        <w:spacing w:after="0" w:line="255" w:lineRule="auto"/>
        <w:rPr>
          <w:sz w:val="20"/>
          <w:szCs w:val="20"/>
          <w:color w:val="auto"/>
        </w:rPr>
      </w:pPr>
      <w:r>
        <w:rPr>
          <w:rFonts w:ascii="Times New Roman" w:cs="Times New Roman" w:eastAsia="Times New Roman" w:hAnsi="Times New Roman"/>
          <w:sz w:val="17"/>
          <w:szCs w:val="17"/>
          <w:color w:val="auto"/>
        </w:rPr>
        <w:t>Phase 2. Phase 2 clinical studies usually involve studies in a limited patient population to (i) evaluate the efficacy of the product candidate for specific indications, (ii) determine dosage tolerance and optimal dosage, and (iii) identify possible adverse effects and safety risks.</w:t>
      </w:r>
    </w:p>
    <w:p>
      <w:pPr>
        <w:spacing w:after="0" w:line="176" w:lineRule="exact"/>
        <w:rPr>
          <w:sz w:val="20"/>
          <w:szCs w:val="20"/>
          <w:color w:val="auto"/>
        </w:rPr>
      </w:pPr>
    </w:p>
    <w:p>
      <w:pPr>
        <w:jc w:val="both"/>
        <w:ind w:left="40" w:right="159" w:firstLine="305"/>
        <w:spacing w:after="0" w:line="263" w:lineRule="auto"/>
        <w:rPr>
          <w:sz w:val="20"/>
          <w:szCs w:val="20"/>
          <w:color w:val="auto"/>
        </w:rPr>
      </w:pPr>
      <w:r>
        <w:rPr>
          <w:rFonts w:ascii="Times New Roman" w:cs="Times New Roman" w:eastAsia="Times New Roman" w:hAnsi="Times New Roman"/>
          <w:sz w:val="17"/>
          <w:szCs w:val="17"/>
          <w:color w:val="auto"/>
        </w:rPr>
        <w:t>Phase 3. If a product candidate is found to be potentially effective and to have an acceptable safety profile in Phase 2 studies, the clinical study program will be expanded to Phase 3 clinical studies to further demonstrate clinical efficacy, optimal dosage and safety within an expanded patient population at geographically dispersed clinical study sites.</w:t>
      </w:r>
    </w:p>
    <w:p>
      <w:pPr>
        <w:spacing w:after="0" w:line="170" w:lineRule="exact"/>
        <w:rPr>
          <w:sz w:val="20"/>
          <w:szCs w:val="20"/>
          <w:color w:val="auto"/>
        </w:rPr>
      </w:pPr>
    </w:p>
    <w:p>
      <w:pPr>
        <w:ind w:left="40" w:right="299" w:firstLine="305"/>
        <w:spacing w:after="0" w:line="253" w:lineRule="auto"/>
        <w:rPr>
          <w:sz w:val="20"/>
          <w:szCs w:val="20"/>
          <w:color w:val="auto"/>
        </w:rPr>
      </w:pPr>
      <w:r>
        <w:rPr>
          <w:rFonts w:ascii="Times New Roman" w:cs="Times New Roman" w:eastAsia="Times New Roman" w:hAnsi="Times New Roman"/>
          <w:sz w:val="17"/>
          <w:szCs w:val="17"/>
          <w:color w:val="auto"/>
        </w:rPr>
        <w:t>Phase 4. Phase 4 clinical studies are conducted after approval to gain additional experience from the treatment of patients in the intended therapeutic indication and to document a clinical benefit in the case of drugs approved under Accelerated Approval regulations, or when otherwise requested by the FDA in the form of post-marketing requirements or commitments. Failure to conduct any required Phase 4 clinical studies promptly could result in withdrawal of approval.</w:t>
      </w:r>
    </w:p>
    <w:p>
      <w:pPr>
        <w:spacing w:after="0" w:line="178" w:lineRule="exact"/>
        <w:rPr>
          <w:sz w:val="20"/>
          <w:szCs w:val="20"/>
          <w:color w:val="auto"/>
        </w:rPr>
      </w:pPr>
    </w:p>
    <w:p>
      <w:pPr>
        <w:ind w:left="40" w:right="79" w:firstLine="305"/>
        <w:spacing w:after="0" w:line="256" w:lineRule="auto"/>
        <w:rPr>
          <w:sz w:val="20"/>
          <w:szCs w:val="20"/>
          <w:color w:val="auto"/>
        </w:rPr>
      </w:pPr>
      <w:r>
        <w:rPr>
          <w:rFonts w:ascii="Times New Roman" w:cs="Times New Roman" w:eastAsia="Times New Roman" w:hAnsi="Times New Roman"/>
          <w:sz w:val="17"/>
          <w:szCs w:val="17"/>
          <w:color w:val="auto"/>
        </w:rPr>
        <w:t>The results of preclinical studies and clinical studies, including negative or ambiguous results as well as positive findings, together with detailed information on the manufacture, composition and quality of the product, are submitted to the FDA in the form of an NDA requesting approval to market the product. The NDA must be accompanied by a significant user-fee payment. The FDA has substantial discretion in the approval process and may refuse to accept any application or decide that the data is insufficient for approval and require additional preclinical, clinical or other studies.</w:t>
      </w:r>
    </w:p>
    <w:p>
      <w:pPr>
        <w:spacing w:after="0" w:line="176" w:lineRule="exact"/>
        <w:rPr>
          <w:sz w:val="20"/>
          <w:szCs w:val="20"/>
          <w:color w:val="auto"/>
        </w:rPr>
      </w:pPr>
    </w:p>
    <w:p>
      <w:pPr>
        <w:ind w:left="40" w:right="59" w:firstLine="305"/>
        <w:spacing w:after="0" w:line="255" w:lineRule="auto"/>
        <w:rPr>
          <w:sz w:val="20"/>
          <w:szCs w:val="20"/>
          <w:color w:val="auto"/>
        </w:rPr>
      </w:pPr>
      <w:r>
        <w:rPr>
          <w:rFonts w:ascii="Times New Roman" w:cs="Times New Roman" w:eastAsia="Times New Roman" w:hAnsi="Times New Roman"/>
          <w:sz w:val="17"/>
          <w:szCs w:val="17"/>
          <w:color w:val="auto"/>
        </w:rPr>
        <w:t>We estimate that it generally takes 10 to 15 years, or possibly longer, to discover, develop and bring to market a new pharmaceutical or biopharmaceutical product in the U.S. Several years may be needed to complete each phase, including discovery, preclinical, Phase 1, 2 or 3, or marketing authorization.</w:t>
      </w:r>
    </w:p>
    <w:p>
      <w:pPr>
        <w:spacing w:after="0" w:line="176" w:lineRule="exact"/>
        <w:rPr>
          <w:sz w:val="20"/>
          <w:szCs w:val="20"/>
          <w:color w:val="auto"/>
        </w:rPr>
      </w:pPr>
    </w:p>
    <w:p>
      <w:pPr>
        <w:ind w:left="40" w:right="119" w:firstLine="305"/>
        <w:spacing w:after="0" w:line="256" w:lineRule="auto"/>
        <w:rPr>
          <w:sz w:val="20"/>
          <w:szCs w:val="20"/>
          <w:color w:val="auto"/>
        </w:rPr>
      </w:pPr>
      <w:r>
        <w:rPr>
          <w:rFonts w:ascii="Times New Roman" w:cs="Times New Roman" w:eastAsia="Times New Roman" w:hAnsi="Times New Roman"/>
          <w:sz w:val="17"/>
          <w:szCs w:val="17"/>
          <w:color w:val="auto"/>
        </w:rPr>
        <w:t>In addition, under the Pediatric Research Equity Act,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Recently, the Food and Drug Administration Safety and Innovation Act (FDASIA), which was signed into law on July 9, 2012, amended the FDCA. The FDASIA requires that a sponsor who is planning to submit a marketing application for a drug</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03" w:name="page104"/>
    <w:bookmarkEnd w:id="10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99"/>
        <w:spacing w:after="0" w:line="250" w:lineRule="auto"/>
        <w:rPr>
          <w:sz w:val="20"/>
          <w:szCs w:val="20"/>
          <w:color w:val="auto"/>
        </w:rPr>
      </w:pPr>
      <w:r>
        <w:rPr>
          <w:rFonts w:ascii="Times New Roman" w:cs="Times New Roman" w:eastAsia="Times New Roman" w:hAnsi="Times New Roman"/>
          <w:sz w:val="17"/>
          <w:szCs w:val="17"/>
          <w:color w:val="auto"/>
        </w:rPr>
        <w:t>or biological product that includes a new active ingredient, new indication, new dosage form, new dosing regimen or new route of administration submit an initial Pediatric Study Plan within 60 days of an end-of-Phase-2 meeting or as may be agreed between the sponsor and the FDA. The initial Pediatric Study Plan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Pediatric Study Plan. A sponsor can submit amendments to an agreed-upon initial Pediatric Study Plan at any time if changes to the pediatric plan need to be considered based on data collected from nonclinical studies, early-phase clinical trials, and/or other clinical development programs.</w:t>
      </w:r>
    </w:p>
    <w:p>
      <w:pPr>
        <w:spacing w:after="0" w:line="185" w:lineRule="exact"/>
        <w:rPr>
          <w:sz w:val="20"/>
          <w:szCs w:val="20"/>
          <w:color w:val="auto"/>
        </w:rPr>
      </w:pPr>
    </w:p>
    <w:p>
      <w:pPr>
        <w:ind w:left="40" w:right="79" w:firstLine="305"/>
        <w:spacing w:after="0" w:line="250" w:lineRule="auto"/>
        <w:rPr>
          <w:sz w:val="20"/>
          <w:szCs w:val="20"/>
          <w:color w:val="auto"/>
        </w:rPr>
      </w:pPr>
      <w:r>
        <w:rPr>
          <w:rFonts w:ascii="Times New Roman" w:cs="Times New Roman" w:eastAsia="Times New Roman" w:hAnsi="Times New Roman"/>
          <w:sz w:val="17"/>
          <w:szCs w:val="17"/>
          <w:color w:val="auto"/>
        </w:rPr>
        <w:t>The cost of preparing and submitting an NDA is substantial. Under federal law, NDAs are subject to substantial application user fees and the sponsor of an approved NDA is also subject to annual product and establishment user fees. Under the Prescription Drug User Fee Act (PDUFA), as amended, each NDA must be accompanied by a user fee. The FDA adjusts the PDUFA user fees on an annual basis. PDUFA VI eliminates fees for supplements as well as for establishments, although applicants will be assessed for annual prescription drug program fees for prescription drug products, rather than the prescription drug product fee assessed under the previous iteration of PDUFA. According to the FDA’s fee schedule for the 2025 FY, the user fee for each NDA application requiring clinical data is USD 4,682,003 and the annual program fee is USD 442,213.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185" w:lineRule="exact"/>
        <w:rPr>
          <w:sz w:val="20"/>
          <w:szCs w:val="20"/>
          <w:color w:val="auto"/>
        </w:rPr>
      </w:pPr>
    </w:p>
    <w:p>
      <w:pPr>
        <w:ind w:left="40" w:right="119" w:firstLine="305"/>
        <w:spacing w:after="0" w:line="249" w:lineRule="auto"/>
        <w:rPr>
          <w:sz w:val="20"/>
          <w:szCs w:val="20"/>
          <w:color w:val="auto"/>
        </w:rPr>
      </w:pPr>
      <w:r>
        <w:rPr>
          <w:rFonts w:ascii="Times New Roman" w:cs="Times New Roman" w:eastAsia="Times New Roman" w:hAnsi="Times New Roman"/>
          <w:sz w:val="17"/>
          <w:szCs w:val="17"/>
          <w:color w:val="auto"/>
        </w:rPr>
        <w:t>Once the NDA submission has been submitted, the FDA has 60 days after submission of the NDA to conduct an initial review to determine whether it is sufficient to accept for filing. Under the PDUFA, the FDA sets a goal date by which it plans to complete its review. This is typically 12 months from the date of submission of the NDA application. The review process is often extended by FDA requests for additional information or clarification. Before approving an NDA, the FDA will inspect the facilities at which the product is manufactured and will not approve the product unless the manufacturing facility complies with cGMP regulations and may also inspect clinical study sites for integrity of the data supporting safety and efficacy. The FDA may also convene an advisory committee of external experts to provide input on certain review issues relating to risk, benefit and interpretation of clinical study data. The FDA is not bound by the recommendations of an advisory committee, but generally follows such recommendations in making its decisions. The FDA may delay approval of an NDA if applicable regulatory criteria are not satisfied and/or the FDA requires additional testing or information. The FDA may require post-marketing testing and surveillance to monitor safety or efficacy of a product.</w:t>
      </w:r>
    </w:p>
    <w:p>
      <w:pPr>
        <w:spacing w:after="0" w:line="180" w:lineRule="exact"/>
        <w:rPr>
          <w:sz w:val="20"/>
          <w:szCs w:val="20"/>
          <w:color w:val="auto"/>
        </w:rPr>
      </w:pPr>
    </w:p>
    <w:p>
      <w:pPr>
        <w:ind w:left="40" w:right="99" w:firstLine="305"/>
        <w:spacing w:after="0" w:line="250" w:lineRule="auto"/>
        <w:rPr>
          <w:sz w:val="20"/>
          <w:szCs w:val="20"/>
          <w:color w:val="auto"/>
        </w:rPr>
      </w:pPr>
      <w:r>
        <w:rPr>
          <w:rFonts w:ascii="Times New Roman" w:cs="Times New Roman" w:eastAsia="Times New Roman" w:hAnsi="Times New Roman"/>
          <w:sz w:val="17"/>
          <w:szCs w:val="17"/>
          <w:color w:val="auto"/>
        </w:rPr>
        <w:t>After the FDA evaluates the NDA and conducts inspections of the manufacturing facilities where the drug product and/or its API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may require additional clinical data and/or an additional pivotal Phase 3 clinical study or studies, and/or other significant, expensive and time-consuming requirements related to clinical studies, preclinical studies or manufacturing. Even if such additional information is submitted, the FDA may ultimately decide that the NDA does not satisfy the criteria for approval. The FDA could also approve the NDA with a Risk Evaluation and Mitigation Strategy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one or more post-marketing studies or clinical studies. Such post-marketing testing may include Phase 4 clinical studies and surveillance to further assess and monitor the product’s safety and effectiveness after commercialization.</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Special protocol assessment</w:t>
      </w:r>
    </w:p>
    <w:p>
      <w:pPr>
        <w:spacing w:after="0" w:line="215" w:lineRule="exact"/>
        <w:rPr>
          <w:sz w:val="20"/>
          <w:szCs w:val="20"/>
          <w:color w:val="auto"/>
        </w:rPr>
      </w:pPr>
    </w:p>
    <w:p>
      <w:pPr>
        <w:ind w:left="40" w:right="419" w:firstLine="305"/>
        <w:spacing w:after="0" w:line="277" w:lineRule="auto"/>
        <w:rPr>
          <w:sz w:val="20"/>
          <w:szCs w:val="20"/>
          <w:color w:val="auto"/>
        </w:rPr>
      </w:pPr>
      <w:r>
        <w:rPr>
          <w:rFonts w:ascii="Times New Roman" w:cs="Times New Roman" w:eastAsia="Times New Roman" w:hAnsi="Times New Roman"/>
          <w:sz w:val="17"/>
          <w:szCs w:val="17"/>
          <w:color w:val="auto"/>
        </w:rPr>
        <w:t>The FDA and an IND sponsor may agree in writing on the design and size of clinical studies intended to form the primary basis of a claim of effectiveness in an NDA. This process is known as a special protocol assessment (SPA).</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04" w:name="page105"/>
    <w:bookmarkEnd w:id="10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79"/>
        <w:spacing w:after="0" w:line="250" w:lineRule="auto"/>
        <w:rPr>
          <w:sz w:val="20"/>
          <w:szCs w:val="20"/>
          <w:color w:val="auto"/>
        </w:rPr>
      </w:pPr>
      <w:r>
        <w:rPr>
          <w:rFonts w:ascii="Times New Roman" w:cs="Times New Roman" w:eastAsia="Times New Roman" w:hAnsi="Times New Roman"/>
          <w:sz w:val="17"/>
          <w:szCs w:val="17"/>
          <w:color w:val="auto"/>
        </w:rPr>
        <w:t>Upon a specific request for a SPA by an IND sponsor, the FDA will evaluate the protocol. If an SPA agreement is reached, however, it is not a guarantee of product approval by the FDA or approval of any permissible claims about the product. The FDA retains significant latitude and discretion in interpreting the terms of the SPA agreement and the data and results from any study that is the subject of the SPA agreement. In particular, the SPA agreement is not binding on the FDA if previously unrecognized public health concerns later come to light, other new scientific concerns regarding product safety or efficacy arise, the IND sponsor fails to comply with the agreed-upon protocol, or the relevant data, assumptions, or information provided by the IND sponsor when requesting a SPA agreement change, are found to be false statements or misstatements, or are found to omit relevant facts. An SPA agreement may not be changed by the sponsor or the FDA after the study begins except with the written agreement of the sponsor and the FDA, or if the FDA determines that a substantial scientific issue essential to determining the safety or effectiveness of the drug was identified after the testing began.</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Orphan-drug designation</w:t>
      </w:r>
    </w:p>
    <w:p>
      <w:pPr>
        <w:spacing w:after="0" w:line="215" w:lineRule="exact"/>
        <w:rPr>
          <w:sz w:val="20"/>
          <w:szCs w:val="20"/>
          <w:color w:val="auto"/>
        </w:rPr>
      </w:pPr>
    </w:p>
    <w:p>
      <w:pPr>
        <w:ind w:left="40" w:right="139" w:firstLine="305"/>
        <w:spacing w:after="0" w:line="251" w:lineRule="auto"/>
        <w:rPr>
          <w:sz w:val="20"/>
          <w:szCs w:val="20"/>
          <w:color w:val="auto"/>
        </w:rPr>
      </w:pPr>
      <w:r>
        <w:rPr>
          <w:rFonts w:ascii="Times New Roman" w:cs="Times New Roman" w:eastAsia="Times New Roman" w:hAnsi="Times New Roman"/>
          <w:sz w:val="17"/>
          <w:szCs w:val="17"/>
          <w:color w:val="auto"/>
        </w:rPr>
        <w:t>Under the Orphan Drug Act, the FDA may grant orphan designation to a drug or biological product intended to treat a rare disease or condition, which is a disease or condition that either affects fewer than 200,000 individuals in the U.S., or affects more than 200,000 individuals in the U.S. but there is no reasonable expectation that the cost of developing and making a drug product available in the U.S. for this type of disease or condition will be recovered from sales of the product in the U.S. Orphan-product designation must be requested before submitting an NDA. After the FDA grants orphan-product designation, the identity of the therapeutic agent and its potential orphan use are disclosed publicly by the FDA. Orphan-product designation does not convey any advantage in or shorten the duration of the regulatory review and approval process.</w:t>
      </w:r>
    </w:p>
    <w:p>
      <w:pPr>
        <w:spacing w:after="0" w:line="181" w:lineRule="exact"/>
        <w:rPr>
          <w:sz w:val="20"/>
          <w:szCs w:val="20"/>
          <w:color w:val="auto"/>
        </w:rPr>
      </w:pPr>
    </w:p>
    <w:p>
      <w:pPr>
        <w:ind w:left="40" w:right="99" w:firstLine="305"/>
        <w:spacing w:after="0" w:line="249" w:lineRule="auto"/>
        <w:rPr>
          <w:sz w:val="20"/>
          <w:szCs w:val="20"/>
          <w:color w:val="auto"/>
        </w:rPr>
      </w:pPr>
      <w:r>
        <w:rPr>
          <w:rFonts w:ascii="Times New Roman" w:cs="Times New Roman" w:eastAsia="Times New Roman" w:hAnsi="Times New Roman"/>
          <w:sz w:val="17"/>
          <w:szCs w:val="17"/>
          <w:color w:val="auto"/>
        </w:rPr>
        <w:t>If a product that has orphan designation subsequently receives the first FDA approval for the disease or condition for which it has such designation, the product is entitled to orphan-product exclusivity, which means that the FDA cannot approve any other applications to market the same drug or biological product for the same indication for 7 years, except in limited circumstances, such as a showing of clinical superiority to the product with orphan exclusivity. The designation of such drug also entitles a party to financial incentives such as opportunities for grant funding toward clinical study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Orphan-product exclusivity also could block the approval of one of our products for 7 years if a competitor obtains approval of the same drug or biological product as defined by the FDA or if our product candidate is determined to be contained within the competitor’s product for the same indication or disease. If a drug product designated as an orphan product receives marketing approval for an indication broader than what is designated, it may not be entitled to orphan-product exclusivity. Orphan-drug status in the EU has similar but not identical benefits in that jurisdiction.</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Disclosure of clinical trial information</w:t>
      </w:r>
    </w:p>
    <w:p>
      <w:pPr>
        <w:spacing w:after="0" w:line="215" w:lineRule="exact"/>
        <w:rPr>
          <w:sz w:val="20"/>
          <w:szCs w:val="20"/>
          <w:color w:val="auto"/>
        </w:rPr>
      </w:pPr>
    </w:p>
    <w:p>
      <w:pPr>
        <w:ind w:left="40" w:right="79" w:firstLine="305"/>
        <w:spacing w:after="0" w:line="250" w:lineRule="auto"/>
        <w:rPr>
          <w:sz w:val="20"/>
          <w:szCs w:val="20"/>
          <w:color w:val="auto"/>
        </w:rPr>
      </w:pPr>
      <w:r>
        <w:rPr>
          <w:rFonts w:ascii="Times New Roman" w:cs="Times New Roman" w:eastAsia="Times New Roman" w:hAnsi="Times New Roman"/>
          <w:sz w:val="17"/>
          <w:szCs w:val="17"/>
          <w:color w:val="auto"/>
        </w:rPr>
        <w:t>Sponsors of clinical trials (other than Phase 1 trials) of FDA-regulated products, including drugs, are required to register and disclose certain clinical trial information. Information related to the product, comparator, patient population, phase of investigation, trial sites and investigators and other aspects of the clinical trial is made public as part of the registration. Sponsors are also obligated to disclose the results of their clinical trials after completion. Disclosure of the results of certain trials may be delayed until the new product or new indication being studied has been approved. However, there are evolving rules and increasing requirements for publication of trial-related information, and it is possible that data and other information from trials involving drugs that never garner approval could be required to be disclosed in the future. In addition, publication policies of major medical journals mandate certain registration and disclosures as a pre-condition for potential publication, even when this is not presently mandated as a matter of law. Competitors may use this publicly available information to gain knowledge regarding the progress of development programs.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05" w:name="page106"/>
    <w:bookmarkEnd w:id="10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Post-approval requirements</w:t>
      </w:r>
    </w:p>
    <w:p>
      <w:pPr>
        <w:spacing w:after="0" w:line="215" w:lineRule="exact"/>
        <w:rPr>
          <w:sz w:val="20"/>
          <w:szCs w:val="20"/>
          <w:color w:val="auto"/>
        </w:rPr>
      </w:pPr>
    </w:p>
    <w:p>
      <w:pPr>
        <w:ind w:left="40" w:right="159" w:firstLine="305"/>
        <w:spacing w:after="0" w:line="255" w:lineRule="auto"/>
        <w:rPr>
          <w:sz w:val="20"/>
          <w:szCs w:val="20"/>
          <w:color w:val="auto"/>
        </w:rPr>
      </w:pPr>
      <w:r>
        <w:rPr>
          <w:rFonts w:ascii="Times New Roman" w:cs="Times New Roman" w:eastAsia="Times New Roman" w:hAnsi="Times New Roman"/>
          <w:sz w:val="17"/>
          <w:szCs w:val="17"/>
          <w:color w:val="auto"/>
        </w:rPr>
        <w:t>Drugs manufactured or distributed pursuant to FDA approvals are subject to pervasive and continuing regulation by the FDA, including, among other things, requirements relating to record-keeping, periodic reporting, product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user-fee requirements for any marketed products and the establishments at which such products are manufactured, as well as new application fees for supplemental applications with clinical data.</w:t>
      </w:r>
    </w:p>
    <w:p>
      <w:pPr>
        <w:spacing w:after="0" w:line="163" w:lineRule="exact"/>
        <w:rPr>
          <w:sz w:val="20"/>
          <w:szCs w:val="20"/>
          <w:color w:val="auto"/>
        </w:rPr>
      </w:pPr>
    </w:p>
    <w:p>
      <w:pPr>
        <w:ind w:left="40" w:right="139" w:firstLine="305"/>
        <w:spacing w:after="0" w:line="254" w:lineRule="auto"/>
        <w:rPr>
          <w:sz w:val="20"/>
          <w:szCs w:val="20"/>
          <w:color w:val="auto"/>
        </w:rPr>
      </w:pPr>
      <w:r>
        <w:rPr>
          <w:rFonts w:ascii="Times New Roman" w:cs="Times New Roman" w:eastAsia="Times New Roman" w:hAnsi="Times New Roman"/>
          <w:sz w:val="17"/>
          <w:szCs w:val="17"/>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areas of production and QC to maintain cGMP compliance.</w:t>
      </w:r>
    </w:p>
    <w:p>
      <w:pPr>
        <w:spacing w:after="0" w:line="164" w:lineRule="exact"/>
        <w:rPr>
          <w:sz w:val="20"/>
          <w:szCs w:val="20"/>
          <w:color w:val="auto"/>
        </w:rPr>
      </w:pPr>
    </w:p>
    <w:p>
      <w:pPr>
        <w:ind w:left="40" w:right="99" w:firstLine="305"/>
        <w:spacing w:after="0" w:line="255" w:lineRule="auto"/>
        <w:rPr>
          <w:sz w:val="20"/>
          <w:szCs w:val="20"/>
          <w:color w:val="auto"/>
        </w:rPr>
      </w:pPr>
      <w:r>
        <w:rPr>
          <w:rFonts w:ascii="Times New Roman" w:cs="Times New Roman" w:eastAsia="Times New Roman" w:hAnsi="Times New Roman"/>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AEs of unanticipated severity or frequency, or with manufacturing processes, or failure to comply with regulatory requirements, may result in revisions to the approved labeling to add new safety information, imposition of post-marketing studies or clinical studies to assess new safety risks, or imposition of distribution or other restrictions under a REMS program. Other potential consequences include, among other things:</w:t>
      </w:r>
    </w:p>
    <w:p>
      <w:pPr>
        <w:spacing w:after="0" w:line="175" w:lineRule="exact"/>
        <w:rPr>
          <w:sz w:val="20"/>
          <w:szCs w:val="20"/>
          <w:color w:val="auto"/>
        </w:rPr>
      </w:pPr>
    </w:p>
    <w:p>
      <w:pPr>
        <w:ind w:left="680" w:right="379" w:hanging="305"/>
        <w:spacing w:after="0" w:line="277" w:lineRule="auto"/>
        <w:tabs>
          <w:tab w:leader="none" w:pos="68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the marketing or manufacturing of the product, complete withdrawal of the product from the market or product recalls;</w:t>
      </w:r>
    </w:p>
    <w:p>
      <w:pPr>
        <w:spacing w:after="0" w:line="157"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fines, warning letters or holds on post-approval clinical studies;</w:t>
      </w:r>
    </w:p>
    <w:p>
      <w:pPr>
        <w:spacing w:after="0" w:line="210" w:lineRule="exact"/>
        <w:rPr>
          <w:rFonts w:ascii="Times New Roman" w:cs="Times New Roman" w:eastAsia="Times New Roman" w:hAnsi="Times New Roman"/>
          <w:sz w:val="17"/>
          <w:szCs w:val="17"/>
          <w:color w:val="auto"/>
        </w:rPr>
      </w:pPr>
    </w:p>
    <w:p>
      <w:pPr>
        <w:ind w:left="680" w:right="159" w:hanging="305"/>
        <w:spacing w:after="0" w:line="277" w:lineRule="auto"/>
        <w:tabs>
          <w:tab w:leader="none" w:pos="68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of the FDA to approve pending NDAs or supplements to approved NDAs, or suspension or revocation of product license approvals;</w:t>
      </w:r>
    </w:p>
    <w:p>
      <w:pPr>
        <w:spacing w:after="0" w:line="157"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seizure or detention, or refusal to permit the import or export of products; or</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injunctions or the imposition of civil or criminal penalties.</w:t>
      </w:r>
    </w:p>
    <w:p>
      <w:pPr>
        <w:spacing w:after="0" w:line="211" w:lineRule="exact"/>
        <w:rPr>
          <w:sz w:val="20"/>
          <w:szCs w:val="20"/>
          <w:color w:val="auto"/>
        </w:rPr>
      </w:pPr>
    </w:p>
    <w:p>
      <w:pPr>
        <w:ind w:left="40" w:right="99" w:firstLine="305"/>
        <w:spacing w:after="0" w:line="253" w:lineRule="auto"/>
        <w:rPr>
          <w:sz w:val="20"/>
          <w:szCs w:val="20"/>
          <w:color w:val="auto"/>
        </w:rPr>
      </w:pPr>
      <w:r>
        <w:rPr>
          <w:rFonts w:ascii="Times New Roman" w:cs="Times New Roman" w:eastAsia="Times New Roman" w:hAnsi="Times New Roman"/>
          <w:sz w:val="17"/>
          <w:szCs w:val="17"/>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Patent term restoration and marketing exclusivity</w:t>
      </w:r>
    </w:p>
    <w:p>
      <w:pPr>
        <w:spacing w:after="0" w:line="215" w:lineRule="exact"/>
        <w:rPr>
          <w:sz w:val="20"/>
          <w:szCs w:val="20"/>
          <w:color w:val="auto"/>
        </w:rPr>
      </w:pPr>
    </w:p>
    <w:p>
      <w:pPr>
        <w:ind w:left="40" w:right="99" w:firstLine="305"/>
        <w:spacing w:after="0" w:line="251" w:lineRule="auto"/>
        <w:rPr>
          <w:sz w:val="20"/>
          <w:szCs w:val="20"/>
          <w:color w:val="auto"/>
        </w:rPr>
      </w:pPr>
      <w:r>
        <w:rPr>
          <w:rFonts w:ascii="Times New Roman" w:cs="Times New Roman" w:eastAsia="Times New Roman" w:hAnsi="Times New Roman"/>
          <w:sz w:val="17"/>
          <w:szCs w:val="17"/>
          <w:color w:val="auto"/>
        </w:rPr>
        <w:t>Depending upon the timing, duration, and specifics of FDA approval of the use of our product candidates, some of our U.S. patents may be eligible for limited patent term extension under the Drug Price Competition and Patent Term Restoration Act of 1984, referred to as the Hatch-Waxman Act. The Hatch-Waxman Act permits a patent term to be extended up to 5 years as compensation for patent term effectively lost due to the FDA’s pre-market approval requirements. However, patent term restoration cannot extend the remaining term of a patent beyond a total of 14 years from the product’s approval date. The patent term restoration period is generally one-half of the time between the effective date of an IND and the submission date of an NDA, plus the time between the submission date of an NDA and the approval of that application, except that the review period is reduced by any time during which the applicant failed to</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06" w:name="page107"/>
    <w:bookmarkEnd w:id="10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7"/>
          <w:szCs w:val="17"/>
          <w:color w:val="auto"/>
        </w:rPr>
        <w:t>exercise due diligence. Only one patent applicable to an approved drug is eligible for the extension. Extensions are not granted as a matter of right and the extension must be applied for prior to expiration of the patent and within a 60-day period from the date the product is first approved for commercial marketing. The USPTO, in consultation with the FDA, reviews and approves the application for any patent term extension or restoration. Where a product contains multiple active ingredients, if any one active ingredient has not been previously approved, it can form the basis of an extension of patent term provided the patent claims that ingredient or the combination containing it.</w:t>
      </w:r>
    </w:p>
    <w:p>
      <w:pPr>
        <w:spacing w:after="0" w:line="175" w:lineRule="exact"/>
        <w:rPr>
          <w:sz w:val="20"/>
          <w:szCs w:val="20"/>
          <w:color w:val="auto"/>
        </w:rPr>
      </w:pPr>
    </w:p>
    <w:p>
      <w:pPr>
        <w:ind w:left="40" w:right="139" w:firstLine="305"/>
        <w:spacing w:after="0" w:line="255" w:lineRule="auto"/>
        <w:rPr>
          <w:sz w:val="20"/>
          <w:szCs w:val="20"/>
          <w:color w:val="auto"/>
        </w:rPr>
      </w:pPr>
      <w:r>
        <w:rPr>
          <w:rFonts w:ascii="Times New Roman" w:cs="Times New Roman" w:eastAsia="Times New Roman" w:hAnsi="Times New Roman"/>
          <w:sz w:val="17"/>
          <w:szCs w:val="17"/>
          <w:color w:val="auto"/>
        </w:rPr>
        <w:t>In the future, we may apply for patent term restoration for some of our presently owned patents to add patent life beyond their current expiration date, depending on the expected length of clinical studies and other factors involved in the submission of the relevant NDA; however, there can be no assurance that any such extension will be granted to us.</w:t>
      </w:r>
    </w:p>
    <w:p>
      <w:pPr>
        <w:spacing w:after="0" w:line="176" w:lineRule="exact"/>
        <w:rPr>
          <w:sz w:val="20"/>
          <w:szCs w:val="20"/>
          <w:color w:val="auto"/>
        </w:rPr>
      </w:pPr>
    </w:p>
    <w:p>
      <w:pPr>
        <w:ind w:left="40" w:right="79" w:firstLine="305"/>
        <w:spacing w:after="0" w:line="249" w:lineRule="auto"/>
        <w:rPr>
          <w:sz w:val="20"/>
          <w:szCs w:val="20"/>
          <w:color w:val="auto"/>
        </w:rPr>
      </w:pPr>
      <w:r>
        <w:rPr>
          <w:rFonts w:ascii="Times New Roman" w:cs="Times New Roman" w:eastAsia="Times New Roman" w:hAnsi="Times New Roman"/>
          <w:sz w:val="17"/>
          <w:szCs w:val="17"/>
          <w:color w:val="auto"/>
        </w:rPr>
        <w:t>The Biologics Price Competition and Innovation Act of 2009 provides up to 12 years of non-patent data exclusivity within the U.S. to the first applicant to gain approval of a Biologics License Application for a new biologic product that has not previously been approved by the FDA, which we refer to as a reference product. This 12-year data exclusivity does prohibit the FDA from approving a biosimilar or interchangeable product of such reference product until 12 years after the licensure of such reference product. In addition, the FDA will not accept a biosimilar or interchangeable product application for review until 4 years after the date of first licensure of such reference product. Under 21CFR314.108, 5 years’ exclusivity is also granted to new chemical entities that contain no active moiety that has been approved by the FDA under section 505(b). This market exclusivity bars the FDA from accepting for review any ANDA or 505(b)(2) application for a drug containing the same active moiety for (i) 5 years if an ANDA or 505(b)(2) application does not contain a paragraph IV certification to a listed patent, or (ii) 4 years if an ANDA or 505(b)(2) is submitted containing a paragraph IV certification to a listed patent. Moreover, pediatric exclusivity, if granted, may add 6 months of exclusivity if the reference product has been studied with respect to a pediatric indication in accordance with certain regulatory requirements. A reference product may also be granted 7 years of orphan-drug exclusivity for the treatment of a rare disease or condition under section 527(a) of FDCA, which would run in parallel with the 12 years of data exclusivity of the reference product, if applicable.</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Non-U.S. regulation</w:t>
      </w:r>
    </w:p>
    <w:p>
      <w:pPr>
        <w:spacing w:after="0" w:line="215" w:lineRule="exact"/>
        <w:rPr>
          <w:sz w:val="20"/>
          <w:szCs w:val="20"/>
          <w:color w:val="auto"/>
        </w:rPr>
      </w:pPr>
    </w:p>
    <w:p>
      <w:pPr>
        <w:ind w:left="40" w:right="119" w:firstLine="305"/>
        <w:spacing w:after="0" w:line="250" w:lineRule="auto"/>
        <w:rPr>
          <w:sz w:val="20"/>
          <w:szCs w:val="20"/>
          <w:color w:val="auto"/>
        </w:rPr>
      </w:pPr>
      <w:r>
        <w:rPr>
          <w:rFonts w:ascii="Times New Roman" w:cs="Times New Roman" w:eastAsia="Times New Roman" w:hAnsi="Times New Roman"/>
          <w:sz w:val="17"/>
          <w:szCs w:val="17"/>
          <w:color w:val="auto"/>
        </w:rPr>
        <w:t>In order to market any product outside of the U.S., we would need to comply with numerous and varying regulatory requirements of other countries and jurisdictions regarding quality, safety and efficacy, and governing, among other things, clinical studies, marketing authorization, commercial sales and distribution of our products. Whether or not we obtain FDA approval for a product, we would need to obtain the necessary approvals by the comparable foreign regulatory authorities before we can commence clinical studies or marketing of the product in foreign countries and jurisdictions. Although many of the issues discussed above with respect to the U.S. apply similarly in the context of the EU, the approval process varies between countries and jurisdictions and can involve additional product testing and additional administrative review periods, as described in greater detail below.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EU drug review approval</w:t>
      </w:r>
    </w:p>
    <w:p>
      <w:pPr>
        <w:spacing w:after="0" w:line="202" w:lineRule="exact"/>
        <w:rPr>
          <w:sz w:val="20"/>
          <w:szCs w:val="20"/>
          <w:color w:val="auto"/>
        </w:rPr>
      </w:pPr>
    </w:p>
    <w:p>
      <w:pPr>
        <w:ind w:left="40" w:right="59" w:firstLine="305"/>
        <w:spacing w:after="0" w:line="255" w:lineRule="auto"/>
        <w:rPr>
          <w:sz w:val="20"/>
          <w:szCs w:val="20"/>
          <w:color w:val="auto"/>
        </w:rPr>
      </w:pPr>
      <w:r>
        <w:rPr>
          <w:rFonts w:ascii="Times New Roman" w:cs="Times New Roman" w:eastAsia="Times New Roman" w:hAnsi="Times New Roman"/>
          <w:sz w:val="17"/>
          <w:szCs w:val="17"/>
          <w:color w:val="auto"/>
        </w:rPr>
        <w:t>In the EEA, which is comprised of the 27 Member States of the EU plus Norway, Iceland and Liechtenstein medicinal products can only be commercialized after obtaining a marketing authorization. There are two types of marketing authorization: the Community Marketing Authorization, which is issued by the EC through the Centralized Procedure based on the opinion of the Committee for Medicinal Products for Human Use (CHMP), a body of the EMA, and which is valid throughout the entire territory of the EEA; and the National Marketing Authorization, which is issued by the competent authorities of the Member States of the EEA and authorizes marketing only in that Member State’s national territory and not the EEA as a whole.</w:t>
      </w:r>
    </w:p>
    <w:p>
      <w:pPr>
        <w:spacing w:after="0" w:line="175" w:lineRule="exact"/>
        <w:rPr>
          <w:sz w:val="20"/>
          <w:szCs w:val="20"/>
          <w:color w:val="auto"/>
        </w:rPr>
      </w:pPr>
    </w:p>
    <w:p>
      <w:pPr>
        <w:ind w:left="40" w:right="499" w:firstLine="305"/>
        <w:spacing w:after="0" w:line="255" w:lineRule="auto"/>
        <w:rPr>
          <w:sz w:val="20"/>
          <w:szCs w:val="20"/>
          <w:color w:val="auto"/>
        </w:rPr>
      </w:pPr>
      <w:r>
        <w:rPr>
          <w:rFonts w:ascii="Times New Roman" w:cs="Times New Roman" w:eastAsia="Times New Roman" w:hAnsi="Times New Roman"/>
          <w:sz w:val="17"/>
          <w:szCs w:val="17"/>
          <w:color w:val="auto"/>
        </w:rPr>
        <w:t>The Centralized Procedure is compulsory for human medicines for the treatment of human immunodeficiency virus or acquired immune deficiency syndrome (AIDS), cancer, diabetes, neurodegenerative diseases, autoimmune and other immune dysfunctions, and viral diseases; for veterinary medicines for use as growth or yield enhancers; for medicines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07" w:name="page108"/>
    <w:bookmarkEnd w:id="10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79"/>
        <w:spacing w:after="0" w:line="249" w:lineRule="auto"/>
        <w:rPr>
          <w:sz w:val="20"/>
          <w:szCs w:val="20"/>
          <w:color w:val="auto"/>
        </w:rPr>
      </w:pPr>
      <w:r>
        <w:rPr>
          <w:rFonts w:ascii="Times New Roman" w:cs="Times New Roman" w:eastAsia="Times New Roman" w:hAnsi="Times New Roman"/>
          <w:sz w:val="17"/>
          <w:szCs w:val="17"/>
          <w:color w:val="auto"/>
        </w:rPr>
        <w:t>derived from biotechnology processes, such as genetic engineering; for advanced-therapy medicines, such as gene-therapy, somatic cell-therapy or tissue-engineered medicines; and for officially designated ‘orphan medicines’ (medicines used for rare human diseases). The Centralized Procedure is optional for products containing a new active substance not yet authorized in the EEA, or for products that constitute a significant therapeutic, scientific or technical innovation, or for products that are in the interest of public health in the EU. The National Marketing Authorization is for products not falling within the mandatory scope of the Centralized Procedure. Where a product has already been authorized for marketing in a Member State of the EEA, this National Marketing Authorization can be recognized in another Member State through the Mutual Recognition Procedure. If the product has not received a National Marketing Authorization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marketing authorization is sought, one of which is selected by the applicant as the Reference Member State (RMS). If the RMS proposes to authorize the product, and the other Member States do not raise objections, the product is granted a National Marketing Authorization in all the Member States in which the authorization was sought. Before granting the marketing authorization, the EMA or the competent authorities of the Member States of the EEA assesses the risk–benefit balance of the product on the basis of scientific criteria concerning its quality, safety and efficacy.</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Regulation in the EU</w:t>
      </w:r>
    </w:p>
    <w:p>
      <w:pPr>
        <w:spacing w:after="0" w:line="215" w:lineRule="exact"/>
        <w:rPr>
          <w:sz w:val="20"/>
          <w:szCs w:val="20"/>
          <w:color w:val="auto"/>
        </w:rPr>
      </w:pPr>
    </w:p>
    <w:p>
      <w:pPr>
        <w:ind w:left="40" w:right="99" w:firstLine="305"/>
        <w:spacing w:after="0" w:line="258" w:lineRule="auto"/>
        <w:rPr>
          <w:sz w:val="20"/>
          <w:szCs w:val="20"/>
          <w:color w:val="auto"/>
        </w:rPr>
      </w:pPr>
      <w:r>
        <w:rPr>
          <w:rFonts w:ascii="Times New Roman" w:cs="Times New Roman" w:eastAsia="Times New Roman" w:hAnsi="Times New Roman"/>
          <w:sz w:val="17"/>
          <w:szCs w:val="17"/>
          <w:color w:val="auto"/>
        </w:rPr>
        <w:t>Product development, the regulatory approval process, and safety monitoring of medicinal products and their manufacturers in the EU proceed in much the same manner as they do in the U.S. Therefore, many of the issues discussed above apply similarly in the context of the EU. In addition, drugs are subject to the extensive price and reimbursement regulations of the various EU Member States.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Clinical studies</w:t>
      </w:r>
    </w:p>
    <w:p>
      <w:pPr>
        <w:spacing w:after="0" w:line="215" w:lineRule="exact"/>
        <w:rPr>
          <w:sz w:val="20"/>
          <w:szCs w:val="20"/>
          <w:color w:val="auto"/>
        </w:rPr>
      </w:pPr>
    </w:p>
    <w:p>
      <w:pPr>
        <w:ind w:left="40" w:right="79" w:firstLine="305"/>
        <w:spacing w:after="0" w:line="248" w:lineRule="auto"/>
        <w:rPr>
          <w:sz w:val="20"/>
          <w:szCs w:val="20"/>
          <w:color w:val="auto"/>
        </w:rPr>
      </w:pPr>
      <w:r>
        <w:rPr>
          <w:rFonts w:ascii="Times New Roman" w:cs="Times New Roman" w:eastAsia="Times New Roman" w:hAnsi="Times New Roman"/>
          <w:sz w:val="17"/>
          <w:szCs w:val="17"/>
          <w:color w:val="auto"/>
        </w:rPr>
        <w:t>As is the case in the U.S., the various phases of preclinical and clinical research in the EU are subject to significant regulatory controls. The new Clinical Trials Regulation (Regulation (EU) No 536/2014) came into force on 31 January 2022. The new Regulation repealed the Clinical Trials Directive (EC) No. 2001/20/EC and national implementing legislation in the EU Member States, which regulated clinical trials in the EU until the Regulation's entry into application. A transition period applies to new clinical trial submissions under the Regulation. New clinical trial applications could be submitted under the Clinical Trials Directive until 30 January 2023, after which all new clinical trial applications were required to be submitted under the Regulation. Ongoing clinical trials under the Clinical Trials Directive had until January 30, 2025 to transition to the Regulation. The Regulation, provides a system for the approval of clinical studies in the European Union via a single online platform known as the Clinical Trials Information System (CTIS) for approval to run a clinical trial in several European countries, making it more efficient to carry out such multinational trials. Under this system, a single application dossier is submitted through CTIS to all Concerned Member States (CMS) where it is intended to conduct the trial. Using a harmonized format, the dossier consists of two parts, Part I contains the more scientific documents, whereas Part II contains the national documents. The review and evaluation is coordinated by one of the Member States, referred to as the Reference Member State (RMS). The Reference Member State is responsible for the evaluation of Part I whereas Part II assessment will be conducted separately by each individual CMS for its own country, including the review by the Ethics Committee. A clinical trial may only be started after the positive assessment by the RMS, and the approval by each CMS. A clinical trial may only be undertaken if provision has been made for insurance or indemnity to cover the liability of the investigator or sponsor. In certain countries, the sponsor of a clinical trial has a strict (faultless) liability for any (direct or indirect) damage suffered by trial subjects. The sponsor of a clinical trial, or its legal representative, must be based in the EEA. European regulators and ethics committees also require the submission of AE reports during a study and a copy of the final study report.</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Marketing approval</w:t>
      </w:r>
    </w:p>
    <w:p>
      <w:pPr>
        <w:spacing w:after="0" w:line="215" w:lineRule="exact"/>
        <w:rPr>
          <w:sz w:val="20"/>
          <w:szCs w:val="20"/>
          <w:color w:val="auto"/>
        </w:rPr>
      </w:pPr>
    </w:p>
    <w:p>
      <w:pPr>
        <w:ind w:left="40" w:right="239" w:firstLine="305"/>
        <w:spacing w:after="0" w:line="255" w:lineRule="auto"/>
        <w:rPr>
          <w:sz w:val="20"/>
          <w:szCs w:val="20"/>
          <w:color w:val="auto"/>
        </w:rPr>
      </w:pPr>
      <w:r>
        <w:rPr>
          <w:rFonts w:ascii="Times New Roman" w:cs="Times New Roman" w:eastAsia="Times New Roman" w:hAnsi="Times New Roman"/>
          <w:sz w:val="17"/>
          <w:szCs w:val="17"/>
          <w:color w:val="auto"/>
        </w:rPr>
        <w:t>Marketing approvals under the EU regulatory system may be obtained through a centralized or decentralized procedure. The centralized procedure results in the grant of a single marketing authorization, which is valid for all (currently 27) EU Member States and the three European Free Trade Association (EFTA) members (Norway, Iceland and Liechtenstein).</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08" w:name="page109"/>
    <w:bookmarkEnd w:id="10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99" w:firstLine="305"/>
        <w:spacing w:after="0" w:line="255" w:lineRule="auto"/>
        <w:rPr>
          <w:sz w:val="20"/>
          <w:szCs w:val="20"/>
          <w:color w:val="auto"/>
        </w:rPr>
      </w:pPr>
      <w:r>
        <w:rPr>
          <w:rFonts w:ascii="Times New Roman" w:cs="Times New Roman" w:eastAsia="Times New Roman" w:hAnsi="Times New Roman"/>
          <w:sz w:val="17"/>
          <w:szCs w:val="17"/>
          <w:color w:val="auto"/>
        </w:rPr>
        <w:t>Pursuant to Regulation (EC) No. 726/2004, as amended, the centralized procedure is mandatory for drugs developed by means of specified biotechnological processes, advanced-therapy medicinal products, drugs for human use containing a new active substance for which the therapeutic indication is the treatment of specified diseases, including but not limited to AIDS, neurodegenerative disorders, auto-immune diseases and other immune dysfunctions, as well as drugs designated as orphan drugs. The CHMP also has the discretion to permit other products to use the centralized procedure if it considers them sufficiently innovative or they contain a new active substance.</w:t>
      </w:r>
    </w:p>
    <w:p>
      <w:pPr>
        <w:spacing w:after="0" w:line="175" w:lineRule="exact"/>
        <w:rPr>
          <w:sz w:val="20"/>
          <w:szCs w:val="20"/>
          <w:color w:val="auto"/>
        </w:rPr>
      </w:pPr>
    </w:p>
    <w:p>
      <w:pPr>
        <w:ind w:left="40" w:right="59" w:firstLine="305"/>
        <w:spacing w:after="0" w:line="252" w:lineRule="auto"/>
        <w:rPr>
          <w:sz w:val="20"/>
          <w:szCs w:val="20"/>
          <w:color w:val="auto"/>
        </w:rPr>
      </w:pPr>
      <w:r>
        <w:rPr>
          <w:rFonts w:ascii="Times New Roman" w:cs="Times New Roman" w:eastAsia="Times New Roman" w:hAnsi="Times New Roman"/>
          <w:sz w:val="17"/>
          <w:szCs w:val="17"/>
          <w:color w:val="auto"/>
        </w:rPr>
        <w:t>In the marketing authorization application, the applicant must properly and sufficiently demonstrate the quality, safety and efficacy of the drug. Under the centralized approval procedure, the CHMP, possibly in conjunction with other committees, is responsible for drawing up the opinion of the EMA on any matter concerning the admissibility of the files submitted in accordance with the centralized procedure, such as an opinion on the granting, variation, suspension or revocation of a marketing authorization, and pharmacovigilance.</w:t>
      </w:r>
    </w:p>
    <w:p>
      <w:pPr>
        <w:spacing w:after="0" w:line="179" w:lineRule="exact"/>
        <w:rPr>
          <w:sz w:val="20"/>
          <w:szCs w:val="20"/>
          <w:color w:val="auto"/>
        </w:rPr>
      </w:pPr>
    </w:p>
    <w:p>
      <w:pPr>
        <w:ind w:left="40" w:right="119" w:firstLine="305"/>
        <w:spacing w:after="0" w:line="251" w:lineRule="auto"/>
        <w:rPr>
          <w:sz w:val="20"/>
          <w:szCs w:val="20"/>
          <w:color w:val="auto"/>
        </w:rPr>
      </w:pPr>
      <w:r>
        <w:rPr>
          <w:rFonts w:ascii="Times New Roman" w:cs="Times New Roman" w:eastAsia="Times New Roman" w:hAnsi="Times New Roman"/>
          <w:sz w:val="17"/>
          <w:szCs w:val="17"/>
          <w:color w:val="auto"/>
        </w:rPr>
        <w:t>The CHMP and other committees are also responsible for providing guidelines and have published numerous guidelines that may apply to our product candidates. These guidelines provide additional guidance on the factors that the EMA will consider in relation to the development and evaluation of drug products and may include, among other things, the preclinical studies required in specific cases, the manufacturing and control information that should be submitted in a marketing authorization application, and the post-approval measures required to monitor patients and evaluate the long-term efficacy and potential adverse reactions. Although these guidelines are not legally binding, we believe that our compliance with them is likely to be necessary to gain approval for any of our product candidates.</w:t>
      </w:r>
    </w:p>
    <w:p>
      <w:pPr>
        <w:spacing w:after="0" w:line="181" w:lineRule="exact"/>
        <w:rPr>
          <w:sz w:val="20"/>
          <w:szCs w:val="20"/>
          <w:color w:val="auto"/>
        </w:rPr>
      </w:pPr>
    </w:p>
    <w:p>
      <w:pPr>
        <w:ind w:left="40" w:right="99" w:firstLine="305"/>
        <w:spacing w:after="0" w:line="251" w:lineRule="auto"/>
        <w:rPr>
          <w:sz w:val="20"/>
          <w:szCs w:val="20"/>
          <w:color w:val="auto"/>
        </w:rPr>
      </w:pPr>
      <w:r>
        <w:rPr>
          <w:rFonts w:ascii="Times New Roman" w:cs="Times New Roman" w:eastAsia="Times New Roman" w:hAnsi="Times New Roman"/>
          <w:sz w:val="17"/>
          <w:szCs w:val="17"/>
          <w:color w:val="auto"/>
        </w:rPr>
        <w:t>The maximum timeframe for the evaluation of a marketing authorization application by the CHMP under the centralized procedure is 210 days after receipt of a valid application. This period will be suspended until such time as the supplementary information requested by the CHMP has been provided by the applicant. Likewise, this time limit will be suspended for the time allowed for the applicant to prepare oral or written explanations. When an application is submitted for a marketing authorization in respect of a drug that is of major interest from the viewpoint of public health and in particular therapeutic innovation, the applicant may request an accelerated assessment procedure. If the CHMP accepts such a request, the time limit of 210 days will be reduced to 150 days, but it is possible that the CHMP can revert to the standard time limit for the centralized procedure if it considers that it is no longer appropriate to conduct an accelerated assessment.</w:t>
      </w:r>
    </w:p>
    <w:p>
      <w:pPr>
        <w:spacing w:after="0" w:line="179" w:lineRule="exact"/>
        <w:rPr>
          <w:sz w:val="20"/>
          <w:szCs w:val="20"/>
          <w:color w:val="auto"/>
        </w:rPr>
      </w:pPr>
    </w:p>
    <w:p>
      <w:pPr>
        <w:ind w:left="40" w:right="139" w:firstLine="305"/>
        <w:spacing w:after="0" w:line="252" w:lineRule="auto"/>
        <w:rPr>
          <w:sz w:val="20"/>
          <w:szCs w:val="20"/>
          <w:color w:val="auto"/>
        </w:rPr>
      </w:pPr>
      <w:r>
        <w:rPr>
          <w:rFonts w:ascii="Times New Roman" w:cs="Times New Roman" w:eastAsia="Times New Roman" w:hAnsi="Times New Roman"/>
          <w:sz w:val="17"/>
          <w:szCs w:val="17"/>
          <w:color w:val="auto"/>
        </w:rPr>
        <w:t>If the CHMP concludes that the quality, safety and efficacy of the product are sufficiently proven, it adopts a positive opinion. This is sent to the EC, which drafts a decision within approximately 67 days following the CHMP opinion. After consulting with the Member States, the EC adopts a decision and grants a marketing authorization, which is valid for the whole of the EEA. The marketing authorization may be subject to certain conditions, which may include, without limitation, the performance of post-authorization safety and/or efficacy studies.</w:t>
      </w:r>
    </w:p>
    <w:p>
      <w:pPr>
        <w:spacing w:after="0" w:line="179" w:lineRule="exact"/>
        <w:rPr>
          <w:sz w:val="20"/>
          <w:szCs w:val="20"/>
          <w:color w:val="auto"/>
        </w:rPr>
      </w:pPr>
    </w:p>
    <w:p>
      <w:pPr>
        <w:ind w:left="40" w:right="159" w:firstLine="305"/>
        <w:spacing w:after="0" w:line="250" w:lineRule="auto"/>
        <w:rPr>
          <w:sz w:val="20"/>
          <w:szCs w:val="20"/>
          <w:color w:val="auto"/>
        </w:rPr>
      </w:pPr>
      <w:r>
        <w:rPr>
          <w:rFonts w:ascii="Times New Roman" w:cs="Times New Roman" w:eastAsia="Times New Roman" w:hAnsi="Times New Roman"/>
          <w:sz w:val="17"/>
          <w:szCs w:val="17"/>
          <w:color w:val="auto"/>
        </w:rPr>
        <w:t>The EMA has various programs, including accelerated assessment, conditional approval and PRIority MEdicines (PRIME), which are intended to increase agency interactions, expedite or facilitate the process for reviewing product candidates, and/or provide for initial approval on the basis of surrogate endpoints. One or more of our product candidates may qualify for some of these expedited development and review programs. However, even if a product candidate qualifies for one or more of these programs, the EMA may later decide that the product candidate no longer meets the conditions for qualification. Eligibility to the PRIME scheme is limited to products considered to offer a major therapeutic advantage in populations with high unmet need. PRIME is a voluntary scheme aimed at enhancing interaction and early dialogue with developers of promising medicines through achieving the early appointment of the Rapporteur for the product, optimizing development plans and speeding up evaluation so these medicines can reach patients earlier. Products benefiting from PRIME can expect to be eligible for accelerated assessment at the time of application for a marketing authorization application.</w:t>
      </w:r>
    </w:p>
    <w:p>
      <w:pPr>
        <w:spacing w:after="0" w:line="185" w:lineRule="exact"/>
        <w:rPr>
          <w:sz w:val="20"/>
          <w:szCs w:val="20"/>
          <w:color w:val="auto"/>
        </w:rPr>
      </w:pPr>
    </w:p>
    <w:p>
      <w:pPr>
        <w:ind w:left="40" w:right="139" w:firstLine="305"/>
        <w:spacing w:after="0" w:line="252" w:lineRule="auto"/>
        <w:rPr>
          <w:sz w:val="20"/>
          <w:szCs w:val="20"/>
          <w:color w:val="auto"/>
        </w:rPr>
      </w:pPr>
      <w:r>
        <w:rPr>
          <w:rFonts w:ascii="Times New Roman" w:cs="Times New Roman" w:eastAsia="Times New Roman" w:hAnsi="Times New Roman"/>
          <w:sz w:val="17"/>
          <w:szCs w:val="17"/>
          <w:color w:val="auto"/>
        </w:rPr>
        <w:t>EU legislation also provides for a system of regulatory data and market exclusivity. According to Article 14(11) of Regulation (EC) No. 726/2004, as amended, and Article 10(1) of Directive 2001/83/EC, as amended, upon receiving marketing authorization, new chemical entities approved on the basis of a complete independent data package benefit from 8 years of data exclusivity and an additional 2 years of market exclusivity. Data exclusivity prevents regulatory authorities in the EU from referencing the innovator’s data to assess a generic (abbreviated) application. During the</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09" w:name="page110"/>
    <w:bookmarkEnd w:id="10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79"/>
        <w:spacing w:after="0" w:line="250" w:lineRule="auto"/>
        <w:rPr>
          <w:sz w:val="20"/>
          <w:szCs w:val="20"/>
          <w:color w:val="auto"/>
        </w:rPr>
      </w:pPr>
      <w:r>
        <w:rPr>
          <w:rFonts w:ascii="Times New Roman" w:cs="Times New Roman" w:eastAsia="Times New Roman" w:hAnsi="Times New Roman"/>
          <w:sz w:val="17"/>
          <w:szCs w:val="17"/>
          <w:color w:val="auto"/>
        </w:rPr>
        <w:t>additional 2-year period of market exclusivity, a generic marketing authorization can be submitted, and the innovator’s data may be referenced, but no generic medicinal product can be marketed until the expiration of the market exclusivity. The overall 10-year period will be extended to a maximum of 11 years if, during the first 8 years of those 10 years, the marketing authorization holder (MAH) obtains an authorization for one or more new therapeutic indications that, during the scientific evaluation prior to their authorization, are held to bring a significant clinical benefit in comparison with existing therapies. Even if a compound is considered to be a new chemical entity and the innovator can gain the period of data exclusivity, another company nevertheless could also market another version of the drug if such company obtained marketing authorization based on a marketing authorization application with a completely independent data package of pharmaceutical test, preclinical tests and clinical studies. However, products designated as orphan medicinal products enjoy, upon receiving marketing authorization, a period of 10 years of orphan market exclusivity. See also “—Orphan drug regulation” below. Depending upon the timing and duration of the EU marketing authorization process, products may be eligible for an SPC of up to 5 years’, pursuant to Regulation (EC) No. 469/2009. Such SPCs extend the rights under the basic patent for the drug.</w:t>
      </w:r>
    </w:p>
    <w:p>
      <w:pPr>
        <w:spacing w:after="0" w:line="184" w:lineRule="exact"/>
        <w:rPr>
          <w:sz w:val="20"/>
          <w:szCs w:val="20"/>
          <w:color w:val="auto"/>
        </w:rPr>
      </w:pPr>
    </w:p>
    <w:p>
      <w:pPr>
        <w:ind w:left="40" w:right="59" w:firstLine="305"/>
        <w:spacing w:after="0" w:line="251" w:lineRule="auto"/>
        <w:rPr>
          <w:sz w:val="20"/>
          <w:szCs w:val="20"/>
          <w:color w:val="auto"/>
        </w:rPr>
      </w:pPr>
      <w:r>
        <w:rPr>
          <w:rFonts w:ascii="Times New Roman" w:cs="Times New Roman" w:eastAsia="Times New Roman" w:hAnsi="Times New Roman"/>
          <w:sz w:val="17"/>
          <w:szCs w:val="17"/>
          <w:color w:val="auto"/>
        </w:rPr>
        <w:t>In the EU, the pediatric regulation [Regulation (EC) No 1901/2006 as amended] requires sponsors to submit a pediatric investigation plan at the end of Phase 1. This plan will provide the details of the quality, non-clinical and clinical studies required to support the authorization of a pediatric indication. Additional rules apply to medicinal products for pediatric use under Regulation (EC) No. 1901/2006. Potential incentives include a six-month extension of any supplementary protection certificate granted pursuant to Regulation (EC) No. 469/2009, but not in cases in which the relevant product is designated as an orphan medicinal product pursuant to Regulation (EC) No. 141/2000, as amended. Instead, a medicinal product designated as an orphan medicinal product may enjoy an extension of the 10-year market exclusivity period granted under Regulation (EC) No. 141/2000 to 12 years subject to the conditions applicable to orphan drugs.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Orphan drug regulation</w:t>
      </w:r>
    </w:p>
    <w:p>
      <w:pPr>
        <w:spacing w:after="0" w:line="215" w:lineRule="exact"/>
        <w:rPr>
          <w:sz w:val="20"/>
          <w:szCs w:val="20"/>
          <w:color w:val="auto"/>
        </w:rPr>
      </w:pPr>
    </w:p>
    <w:p>
      <w:pPr>
        <w:ind w:left="40" w:right="299" w:firstLine="305"/>
        <w:spacing w:after="0" w:line="262" w:lineRule="auto"/>
        <w:rPr>
          <w:sz w:val="20"/>
          <w:szCs w:val="20"/>
          <w:color w:val="auto"/>
        </w:rPr>
      </w:pPr>
      <w:r>
        <w:rPr>
          <w:rFonts w:ascii="Times New Roman" w:cs="Times New Roman" w:eastAsia="Times New Roman" w:hAnsi="Times New Roman"/>
          <w:sz w:val="17"/>
          <w:szCs w:val="17"/>
          <w:color w:val="auto"/>
        </w:rPr>
        <w:t>In the EU, Regulation (EC) No. 141/2000, as amended, states that a drug will be designated as an orphan drug if its sponsor can establish:</w:t>
      </w:r>
    </w:p>
    <w:p>
      <w:pPr>
        <w:spacing w:after="0" w:line="170" w:lineRule="exact"/>
        <w:rPr>
          <w:sz w:val="20"/>
          <w:szCs w:val="20"/>
          <w:color w:val="auto"/>
        </w:rPr>
      </w:pPr>
    </w:p>
    <w:p>
      <w:pPr>
        <w:ind w:left="680" w:right="219" w:hanging="305"/>
        <w:spacing w:after="0" w:line="256" w:lineRule="auto"/>
        <w:tabs>
          <w:tab w:leader="none" w:pos="68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it is intended for the diagnosis, prevention or treatment of a life-threatening or chronically debilitating condition affecting not more than 5 in 10,000 persons in the EU when the application is made, or that it is intended for the diagnosis, prevention or treatment of a life-threatening, seriously debilitating or serious and chronic condition in the EU and that without incentives it is unlikely that the marketing of the drug in the EU would generate sufficient return to justify the necessary investment; and</w:t>
      </w:r>
    </w:p>
    <w:p>
      <w:pPr>
        <w:spacing w:after="0" w:line="163" w:lineRule="exact"/>
        <w:rPr>
          <w:rFonts w:ascii="Times New Roman" w:cs="Times New Roman" w:eastAsia="Times New Roman" w:hAnsi="Times New Roman"/>
          <w:sz w:val="17"/>
          <w:szCs w:val="17"/>
          <w:color w:val="auto"/>
        </w:rPr>
      </w:pPr>
    </w:p>
    <w:p>
      <w:pPr>
        <w:ind w:left="680" w:right="339" w:hanging="305"/>
        <w:spacing w:after="0" w:line="263" w:lineRule="auto"/>
        <w:tabs>
          <w:tab w:leader="none" w:pos="68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there exists no satisfactory method of diagnosis, prevention or treatment of the condition in question that has been authorized in the EU or, if such method exists, that the drug will be of significant benefit to those affected by that condition.</w:t>
      </w:r>
    </w:p>
    <w:p>
      <w:pPr>
        <w:spacing w:after="0" w:line="170" w:lineRule="exact"/>
        <w:rPr>
          <w:sz w:val="20"/>
          <w:szCs w:val="20"/>
          <w:color w:val="auto"/>
        </w:rPr>
      </w:pPr>
    </w:p>
    <w:p>
      <w:pPr>
        <w:ind w:left="40" w:right="199" w:firstLine="305"/>
        <w:spacing w:after="0" w:line="263" w:lineRule="auto"/>
        <w:rPr>
          <w:sz w:val="20"/>
          <w:szCs w:val="20"/>
          <w:color w:val="auto"/>
        </w:rPr>
      </w:pPr>
      <w:r>
        <w:rPr>
          <w:rFonts w:ascii="Times New Roman" w:cs="Times New Roman" w:eastAsia="Times New Roman" w:hAnsi="Times New Roman"/>
          <w:sz w:val="17"/>
          <w:szCs w:val="17"/>
          <w:color w:val="auto"/>
        </w:rPr>
        <w:t>Regulation (EC) No. 847/2000 sets out further provisions for implementation of the criteria for designation of a drug as an orphan drug. An application for the designation of a drug as an orphan drug must be submitted at any stage of development of the drug before filing of a marketing authorization application.</w:t>
      </w:r>
    </w:p>
    <w:p>
      <w:pPr>
        <w:spacing w:after="0" w:line="170" w:lineRule="exact"/>
        <w:rPr>
          <w:sz w:val="20"/>
          <w:szCs w:val="20"/>
          <w:color w:val="auto"/>
        </w:rPr>
      </w:pPr>
    </w:p>
    <w:p>
      <w:pPr>
        <w:ind w:left="40" w:right="59" w:firstLine="305"/>
        <w:spacing w:after="0" w:line="251" w:lineRule="auto"/>
        <w:rPr>
          <w:sz w:val="20"/>
          <w:szCs w:val="20"/>
          <w:color w:val="auto"/>
        </w:rPr>
      </w:pPr>
      <w:r>
        <w:rPr>
          <w:rFonts w:ascii="Times New Roman" w:cs="Times New Roman" w:eastAsia="Times New Roman" w:hAnsi="Times New Roman"/>
          <w:sz w:val="17"/>
          <w:szCs w:val="17"/>
          <w:color w:val="auto"/>
        </w:rPr>
        <w:t>If an EU-wide community marketing authorization in respect of an orphan drug is granted or if all the EU Member States have granted marketing authorizations in accordance with the procedures for mutual recognition, the EU and the Member States will not, for a period of 10 years, accept another application for a marketing authorization, or grant a marketing authorization or accept an application to extend an existing marketing authorization, for the same therapeutic indication, in respect of a similar drug. This period may, however, be reduced to 6 years if, at the end of the fifth year, it is established, with respect to the drug concerned, that the criteria for orphan-drug designation are no longer met; in other words, when it is shown on the basis of available evidence that the product is sufficiently profitable not to justify</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10" w:name="page111"/>
    <w:bookmarkEnd w:id="11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659"/>
        <w:spacing w:after="0" w:line="277" w:lineRule="auto"/>
        <w:rPr>
          <w:sz w:val="20"/>
          <w:szCs w:val="20"/>
          <w:color w:val="auto"/>
        </w:rPr>
      </w:pPr>
      <w:r>
        <w:rPr>
          <w:rFonts w:ascii="Times New Roman" w:cs="Times New Roman" w:eastAsia="Times New Roman" w:hAnsi="Times New Roman"/>
          <w:sz w:val="17"/>
          <w:szCs w:val="17"/>
          <w:color w:val="auto"/>
        </w:rPr>
        <w:t>maintenance of market exclusivity. Notwithstanding the foregoing, a marketing authorization may be granted, for the same therapeutic indication, to a similar drug if:</w:t>
      </w:r>
    </w:p>
    <w:p>
      <w:pPr>
        <w:spacing w:after="0" w:line="158" w:lineRule="exact"/>
        <w:rPr>
          <w:sz w:val="20"/>
          <w:szCs w:val="20"/>
          <w:color w:val="auto"/>
        </w:rPr>
      </w:pPr>
    </w:p>
    <w:p>
      <w:pPr>
        <w:ind w:left="680" w:hanging="305"/>
        <w:spacing w:after="0"/>
        <w:tabs>
          <w:tab w:leader="none" w:pos="68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 of the marketing authorization for the original orphan drug has given its consent to the second applicant;</w:t>
      </w:r>
    </w:p>
    <w:p>
      <w:pPr>
        <w:spacing w:after="0" w:line="210" w:lineRule="exact"/>
        <w:rPr>
          <w:rFonts w:ascii="Times New Roman" w:cs="Times New Roman" w:eastAsia="Times New Roman" w:hAnsi="Times New Roman"/>
          <w:sz w:val="17"/>
          <w:szCs w:val="17"/>
          <w:color w:val="auto"/>
        </w:rPr>
      </w:pPr>
    </w:p>
    <w:p>
      <w:pPr>
        <w:ind w:left="680" w:right="119" w:hanging="305"/>
        <w:spacing w:after="0" w:line="277" w:lineRule="auto"/>
        <w:tabs>
          <w:tab w:leader="none" w:pos="68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 of the marketing authorization for the original orphan drug is unable to supply sufficient quantities of the drug; or</w:t>
      </w:r>
    </w:p>
    <w:p>
      <w:pPr>
        <w:spacing w:after="0" w:line="157" w:lineRule="exact"/>
        <w:rPr>
          <w:rFonts w:ascii="Times New Roman" w:cs="Times New Roman" w:eastAsia="Times New Roman" w:hAnsi="Times New Roman"/>
          <w:sz w:val="17"/>
          <w:szCs w:val="17"/>
          <w:color w:val="auto"/>
        </w:rPr>
      </w:pPr>
    </w:p>
    <w:p>
      <w:pPr>
        <w:ind w:left="680" w:right="399" w:hanging="305"/>
        <w:spacing w:after="0" w:line="277" w:lineRule="auto"/>
        <w:tabs>
          <w:tab w:leader="none" w:pos="68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second applicant can establish in the application that the second drug, although similar to the orphan drug already authorized, is safer, more effective or otherwise clinically superior.</w:t>
      </w:r>
    </w:p>
    <w:p>
      <w:pPr>
        <w:spacing w:after="0" w:line="158" w:lineRule="exact"/>
        <w:rPr>
          <w:sz w:val="20"/>
          <w:szCs w:val="20"/>
          <w:color w:val="auto"/>
        </w:rPr>
      </w:pPr>
    </w:p>
    <w:p>
      <w:pPr>
        <w:ind w:left="40" w:right="79" w:firstLine="305"/>
        <w:spacing w:after="0" w:line="277" w:lineRule="auto"/>
        <w:rPr>
          <w:sz w:val="20"/>
          <w:szCs w:val="20"/>
          <w:color w:val="auto"/>
        </w:rPr>
      </w:pPr>
      <w:r>
        <w:rPr>
          <w:rFonts w:ascii="Times New Roman" w:cs="Times New Roman" w:eastAsia="Times New Roman" w:hAnsi="Times New Roman"/>
          <w:sz w:val="17"/>
          <w:szCs w:val="17"/>
          <w:color w:val="auto"/>
        </w:rPr>
        <w:t>Other incentives available to orphan drugs in the EU include financial incentives such as a reduction of fees or fee waivers and protocol assistance. Orphan-drug designation does not shorten the duration of the regulatory review and approval process.</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Manufacturing and manufacturers’ license</w:t>
      </w:r>
    </w:p>
    <w:p>
      <w:pPr>
        <w:spacing w:after="0" w:line="215" w:lineRule="exact"/>
        <w:rPr>
          <w:sz w:val="20"/>
          <w:szCs w:val="20"/>
          <w:color w:val="auto"/>
        </w:rPr>
      </w:pPr>
    </w:p>
    <w:p>
      <w:pPr>
        <w:ind w:left="40" w:right="179" w:firstLine="305"/>
        <w:spacing w:after="0" w:line="266" w:lineRule="auto"/>
        <w:rPr>
          <w:sz w:val="20"/>
          <w:szCs w:val="20"/>
          <w:color w:val="auto"/>
        </w:rPr>
      </w:pPr>
      <w:r>
        <w:rPr>
          <w:rFonts w:ascii="Times New Roman" w:cs="Times New Roman" w:eastAsia="Times New Roman" w:hAnsi="Times New Roman"/>
          <w:sz w:val="16"/>
          <w:szCs w:val="16"/>
          <w:color w:val="auto"/>
        </w:rPr>
        <w:t>Pursuant to Directive 2003/94/EC, as transposed into the national laws of the Member States, the manufacturing of investigational medicinal products and approved drugs is subject to a separate manufacturer’s license and must be conducted in strict compliance with cGMP requirements, which mandate the methods, facilities and controls used in manufacturing, processing and packing of drugs to assure their safety and identity. Manufacturers must have at least one qualified person permanently and continuously at their disposal. The qualified person is ultimately responsible for certifying that each batch of finished product released onto the market has been manufactured in accordance with cGMP and the specifications set out in the marketing authorization or investigational medicinal product dossier. cGMP requirements are enforced through mandatory registration of facilities and inspections of those facilities. Failure to comply with these requirements could interrupt supply and result in delays, unanticipated costs and lost revenues, and subject the applicant to potential legal or regulatory action, including but not limited to warning letters, suspension of manufacturing, seizure of product, injunctive action, or possible civil and criminal penalties.</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Wholesale distribution and license</w:t>
      </w:r>
    </w:p>
    <w:p>
      <w:pPr>
        <w:spacing w:after="0" w:line="215" w:lineRule="exact"/>
        <w:rPr>
          <w:sz w:val="20"/>
          <w:szCs w:val="20"/>
          <w:color w:val="auto"/>
        </w:rPr>
      </w:pPr>
    </w:p>
    <w:p>
      <w:pPr>
        <w:ind w:left="40" w:right="399" w:firstLine="305"/>
        <w:spacing w:after="0" w:line="258" w:lineRule="auto"/>
        <w:rPr>
          <w:sz w:val="20"/>
          <w:szCs w:val="20"/>
          <w:color w:val="auto"/>
        </w:rPr>
      </w:pPr>
      <w:r>
        <w:rPr>
          <w:rFonts w:ascii="Times New Roman" w:cs="Times New Roman" w:eastAsia="Times New Roman" w:hAnsi="Times New Roman"/>
          <w:sz w:val="17"/>
          <w:szCs w:val="17"/>
          <w:color w:val="auto"/>
        </w:rPr>
        <w:t>Pursuant to Directive 2001/83/EC, the wholesale distribution of medicinal products is subject to the possession of an authorization to engage in activity as a wholesaler in medicinal products. Possession of a manufacturing authorization includes authorization to distribute by wholesale the medicinal products covered by that authorization. The distribution of medicinal products must comply with the principles and guidelines of cGDP.</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Advertising</w:t>
      </w:r>
    </w:p>
    <w:p>
      <w:pPr>
        <w:spacing w:after="0" w:line="215" w:lineRule="exact"/>
        <w:rPr>
          <w:sz w:val="20"/>
          <w:szCs w:val="20"/>
          <w:color w:val="auto"/>
        </w:rPr>
      </w:pPr>
    </w:p>
    <w:p>
      <w:pPr>
        <w:ind w:left="40" w:right="259" w:firstLine="305"/>
        <w:spacing w:after="0" w:line="251" w:lineRule="auto"/>
        <w:rPr>
          <w:sz w:val="20"/>
          <w:szCs w:val="20"/>
          <w:color w:val="auto"/>
        </w:rPr>
      </w:pPr>
      <w:r>
        <w:rPr>
          <w:rFonts w:ascii="Times New Roman" w:cs="Times New Roman" w:eastAsia="Times New Roman" w:hAnsi="Times New Roman"/>
          <w:sz w:val="17"/>
          <w:szCs w:val="17"/>
          <w:color w:val="auto"/>
        </w:rPr>
        <w:t xml:space="preserve">In the EU, the promotion of prescription medicines is subject to intense regulation and control, including EU and national legislation as well as self-regulatory codes (industry codes). Advertising legislation </w:t>
      </w:r>
      <w:r>
        <w:rPr>
          <w:rFonts w:ascii="Times New Roman" w:cs="Times New Roman" w:eastAsia="Times New Roman" w:hAnsi="Times New Roman"/>
          <w:sz w:val="17"/>
          <w:szCs w:val="17"/>
          <w:i w:val="1"/>
          <w:iCs w:val="1"/>
          <w:color w:val="auto"/>
        </w:rPr>
        <w:t>inter alia</w:t>
      </w:r>
      <w:r>
        <w:rPr>
          <w:rFonts w:ascii="Times New Roman" w:cs="Times New Roman" w:eastAsia="Times New Roman" w:hAnsi="Times New Roman"/>
          <w:sz w:val="17"/>
          <w:szCs w:val="17"/>
          <w:color w:val="auto"/>
        </w:rPr>
        <w:t xml:space="preserve"> includes a prohibition on direct-to-consumer advertising. All advertising of prescription medicines must be consistent with the product’s approved Summary of Product Characteristics, and must be factual, accurate, balanced and not misleading. Advertising of prescription medicines pre-approval or off-label is not allowed. Some jurisdictions require that all promotional materials for prescription medicines be subjected to prior review and approval, either internal or regulatory.</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Other regulatory requirements</w:t>
      </w:r>
    </w:p>
    <w:p>
      <w:pPr>
        <w:spacing w:after="0" w:line="215" w:lineRule="exact"/>
        <w:rPr>
          <w:sz w:val="20"/>
          <w:szCs w:val="20"/>
          <w:color w:val="auto"/>
        </w:rPr>
      </w:pPr>
    </w:p>
    <w:p>
      <w:pPr>
        <w:jc w:val="both"/>
        <w:ind w:left="40" w:right="299" w:firstLine="305"/>
        <w:spacing w:after="0" w:line="255" w:lineRule="auto"/>
        <w:rPr>
          <w:sz w:val="20"/>
          <w:szCs w:val="20"/>
          <w:color w:val="auto"/>
        </w:rPr>
      </w:pPr>
      <w:r>
        <w:rPr>
          <w:rFonts w:ascii="Times New Roman" w:cs="Times New Roman" w:eastAsia="Times New Roman" w:hAnsi="Times New Roman"/>
          <w:sz w:val="17"/>
          <w:szCs w:val="17"/>
          <w:color w:val="auto"/>
        </w:rPr>
        <w:t>An MAH for a medicinal product is legally obliged to fulfill a number of obligations by virtue of its status as an MAH. The MAH can delegate the performance of related tasks to third parties, such as distributors or marketing partners, provided that this delegation is appropriately documented and the MAH maintains legal responsibility and liability.</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11" w:name="page112"/>
    <w:bookmarkEnd w:id="11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i w:val="1"/>
          <w:iCs w:val="1"/>
          <w:color w:val="auto"/>
        </w:rPr>
        <w:t>The obligations of an MAH include the following:</w:t>
      </w:r>
    </w:p>
    <w:p>
      <w:pPr>
        <w:spacing w:after="0" w:line="211" w:lineRule="exact"/>
        <w:rPr>
          <w:sz w:val="20"/>
          <w:szCs w:val="20"/>
          <w:color w:val="auto"/>
        </w:rPr>
      </w:pPr>
    </w:p>
    <w:p>
      <w:pPr>
        <w:ind w:left="680" w:right="139" w:hanging="305"/>
        <w:spacing w:after="0" w:line="266" w:lineRule="auto"/>
        <w:tabs>
          <w:tab w:leader="none" w:pos="68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Manufacturing and batch release</w:t>
      </w:r>
      <w:r>
        <w:rPr>
          <w:rFonts w:ascii="Times New Roman" w:cs="Times New Roman" w:eastAsia="Times New Roman" w:hAnsi="Times New Roman"/>
          <w:sz w:val="17"/>
          <w:szCs w:val="17"/>
          <w:color w:val="auto"/>
        </w:rPr>
        <w:t>—MAHs should guarantee that all manufacturing operations comply with relevant laws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regulations, applicable GMPs, and the product specifications and manufacturing conditions set out in the marketing authorization, and that each batch of product is subject to appropriate release formalities.</w:t>
      </w:r>
    </w:p>
    <w:p>
      <w:pPr>
        <w:spacing w:after="0" w:line="162" w:lineRule="exact"/>
        <w:rPr>
          <w:rFonts w:ascii="Times New Roman" w:cs="Times New Roman" w:eastAsia="Times New Roman" w:hAnsi="Times New Roman"/>
          <w:sz w:val="17"/>
          <w:szCs w:val="17"/>
          <w:color w:val="auto"/>
        </w:rPr>
      </w:pPr>
    </w:p>
    <w:p>
      <w:pPr>
        <w:ind w:left="680" w:right="79" w:hanging="305"/>
        <w:spacing w:after="0" w:line="257" w:lineRule="auto"/>
        <w:tabs>
          <w:tab w:leader="none" w:pos="68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Availability and continuous supply</w:t>
      </w:r>
      <w:r>
        <w:rPr>
          <w:rFonts w:ascii="Times New Roman" w:cs="Times New Roman" w:eastAsia="Times New Roman" w:hAnsi="Times New Roman"/>
          <w:sz w:val="17"/>
          <w:szCs w:val="17"/>
          <w:color w:val="auto"/>
        </w:rPr>
        <w:t>—Pursuant to Directive 2001/83/EC, as transposed into the national laws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Member States, the MAH for a medicinal product and the distributors of the said medicinal product actually placed on the market in a Member State shall, within the limits of their responsibilities, ensure appropriate and continued supplies of that medical product to pharmacies and persons authorized to supply medicinal products so that the needs of patients in the Member State in question are covered.</w:t>
      </w:r>
    </w:p>
    <w:p>
      <w:pPr>
        <w:spacing w:after="0" w:line="159" w:lineRule="exact"/>
        <w:rPr>
          <w:rFonts w:ascii="Times New Roman" w:cs="Times New Roman" w:eastAsia="Times New Roman" w:hAnsi="Times New Roman"/>
          <w:sz w:val="17"/>
          <w:szCs w:val="17"/>
          <w:color w:val="auto"/>
        </w:rPr>
      </w:pPr>
    </w:p>
    <w:p>
      <w:pPr>
        <w:ind w:left="680" w:right="419" w:hanging="305"/>
        <w:spacing w:after="0" w:line="266" w:lineRule="auto"/>
        <w:tabs>
          <w:tab w:leader="none" w:pos="68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Pharmacovigilance</w:t>
      </w:r>
      <w:r>
        <w:rPr>
          <w:rFonts w:ascii="Times New Roman" w:cs="Times New Roman" w:eastAsia="Times New Roman" w:hAnsi="Times New Roman"/>
          <w:sz w:val="17"/>
          <w:szCs w:val="17"/>
          <w:color w:val="auto"/>
        </w:rPr>
        <w:t>—MAHs are obliged to establish and maintain a pharmacovigilance system, including a qualified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person responsible for oversight, to submit safety reports to the regulators and to comply with the good pharmacovigilance practice guidelines adopted by the EMA.</w:t>
      </w:r>
    </w:p>
    <w:p>
      <w:pPr>
        <w:spacing w:after="0" w:line="162" w:lineRule="exact"/>
        <w:rPr>
          <w:rFonts w:ascii="Times New Roman" w:cs="Times New Roman" w:eastAsia="Times New Roman" w:hAnsi="Times New Roman"/>
          <w:sz w:val="17"/>
          <w:szCs w:val="17"/>
          <w:color w:val="auto"/>
        </w:rPr>
      </w:pPr>
    </w:p>
    <w:p>
      <w:pPr>
        <w:ind w:left="680" w:right="399" w:hanging="305"/>
        <w:spacing w:after="0" w:line="257" w:lineRule="auto"/>
        <w:tabs>
          <w:tab w:leader="none" w:pos="68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Advertising and promotion</w:t>
      </w:r>
      <w:r>
        <w:rPr>
          <w:rFonts w:ascii="Times New Roman" w:cs="Times New Roman" w:eastAsia="Times New Roman" w:hAnsi="Times New Roman"/>
          <w:sz w:val="17"/>
          <w:szCs w:val="17"/>
          <w:color w:val="auto"/>
        </w:rPr>
        <w:t>—MAHs remain responsible for all advertising and promotion of their products, including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promotional activities by other companies or individuals on their behalf, and in some cases must conduct internal or regulatory pre-approval of promotional materials. Regulation in this area also covers interactions with healthcare practitioners and/or patient groups, and in some jurisdictions legal or self-regulatory obligations to disclose such interactions exist.</w:t>
      </w:r>
    </w:p>
    <w:p>
      <w:pPr>
        <w:spacing w:after="0" w:line="159" w:lineRule="exact"/>
        <w:rPr>
          <w:rFonts w:ascii="Times New Roman" w:cs="Times New Roman" w:eastAsia="Times New Roman" w:hAnsi="Times New Roman"/>
          <w:sz w:val="17"/>
          <w:szCs w:val="17"/>
          <w:color w:val="auto"/>
        </w:rPr>
      </w:pPr>
    </w:p>
    <w:p>
      <w:pPr>
        <w:ind w:left="680" w:right="699" w:hanging="305"/>
        <w:spacing w:after="0" w:line="282" w:lineRule="auto"/>
        <w:tabs>
          <w:tab w:leader="none" w:pos="68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Medical affairs/scientific service</w:t>
      </w:r>
      <w:r>
        <w:rPr>
          <w:rFonts w:ascii="Times New Roman" w:cs="Times New Roman" w:eastAsia="Times New Roman" w:hAnsi="Times New Roman"/>
          <w:sz w:val="17"/>
          <w:szCs w:val="17"/>
          <w:color w:val="auto"/>
        </w:rPr>
        <w:t>—MAHs are required to disseminate scientific and medical information on their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medicinal products to healthcare professionals, regulators and patients.</w:t>
      </w:r>
    </w:p>
    <w:p>
      <w:pPr>
        <w:spacing w:after="0" w:line="149" w:lineRule="exact"/>
        <w:rPr>
          <w:rFonts w:ascii="Times New Roman" w:cs="Times New Roman" w:eastAsia="Times New Roman" w:hAnsi="Times New Roman"/>
          <w:sz w:val="17"/>
          <w:szCs w:val="17"/>
          <w:color w:val="auto"/>
        </w:rPr>
      </w:pPr>
    </w:p>
    <w:p>
      <w:pPr>
        <w:ind w:left="680" w:right="859" w:hanging="305"/>
        <w:spacing w:after="0" w:line="282" w:lineRule="auto"/>
        <w:tabs>
          <w:tab w:leader="none" w:pos="68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Legal representation and distributor issues</w:t>
      </w:r>
      <w:r>
        <w:rPr>
          <w:rFonts w:ascii="Times New Roman" w:cs="Times New Roman" w:eastAsia="Times New Roman" w:hAnsi="Times New Roman"/>
          <w:sz w:val="17"/>
          <w:szCs w:val="17"/>
          <w:color w:val="auto"/>
        </w:rPr>
        <w:t>—MAHs are responsible for regulatory actions or inactions of their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distributors and agents.</w:t>
      </w:r>
    </w:p>
    <w:p>
      <w:pPr>
        <w:spacing w:after="0" w:line="149" w:lineRule="exact"/>
        <w:rPr>
          <w:rFonts w:ascii="Times New Roman" w:cs="Times New Roman" w:eastAsia="Times New Roman" w:hAnsi="Times New Roman"/>
          <w:sz w:val="17"/>
          <w:szCs w:val="17"/>
          <w:color w:val="auto"/>
        </w:rPr>
      </w:pPr>
    </w:p>
    <w:p>
      <w:pPr>
        <w:ind w:left="680" w:right="139" w:hanging="305"/>
        <w:spacing w:after="0" w:line="256" w:lineRule="auto"/>
        <w:tabs>
          <w:tab w:leader="none" w:pos="68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Preparation, filing and maintenance of the application and subsequent marketing authorization</w:t>
      </w:r>
      <w:r>
        <w:rPr>
          <w:rFonts w:ascii="Times New Roman" w:cs="Times New Roman" w:eastAsia="Times New Roman" w:hAnsi="Times New Roman"/>
          <w:sz w:val="17"/>
          <w:szCs w:val="17"/>
          <w:color w:val="auto"/>
        </w:rPr>
        <w:t>— MAHs must maintain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appropriate records, comply with the marketing authorization’s terms and conditions, fulfill reporting obligations to regulators, submit renewal applications and pay all appropriate fees to the authorities. We may hold any future marketing authorizations granted for our product candidates in our own name, or appoint an affiliate or a collaboration partner to hold marketing authorizations on our behalf. Any failure by an MAH to comply with these obligations may result in regulatory action against an MAH and ultimately threaten our ability to commercialize our products.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Pricing and reimbursement</w:t>
      </w:r>
    </w:p>
    <w:p>
      <w:pPr>
        <w:spacing w:after="0" w:line="215" w:lineRule="exact"/>
        <w:rPr>
          <w:sz w:val="20"/>
          <w:szCs w:val="20"/>
          <w:color w:val="auto"/>
        </w:rPr>
      </w:pPr>
    </w:p>
    <w:p>
      <w:pPr>
        <w:ind w:left="40" w:right="119" w:firstLine="305"/>
        <w:spacing w:after="0" w:line="267" w:lineRule="auto"/>
        <w:rPr>
          <w:sz w:val="20"/>
          <w:szCs w:val="20"/>
          <w:color w:val="auto"/>
        </w:rPr>
      </w:pPr>
      <w:r>
        <w:rPr>
          <w:rFonts w:ascii="Times New Roman" w:cs="Times New Roman" w:eastAsia="Times New Roman" w:hAnsi="Times New Roman"/>
          <w:sz w:val="16"/>
          <w:szCs w:val="16"/>
          <w:color w:val="auto"/>
        </w:rPr>
        <w:t>In the EU, the pricing and reimbursement mechanisms by private and public health insurers vary largely by country and even within countries. The public systems reimbursement for standard drugs is determined by guidelines established by the legislator or responsible national authority. The approach taken varies by Member State. Some jurisdictions operate positive and negative list systems under which products may only be marketed once a reimbursement price has been agreed. Other Member States allow companies to fix their own prices for medicines, but monitor and control company profits and may limit or restrict reimbursement. The downward pressure on healthcare costs in general, particularly prescription drugs, has become very intense. As a result, increasingly high barriers to the entry of new products are being erected and some EU countries require the completion of studies that compare the cost-effectiveness of a particular product candidate with that of currently available therapies in order to obtain reimbursement or pricing approval. Special pricing and reimbursement rules may apply to orphan drugs. Inclusion of orphan drugs in reimbursement systems tend to focus on the medical usefulness, need, quality and economic benefits to patients and the healthcare system as for any drug. Acceptance of any medicinal product for reimbursement may come with cost, use and often volume restrictions, which again can vary by country. In addition, results based rules of reimbursement may apply.</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12" w:name="page113"/>
    <w:bookmarkEnd w:id="11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Other U.S. healthcare laws</w:t>
      </w:r>
    </w:p>
    <w:p>
      <w:pPr>
        <w:spacing w:after="0" w:line="215" w:lineRule="exact"/>
        <w:rPr>
          <w:sz w:val="20"/>
          <w:szCs w:val="20"/>
          <w:color w:val="auto"/>
        </w:rPr>
      </w:pPr>
    </w:p>
    <w:p>
      <w:pPr>
        <w:jc w:val="both"/>
        <w:ind w:left="40" w:right="359" w:firstLine="305"/>
        <w:spacing w:after="0" w:line="263" w:lineRule="auto"/>
        <w:rPr>
          <w:sz w:val="20"/>
          <w:szCs w:val="20"/>
          <w:color w:val="auto"/>
        </w:rPr>
      </w:pPr>
      <w:r>
        <w:rPr>
          <w:rFonts w:ascii="Times New Roman" w:cs="Times New Roman" w:eastAsia="Times New Roman" w:hAnsi="Times New Roman"/>
          <w:sz w:val="17"/>
          <w:szCs w:val="17"/>
          <w:color w:val="auto"/>
        </w:rPr>
        <w:t>In addition to FDA restrictions on marketing of pharmaceutical or biopharmaceutical products, federal and state healthcare laws restrict certain business practices in the pharmaceutical and biopharmaceutical industries. These laws include, but are not limited to, anti-kickback, false claims, data privacy and security, and transparency statutes and regulations.</w:t>
      </w:r>
    </w:p>
    <w:p>
      <w:pPr>
        <w:spacing w:after="0" w:line="170" w:lineRule="exact"/>
        <w:rPr>
          <w:sz w:val="20"/>
          <w:szCs w:val="20"/>
          <w:color w:val="auto"/>
        </w:rPr>
      </w:pPr>
    </w:p>
    <w:p>
      <w:pPr>
        <w:ind w:left="40" w:right="59" w:firstLine="305"/>
        <w:spacing w:after="0" w:line="248" w:lineRule="auto"/>
        <w:rPr>
          <w:sz w:val="20"/>
          <w:szCs w:val="20"/>
          <w:color w:val="auto"/>
        </w:rPr>
      </w:pPr>
      <w:r>
        <w:rPr>
          <w:rFonts w:ascii="Times New Roman" w:cs="Times New Roman" w:eastAsia="Times New Roman" w:hAnsi="Times New Roman"/>
          <w:sz w:val="17"/>
          <w:szCs w:val="17"/>
          <w:color w:val="auto"/>
        </w:rPr>
        <w:t xml:space="preserve">The U.S. federal Anti-Kickback Statute prohibits, among other things, knowingly and willfully offering, paying, soliciting or receiving remuneration, directly or indirectly, to induce, or in return for, purchasing, leasing, ordering or arranging for the purchase, lease or order of any good, facility, item or service reimbursable under Medicare, Medicaid or other federal healthcare programs. The term “remuneration” has been broadly interpreted to include anything of value, including for example, gifts, discounts, the furnishing of supplies or equipment, credit arrangements, payments of cash, waivers of payment, ownership interests and providing anything at less than its fair market value. The Anti-Kickback Statute has been interpreted to apply to arrangements between pharmaceutical and biopharmaceutical manufacturers on the one hand and prescribers, purchasers and formulary managers on the other. Although there are a number of statutory exceptions and regulatory safe harbors protecting certain common activities from prosecution, the exceptions and safe harbors are drawn narrowly, and our practices may not in all cases meet all the criteria for a statutory exception or safe harbor protection. Practices involving remuneration that may be alleged to be intended to induce prescribing, purchases or recommendations may be subject to scrutiny if they do not qualify for an exception or safe harbor. Failure to meet all the requirements of a particular applicable statutory exception or regulatory safe harbor does not make the conduct </w:t>
      </w:r>
      <w:r>
        <w:rPr>
          <w:rFonts w:ascii="Times New Roman" w:cs="Times New Roman" w:eastAsia="Times New Roman" w:hAnsi="Times New Roman"/>
          <w:sz w:val="17"/>
          <w:szCs w:val="17"/>
          <w:i w:val="1"/>
          <w:iCs w:val="1"/>
          <w:color w:val="auto"/>
        </w:rPr>
        <w:t>per se</w:t>
      </w:r>
      <w:r>
        <w:rPr>
          <w:rFonts w:ascii="Times New Roman" w:cs="Times New Roman" w:eastAsia="Times New Roman" w:hAnsi="Times New Roman"/>
          <w:sz w:val="17"/>
          <w:szCs w:val="17"/>
          <w:color w:val="auto"/>
        </w:rPr>
        <w:t xml:space="preserve"> illegal under the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healthcare-covered business, the statute has been violated. The Patient Protection and Affordable Care Act as amended by the Health Care and Education Reconciliation Act (collectively, the Health Care Reform Law), amended the intent requirement under the Anti-Kickback Statute and criminal healthcare fraud statutes (discussed below) such that a person or entity no longer needs to have actual knowledge of the statute or the specific intent to violate it in order to have committed a violation. In addition, the Health Care Reform Law provides that the government may assert that a claim including items or services resulting from a violation of the federal Anti-Kickback Statute constitutes a false or fraudulent claim for purposes of the civil False Claims Act (discussed below). Further, the Civil Monetary Penalties Law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91" w:lineRule="exact"/>
        <w:rPr>
          <w:sz w:val="20"/>
          <w:szCs w:val="20"/>
          <w:color w:val="auto"/>
        </w:rPr>
      </w:pPr>
    </w:p>
    <w:p>
      <w:pPr>
        <w:ind w:left="40" w:right="99" w:firstLine="305"/>
        <w:spacing w:after="0" w:line="249" w:lineRule="auto"/>
        <w:rPr>
          <w:sz w:val="20"/>
          <w:szCs w:val="20"/>
          <w:color w:val="auto"/>
        </w:rPr>
      </w:pPr>
      <w:r>
        <w:rPr>
          <w:rFonts w:ascii="Times New Roman" w:cs="Times New Roman" w:eastAsia="Times New Roman" w:hAnsi="Times New Roman"/>
          <w:sz w:val="17"/>
          <w:szCs w:val="17"/>
          <w:color w:val="auto"/>
        </w:rPr>
        <w:t>The federal false claims laws prohibit,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non-covered, uses. The federal HIPAA created new federal criminal statutes that prohibit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w:t>
      </w:r>
    </w:p>
    <w:p>
      <w:pPr>
        <w:spacing w:after="0" w:line="181" w:lineRule="exact"/>
        <w:rPr>
          <w:sz w:val="20"/>
          <w:szCs w:val="20"/>
          <w:color w:val="auto"/>
        </w:rPr>
      </w:pPr>
    </w:p>
    <w:p>
      <w:pPr>
        <w:ind w:left="40" w:right="59" w:firstLine="305"/>
        <w:spacing w:after="0" w:line="251" w:lineRule="auto"/>
        <w:rPr>
          <w:sz w:val="20"/>
          <w:szCs w:val="20"/>
          <w:color w:val="auto"/>
        </w:rPr>
      </w:pPr>
      <w:r>
        <w:rPr>
          <w:rFonts w:ascii="Times New Roman" w:cs="Times New Roman" w:eastAsia="Times New Roman" w:hAnsi="Times New Roman"/>
          <w:sz w:val="17"/>
          <w:szCs w:val="17"/>
          <w:color w:val="auto"/>
        </w:rPr>
        <w:t>Additionally, the Health Care Reform Law also included the federal Physician Payments Sunshine Act, which requires that certain manufacturers of drugs, devices, biologicals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13" w:name="page114"/>
    <w:bookmarkEnd w:id="11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79" w:firstLine="305"/>
        <w:spacing w:after="0" w:line="250" w:lineRule="auto"/>
        <w:rPr>
          <w:sz w:val="20"/>
          <w:szCs w:val="20"/>
          <w:color w:val="auto"/>
        </w:rPr>
      </w:pPr>
      <w:r>
        <w:rPr>
          <w:rFonts w:ascii="Times New Roman" w:cs="Times New Roman" w:eastAsia="Times New Roman" w:hAnsi="Times New Roman"/>
          <w:sz w:val="17"/>
          <w:szCs w:val="17"/>
          <w:color w:val="auto"/>
        </w:rPr>
        <w:t>Additionally, many states have similar healthcare statutes or regulations that apply to items and services reimbursed under Medicaid and other state programs, or, in several states, apply regardless of the payor. Certain states require the posting of information relating to clinical studies, and require pharmaceutical companies to implement a comprehensive compliance program that includes a limit on expenditures for, or payments to, individual medical or health professionals and to track and report gifts and other payments made to physicians and other healthcare providers. If our operations are found to be in violation of any of the health regulatory laws described above or any other laws that apply to us, we may be subject to penalties, including potentially significant criminal, civil and/or administrative penalties, damages, fines, disgorgement, individual imprisonment, exclusion of products from reimbursement under government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will be sold in a foreign country, we may be subject to similar foreign laws and regulations, which may include, for instance, applicable post-marketing requirements, including safety surveillance, anti-fraud and abuse laws, implementation of corporate compliance programs and reporting of payments or transfers of value to healthcare professionals.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Data privacy and security laws</w:t>
      </w:r>
    </w:p>
    <w:p>
      <w:pPr>
        <w:spacing w:after="0" w:line="202" w:lineRule="exact"/>
        <w:rPr>
          <w:sz w:val="20"/>
          <w:szCs w:val="20"/>
          <w:color w:val="auto"/>
        </w:rPr>
      </w:pPr>
    </w:p>
    <w:p>
      <w:pPr>
        <w:ind w:left="40" w:right="59" w:firstLine="305"/>
        <w:spacing w:after="0" w:line="248" w:lineRule="auto"/>
        <w:rPr>
          <w:sz w:val="20"/>
          <w:szCs w:val="20"/>
          <w:color w:val="auto"/>
        </w:rPr>
      </w:pPr>
      <w:r>
        <w:rPr>
          <w:rFonts w:ascii="Times New Roman" w:cs="Times New Roman" w:eastAsia="Times New Roman" w:hAnsi="Times New Roman"/>
          <w:sz w:val="17"/>
          <w:szCs w:val="17"/>
          <w:color w:val="auto"/>
        </w:rPr>
        <w:t xml:space="preserve">In addition, we may be subject to international, federal and state data privacy and security laws, regulations, rules and standards. Internationally, laws, regulations and standards in many jurisdictions, such as the GDPR, the Swiss FADP and the UK GDPR, apply broadly to the collection, use, retention, security, disclosure, transfer and other processing of personal information. At the federal level, HIPAA, as amended by the Health Information Technology for Economic and Clinical Health Act (HITECH), and its implementing regulations, imposes certain requirements relating to the privacy, security and transmission of individually identifiable health information. Among other things, HITECH makes HIPAA’s privacy and security standards directly applicable to business associates—independent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to seek attorneys’ fees and costs associated with pursuing federal civil actions. In addition, state laws, (such as the CCPA) govern the privacy and security of health and other personal information in certain circumstances, many of which differ from each other in significant ways and may not have the same effect, thus complicating compliance efforts. Non-compliance with these laws, regulations, rules and standards could result in significant penalties or legal liability. Although we take steps to comply with applicable laws, rules and regulations, we cannot ensure that we will not be subject to regulatory or private actions, investigations, disputes and litigation, which may include substantial fines or other legal liability for noncompliance of data privacy and security laws, rules and regulations, including in the event of a cybersecurity breach or other security incident. We could be adversely affected if legislation or regulations are expanded to require changes in our or our third-party service providers’ business practices or if governing jurisdictions interpret or implement their legislation or regulations in ways that negatively affect our business, results of operations or financial condition. See “Risk Factors— </w:t>
      </w:r>
      <w:r>
        <w:rPr>
          <w:rFonts w:ascii="Times New Roman" w:cs="Times New Roman" w:eastAsia="Times New Roman" w:hAnsi="Times New Roman"/>
          <w:sz w:val="17"/>
          <w:szCs w:val="17"/>
          <w:i w:val="1"/>
          <w:iCs w:val="1"/>
          <w:color w:val="auto"/>
        </w:rPr>
        <w:t>Changes in laws, rules, regulations or standards relating to data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privacy and security, or any actual or perceived failure by us to comply with such laws, rules, regulations and standards, or contractual or other obligations relating to data privacy and security, could have a material adverse effect on our reputation, results of operations, financial condition and cash flows.</w:t>
      </w:r>
      <w:r>
        <w:rPr>
          <w:rFonts w:ascii="Times New Roman" w:cs="Times New Roman" w:eastAsia="Times New Roman" w:hAnsi="Times New Roman"/>
          <w:sz w:val="17"/>
          <w:szCs w:val="17"/>
          <w:color w:val="auto"/>
        </w:rPr>
        <w:t>”</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Pharmaceutical coverage, pricing and reimbursement</w:t>
      </w:r>
    </w:p>
    <w:p>
      <w:pPr>
        <w:spacing w:after="0" w:line="215" w:lineRule="exact"/>
        <w:rPr>
          <w:sz w:val="20"/>
          <w:szCs w:val="20"/>
          <w:color w:val="auto"/>
        </w:rPr>
      </w:pPr>
    </w:p>
    <w:p>
      <w:pPr>
        <w:ind w:left="40" w:right="59" w:firstLine="305"/>
        <w:spacing w:after="0" w:line="250" w:lineRule="auto"/>
        <w:rPr>
          <w:sz w:val="20"/>
          <w:szCs w:val="20"/>
          <w:color w:val="auto"/>
        </w:rPr>
      </w:pPr>
      <w:r>
        <w:rPr>
          <w:rFonts w:ascii="Times New Roman" w:cs="Times New Roman" w:eastAsia="Times New Roman" w:hAnsi="Times New Roman"/>
          <w:sz w:val="17"/>
          <w:szCs w:val="17"/>
          <w:color w:val="auto"/>
        </w:rPr>
        <w:t>In both domestic and foreign markets, our or our collaboration partners’ sales of any approved products will depend in part on the availability of coverage and adequate reimbursement from third-party payors. Third-party payors include government authorities, managed care providers, private health insurers and other organizations. Patients who are prescribed treatments for their conditions and providers performing the prescribed services generally rely on third-party payors to reimburse all or part of the associated healthcare costs. Patients are unlikely to use our products, if approved, unless coverage is provided and reimbursement is adequate to cover a significant portion of the cost of our products. Sales of our products will therefore depend substantially, both domestically and abroad, on the extent to which the costs of our products will be paid by third-party payors. These third-party payors are increasingly focused on containing healthcare costs by challenging the price and examining the cost-effectiveness of medical products and services.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14" w:name="page115"/>
    <w:bookmarkEnd w:id="11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159" w:firstLine="305"/>
        <w:spacing w:after="0" w:line="249" w:lineRule="auto"/>
        <w:rPr>
          <w:sz w:val="20"/>
          <w:szCs w:val="20"/>
          <w:color w:val="auto"/>
        </w:rPr>
      </w:pPr>
      <w:r>
        <w:rPr>
          <w:rFonts w:ascii="Times New Roman" w:cs="Times New Roman" w:eastAsia="Times New Roman" w:hAnsi="Times New Roman"/>
          <w:sz w:val="17"/>
          <w:szCs w:val="17"/>
          <w:color w:val="auto"/>
        </w:rPr>
        <w:t>In addition, significant uncertainty exists as to the coverage and reimbursement status of newly approved healthcare product candidates. The market for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or biopharmaceutical companies. Additionally, third-party payors may refuse to include a particular branded drug in their formularies or otherwise restrict patient access to a branded drug when a less costly generic equivalent or another alternative is available. Because each third-party payor individually approves coverage and reimbursement levels, obtaining coverage and adequate reimbursement is a time-consuming, costly and sometimes unpredictable process. We may be required to provide scientific and clinical support for the use of any product to each third-party payor separately with no assurance that approval would be obtained, and we may need to conduct expensive pharmacoeconomic studies in order to demonstrate the cost-effectiveness of our products. This process could delay the market acceptance of any product and could have a negative effect on our future revenues and operating results. We cannot be certain that our product candidates will be considered cost-effective. Because coverage and reimbursement determinations are made on a payor-by-payor basis, obtaining acceptable coverage and reimbursement from one payor does not guarantee we will obtain similar acceptable coverage or reimbursement from another payor. If we are unable to obtain coverage of, and adequate reimbursement and payment levels for, our product candidates from third-party payors, physicians may limit how much or under what circumstances they will prescribe or administer them and patients may decline to purchase them. This in turn could affect our ability to successfully commercialize our products and impact our profitability, results of operations, financial condition and future success.</w:t>
      </w:r>
    </w:p>
    <w:p>
      <w:pPr>
        <w:spacing w:after="0" w:line="182" w:lineRule="exact"/>
        <w:rPr>
          <w:sz w:val="20"/>
          <w:szCs w:val="20"/>
          <w:color w:val="auto"/>
        </w:rPr>
      </w:pPr>
    </w:p>
    <w:p>
      <w:pPr>
        <w:ind w:left="40" w:right="59" w:firstLine="305"/>
        <w:spacing w:after="0" w:line="250" w:lineRule="auto"/>
        <w:rPr>
          <w:sz w:val="20"/>
          <w:szCs w:val="20"/>
          <w:color w:val="auto"/>
        </w:rPr>
      </w:pPr>
      <w:r>
        <w:rPr>
          <w:rFonts w:ascii="Times New Roman" w:cs="Times New Roman" w:eastAsia="Times New Roman" w:hAnsi="Times New Roman"/>
          <w:sz w:val="17"/>
          <w:szCs w:val="17"/>
          <w:color w:val="auto"/>
        </w:rPr>
        <w:t>Furthermore, in many foreign countries, particularly the countries of the EU, the pricing of prescription drugs is subject to government control. In some non-U.S. jurisdictions,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our product candidates from lower-priced products in foreign countries that have placed price controls on pharmaceutical or biopharmaceutical products. In addition, there may be importation of foreign products that compete with our own products, which could negatively impact our profitability.</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Healthcare reform</w:t>
      </w:r>
    </w:p>
    <w:p>
      <w:pPr>
        <w:spacing w:after="0" w:line="215" w:lineRule="exact"/>
        <w:rPr>
          <w:sz w:val="20"/>
          <w:szCs w:val="20"/>
          <w:color w:val="auto"/>
        </w:rPr>
      </w:pPr>
    </w:p>
    <w:p>
      <w:pPr>
        <w:ind w:left="40" w:right="259" w:firstLine="305"/>
        <w:spacing w:after="0" w:line="255" w:lineRule="auto"/>
        <w:rPr>
          <w:sz w:val="20"/>
          <w:szCs w:val="20"/>
          <w:color w:val="auto"/>
        </w:rPr>
      </w:pPr>
      <w:r>
        <w:rPr>
          <w:rFonts w:ascii="Times New Roman" w:cs="Times New Roman" w:eastAsia="Times New Roman" w:hAnsi="Times New Roman"/>
          <w:sz w:val="17"/>
          <w:szCs w:val="17"/>
          <w:color w:val="auto"/>
        </w:rPr>
        <w:t>In the U.S., EU and other jurisdictions, there have been, and we expect there will continue to be, a number of legislative and regulatory changes to the healthcare system that could affect our future results of operations as we begin to commercialize our products directly.</w:t>
      </w:r>
    </w:p>
    <w:p>
      <w:pPr>
        <w:spacing w:after="0" w:line="176" w:lineRule="exact"/>
        <w:rPr>
          <w:sz w:val="20"/>
          <w:szCs w:val="20"/>
          <w:color w:val="auto"/>
        </w:rPr>
      </w:pPr>
    </w:p>
    <w:p>
      <w:pPr>
        <w:ind w:left="40" w:right="79" w:firstLine="305"/>
        <w:spacing w:after="0" w:line="251" w:lineRule="auto"/>
        <w:rPr>
          <w:sz w:val="20"/>
          <w:szCs w:val="20"/>
          <w:color w:val="auto"/>
        </w:rPr>
      </w:pPr>
      <w:r>
        <w:rPr>
          <w:rFonts w:ascii="Times New Roman" w:cs="Times New Roman" w:eastAsia="Times New Roman" w:hAnsi="Times New Roman"/>
          <w:sz w:val="17"/>
          <w:szCs w:val="17"/>
          <w:color w:val="auto"/>
        </w:rPr>
        <w:t>In particular, there have been and continue to be a number of initiatives at the U.S. federal and state level that seek to reduce healthcare costs. Initiatives to reduce the federal deficit and to reform healthcare delivery are increasing cost-containment efforts. We anticipate that Congress, state legislatures and the private sector will continue to review and assess alternative benefits, controls on healthcare spending through limitations on the growth of private health insurance premiums and Medicare and Medicaid spending, the creation of large insurance purchasing groups, price controls on pharmaceuticals and other fundamental changes to the healthcare delivery system. Any proposed or actual changes could limit or eliminate our spending on development projects and affect our ultimate profitability.</w:t>
      </w:r>
    </w:p>
    <w:p>
      <w:pPr>
        <w:spacing w:after="0" w:line="181" w:lineRule="exact"/>
        <w:rPr>
          <w:sz w:val="20"/>
          <w:szCs w:val="20"/>
          <w:color w:val="auto"/>
        </w:rPr>
      </w:pPr>
    </w:p>
    <w:p>
      <w:pPr>
        <w:ind w:left="40" w:right="259" w:firstLine="305"/>
        <w:spacing w:after="0" w:line="256" w:lineRule="auto"/>
        <w:rPr>
          <w:sz w:val="20"/>
          <w:szCs w:val="20"/>
          <w:color w:val="auto"/>
        </w:rPr>
      </w:pPr>
      <w:r>
        <w:rPr>
          <w:rFonts w:ascii="Times New Roman" w:cs="Times New Roman" w:eastAsia="Times New Roman" w:hAnsi="Times New Roman"/>
          <w:sz w:val="17"/>
          <w:szCs w:val="17"/>
          <w:color w:val="auto"/>
        </w:rPr>
        <w:t>We are not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approval testing and other requirements.</w:t>
      </w:r>
    </w:p>
    <w:p>
      <w:pPr>
        <w:spacing w:after="0" w:line="163" w:lineRule="exact"/>
        <w:rPr>
          <w:sz w:val="20"/>
          <w:szCs w:val="20"/>
          <w:color w:val="auto"/>
        </w:rPr>
      </w:pPr>
    </w:p>
    <w:p>
      <w:pPr>
        <w:jc w:val="both"/>
        <w:ind w:left="40" w:right="319" w:firstLine="305"/>
        <w:spacing w:after="0" w:line="263" w:lineRule="auto"/>
        <w:rPr>
          <w:sz w:val="20"/>
          <w:szCs w:val="20"/>
          <w:color w:val="auto"/>
        </w:rPr>
      </w:pPr>
      <w:r>
        <w:rPr>
          <w:rFonts w:ascii="Times New Roman" w:cs="Times New Roman" w:eastAsia="Times New Roman" w:hAnsi="Times New Roman"/>
          <w:sz w:val="17"/>
          <w:szCs w:val="17"/>
          <w:color w:val="auto"/>
        </w:rPr>
        <w:t>In addition, there has been heightened governmental scrutiny in the U.S.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15" w:name="page116"/>
    <w:bookmarkEnd w:id="11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59"/>
        <w:spacing w:after="0" w:line="250" w:lineRule="auto"/>
        <w:rPr>
          <w:sz w:val="20"/>
          <w:szCs w:val="20"/>
          <w:color w:val="auto"/>
        </w:rPr>
      </w:pPr>
      <w:r>
        <w:rPr>
          <w:rFonts w:ascii="Times New Roman" w:cs="Times New Roman" w:eastAsia="Times New Roman" w:hAnsi="Times New Roman"/>
          <w:sz w:val="17"/>
          <w:szCs w:val="17"/>
          <w:color w:val="auto"/>
        </w:rPr>
        <w:t>product pricing, review the relationship between pricing and manufacturer patient programs, and reform government program reimbursement methodologies for products. At both the federal and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One significant example of recent legislative action is the IRA, which has been considered a scaled-back version of the Build Back Better Act. The IRA was signed into law on August 16, 2022. While the IRA is still subject to rulemaking (with more information to come via guidance documents from the responsible federal agencies), the IRA, as written, will, among other changes, give HHS the ability and authority to directly negotiate with manufacturers the price that Medicare will pay for certain high-priced drugs. The IRA will also require manufacturers of certain Part B and Part D drugs to issue to HHS rebates based on certain calculations and triggers (i.e. when drug prices increase and outpace the rate of inflation). At this time, we cannot predict the implications the IRA provisions will have on our business.</w:t>
      </w:r>
    </w:p>
    <w:p>
      <w:pPr>
        <w:spacing w:after="0" w:line="184" w:lineRule="exact"/>
        <w:rPr>
          <w:sz w:val="20"/>
          <w:szCs w:val="20"/>
          <w:color w:val="auto"/>
        </w:rPr>
      </w:pPr>
    </w:p>
    <w:p>
      <w:pPr>
        <w:ind w:left="40" w:right="79" w:firstLine="305"/>
        <w:spacing w:after="0" w:line="268" w:lineRule="auto"/>
        <w:rPr>
          <w:sz w:val="20"/>
          <w:szCs w:val="20"/>
          <w:color w:val="auto"/>
        </w:rPr>
      </w:pPr>
      <w:r>
        <w:rPr>
          <w:rFonts w:ascii="Times New Roman" w:cs="Times New Roman" w:eastAsia="Times New Roman" w:hAnsi="Times New Roman"/>
          <w:sz w:val="16"/>
          <w:szCs w:val="16"/>
          <w:color w:val="auto"/>
        </w:rPr>
        <w:t>In the future, there may continue to be additional proposals relating to the reform of the U.S. healthcare system, some of which could further limit the prices we are able to charge for our products candidates, or the amounts of reimbursement available for our product candidates. If future legislation were to impose direct governmental price controls and access restrictions, it could have a significant adverse impact on our business. Managed care organizations, as well as Medicaid and other government agencies, continue to seek price discounts. Some states have implemented, and other states are considering, price controls or patient access constraints under the Medicaid program, and some states are considering price-control regimes that would apply to broader segments of their populations that are not Medicaid-eligible. Due to the volatility in the current economic and market dynamics, we are unable to predict the impact of any unforeseen or unknown legislative, regulatory, payor or policy actions, which may include cost-containment and healthcare-reform measures. Such policy actions could have a material adverse impact on our profitability.</w:t>
      </w:r>
    </w:p>
    <w:p>
      <w:pPr>
        <w:spacing w:after="0" w:line="169" w:lineRule="exact"/>
        <w:rPr>
          <w:sz w:val="20"/>
          <w:szCs w:val="20"/>
          <w:color w:val="auto"/>
        </w:rPr>
      </w:pPr>
    </w:p>
    <w:p>
      <w:pPr>
        <w:ind w:left="40" w:right="219" w:firstLine="305"/>
        <w:spacing w:after="0" w:line="251" w:lineRule="auto"/>
        <w:rPr>
          <w:sz w:val="20"/>
          <w:szCs w:val="20"/>
          <w:color w:val="auto"/>
        </w:rPr>
      </w:pPr>
      <w:r>
        <w:rPr>
          <w:rFonts w:ascii="Times New Roman" w:cs="Times New Roman" w:eastAsia="Times New Roman" w:hAnsi="Times New Roman"/>
          <w:sz w:val="17"/>
          <w:szCs w:val="17"/>
          <w:color w:val="auto"/>
        </w:rPr>
        <w:t>Moreover, the federal Drug Supply Chain Security Act imposes new obligations on manufacturers of pharmaceutical or biopharmaceutical products, among others, related to product tracking and tracing. Among the requirements of this new federal legislation, manufacturers will be required to provide certain information regarding the drug product to individuals and entities to which product ownership is transferred, label drug product with a product identifier, and keep certain records regarding the drug product. Further, under this new legislation, manufacturers will have drug product investigation, quarantine, disposition and notification responsibilities related to counterfeit, diverted, stolen and intentionally adulterated products, as well as products that are the subject of fraudulent transactions or that are otherwise unfit for distribution such that they would be reasonably likely to result in serious health consequences or death.</w:t>
      </w:r>
    </w:p>
    <w:p>
      <w:pPr>
        <w:spacing w:after="0" w:line="167" w:lineRule="exact"/>
        <w:rPr>
          <w:sz w:val="20"/>
          <w:szCs w:val="20"/>
          <w:color w:val="auto"/>
        </w:rPr>
      </w:pPr>
    </w:p>
    <w:p>
      <w:pPr>
        <w:ind w:left="40" w:right="119" w:firstLine="305"/>
        <w:spacing w:after="0" w:line="254" w:lineRule="auto"/>
        <w:rPr>
          <w:sz w:val="20"/>
          <w:szCs w:val="20"/>
          <w:color w:val="auto"/>
        </w:rPr>
      </w:pPr>
      <w:r>
        <w:rPr>
          <w:rFonts w:ascii="Times New Roman" w:cs="Times New Roman" w:eastAsia="Times New Roman" w:hAnsi="Times New Roman"/>
          <w:sz w:val="17"/>
          <w:szCs w:val="17"/>
          <w:color w:val="auto"/>
        </w:rPr>
        <w:t xml:space="preserve">Furthermore, the current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(“TrumpRx”), U.S. patients and Medicaid programs prescription drug </w:t>
      </w:r>
      <w:r>
        <w:rPr>
          <w:rFonts w:ascii="Times New Roman" w:cs="Times New Roman" w:eastAsia="Times New Roman" w:hAnsi="Times New Roman"/>
          <w:sz w:val="17"/>
          <w:szCs w:val="17"/>
          <w:i w:val="1"/>
          <w:iCs w:val="1"/>
          <w:color w:val="auto"/>
        </w:rPr>
        <w:t>most-favored-nation</w:t>
      </w:r>
      <w:r>
        <w:rPr>
          <w:rFonts w:ascii="Times New Roman" w:cs="Times New Roman" w:eastAsia="Times New Roman" w:hAnsi="Times New Roman"/>
          <w:sz w:val="17"/>
          <w:szCs w:val="17"/>
          <w:color w:val="auto"/>
        </w:rPr>
        <w:t xml:space="preserve"> pricing equal to or lower than those paid in other developed nations, with additional mandates for direct-to-patient discounts and repatriation of foreign revenues.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Physician Payment Sunshine Act and transparency</w:t>
      </w:r>
    </w:p>
    <w:p>
      <w:pPr>
        <w:spacing w:after="0" w:line="215" w:lineRule="exact"/>
        <w:rPr>
          <w:sz w:val="20"/>
          <w:szCs w:val="20"/>
          <w:color w:val="auto"/>
        </w:rPr>
      </w:pPr>
    </w:p>
    <w:p>
      <w:pPr>
        <w:ind w:left="40" w:right="79" w:firstLine="305"/>
        <w:spacing w:after="0" w:line="251" w:lineRule="auto"/>
        <w:rPr>
          <w:sz w:val="20"/>
          <w:szCs w:val="20"/>
          <w:color w:val="auto"/>
        </w:rPr>
      </w:pPr>
      <w:r>
        <w:rPr>
          <w:rFonts w:ascii="Times New Roman" w:cs="Times New Roman" w:eastAsia="Times New Roman" w:hAnsi="Times New Roman"/>
          <w:sz w:val="17"/>
          <w:szCs w:val="17"/>
          <w:color w:val="auto"/>
        </w:rPr>
        <w:t>The Physician Payment Sunshine Act requires most pharmaceutical and biopharmaceutical manufacturers to report annually to the Secretary of Health and Human Services any and all financial arrangements, payments, or other transfers of value made by that entity to physicians and teaching hospitals. The payment information is made publicly available in a searchable format on a content management system website. Once we have an approved product, we will need to dedicate significant resources to establish and maintain systems and processes in order to comply with these regulations. Failure to comply with the reporting requirements can result in significant civil monetary penalties. Similar laws have been enacted or are under consideration in foreign jurisdictions, including France, which has adopted the Loi Bertrand, or French Sunshine Act, which became effective in 2013. In addition, the Code of Ethics from the EFPIA requires</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16" w:name="page117"/>
    <w:bookmarkEnd w:id="11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619"/>
        <w:spacing w:after="0" w:line="277" w:lineRule="auto"/>
        <w:rPr>
          <w:sz w:val="20"/>
          <w:szCs w:val="20"/>
          <w:color w:val="auto"/>
        </w:rPr>
      </w:pPr>
      <w:r>
        <w:rPr>
          <w:rFonts w:ascii="Times New Roman" w:cs="Times New Roman" w:eastAsia="Times New Roman" w:hAnsi="Times New Roman"/>
          <w:sz w:val="17"/>
          <w:szCs w:val="17"/>
          <w:color w:val="auto"/>
        </w:rPr>
        <w:t>certain disclosures of interactions with institutions and healthcare professionals, depending on the jurisdictions in which we operate.</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Environmental, health and safety laws and regulations</w:t>
      </w:r>
    </w:p>
    <w:p>
      <w:pPr>
        <w:spacing w:after="0" w:line="215" w:lineRule="exact"/>
        <w:rPr>
          <w:sz w:val="20"/>
          <w:szCs w:val="20"/>
          <w:color w:val="auto"/>
        </w:rPr>
      </w:pPr>
    </w:p>
    <w:p>
      <w:pPr>
        <w:ind w:left="40" w:right="119" w:firstLine="305"/>
        <w:spacing w:after="0" w:line="269" w:lineRule="auto"/>
        <w:rPr>
          <w:sz w:val="20"/>
          <w:szCs w:val="20"/>
          <w:color w:val="auto"/>
        </w:rPr>
      </w:pPr>
      <w:r>
        <w:rPr>
          <w:rFonts w:ascii="Times New Roman" w:cs="Times New Roman" w:eastAsia="Times New Roman" w:hAnsi="Times New Roman"/>
          <w:sz w:val="16"/>
          <w:szCs w:val="16"/>
          <w:color w:val="auto"/>
        </w:rPr>
        <w:t>We are subject to numerous environmental, health and safety laws and regulations and permitting requirements, including those governing laboratory procedures, decontamination activities, and the handling, transportation, use, remediation, storage, treatment, and disposal of hazardous materials and wastes. Our operations involve the use of hazardous and flammable materials, and the risk of injury, contamination or noncompliance with environmental, health and safety requirements cannot be eliminated. Although compliance with such laws and regulations and permitting requirements has not had a material effect on our capital expenditures, earnings or competitive position, environmental, health and safety laws, and regulations and permitting requirements have tended to become increasingly stringent and, to the extent that legal or regulatory changes may occur in the future, they could result in, among other things, increased costs to us or the impairment of our research, development or production efforts.</w:t>
      </w:r>
    </w:p>
    <w:p>
      <w:pPr>
        <w:spacing w:after="0" w:line="161"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C.</w:t>
      </w:r>
      <w:r>
        <w:rPr>
          <w:sz w:val="20"/>
          <w:szCs w:val="20"/>
          <w:color w:val="auto"/>
        </w:rPr>
        <w:tab/>
      </w:r>
      <w:r>
        <w:rPr>
          <w:rFonts w:ascii="Times New Roman" w:cs="Times New Roman" w:eastAsia="Times New Roman" w:hAnsi="Times New Roman"/>
          <w:sz w:val="16"/>
          <w:szCs w:val="16"/>
          <w:b w:val="1"/>
          <w:bCs w:val="1"/>
          <w:color w:val="auto"/>
        </w:rPr>
        <w:t>Organizational structure</w:t>
      </w:r>
    </w:p>
    <w:p>
      <w:pPr>
        <w:spacing w:after="0" w:line="211" w:lineRule="exact"/>
        <w:rPr>
          <w:sz w:val="20"/>
          <w:szCs w:val="20"/>
          <w:color w:val="auto"/>
        </w:rPr>
      </w:pPr>
    </w:p>
    <w:p>
      <w:pPr>
        <w:ind w:left="40" w:right="139" w:firstLine="305"/>
        <w:spacing w:after="0" w:line="252" w:lineRule="auto"/>
        <w:rPr>
          <w:sz w:val="20"/>
          <w:szCs w:val="20"/>
          <w:color w:val="auto"/>
        </w:rPr>
      </w:pPr>
      <w:r>
        <w:rPr>
          <w:rFonts w:ascii="Times New Roman" w:cs="Times New Roman" w:eastAsia="Times New Roman" w:hAnsi="Times New Roman"/>
          <w:sz w:val="17"/>
          <w:szCs w:val="17"/>
          <w:color w:val="auto"/>
        </w:rPr>
        <w:t>We are a Swiss stock corporation (</w:t>
      </w:r>
      <w:r>
        <w:rPr>
          <w:rFonts w:ascii="Times New Roman" w:cs="Times New Roman" w:eastAsia="Times New Roman" w:hAnsi="Times New Roman"/>
          <w:sz w:val="17"/>
          <w:szCs w:val="17"/>
          <w:i w:val="1"/>
          <w:iCs w:val="1"/>
          <w:color w:val="auto"/>
        </w:rPr>
        <w:t>société anonyme</w:t>
      </w:r>
      <w:r>
        <w:rPr>
          <w:rFonts w:ascii="Times New Roman" w:cs="Times New Roman" w:eastAsia="Times New Roman" w:hAnsi="Times New Roman"/>
          <w:sz w:val="17"/>
          <w:szCs w:val="17"/>
          <w:color w:val="auto"/>
        </w:rPr>
        <w:t>) organized under the laws of Switzerland. We were formed as a Swiss limited liability company (</w:t>
      </w:r>
      <w:r>
        <w:rPr>
          <w:rFonts w:ascii="Times New Roman" w:cs="Times New Roman" w:eastAsia="Times New Roman" w:hAnsi="Times New Roman"/>
          <w:sz w:val="17"/>
          <w:szCs w:val="17"/>
          <w:i w:val="1"/>
          <w:iCs w:val="1"/>
          <w:color w:val="auto"/>
        </w:rPr>
        <w:t>société à responsabilité limitée</w:t>
      </w:r>
      <w:r>
        <w:rPr>
          <w:rFonts w:ascii="Times New Roman" w:cs="Times New Roman" w:eastAsia="Times New Roman" w:hAnsi="Times New Roman"/>
          <w:sz w:val="17"/>
          <w:szCs w:val="17"/>
          <w:color w:val="auto"/>
        </w:rPr>
        <w:t>) on February 13, 2003 with our registered office and domicile in Basel, Switzerland. We converted to a Swiss stock corporation (</w:t>
      </w:r>
      <w:r>
        <w:rPr>
          <w:rFonts w:ascii="Times New Roman" w:cs="Times New Roman" w:eastAsia="Times New Roman" w:hAnsi="Times New Roman"/>
          <w:sz w:val="17"/>
          <w:szCs w:val="17"/>
          <w:i w:val="1"/>
          <w:iCs w:val="1"/>
          <w:color w:val="auto"/>
        </w:rPr>
        <w:t>société anonyme</w:t>
      </w:r>
      <w:r>
        <w:rPr>
          <w:rFonts w:ascii="Times New Roman" w:cs="Times New Roman" w:eastAsia="Times New Roman" w:hAnsi="Times New Roman"/>
          <w:sz w:val="17"/>
          <w:szCs w:val="17"/>
          <w:color w:val="auto"/>
        </w:rPr>
        <w:t>) under the laws of Switzerland on August 25, 2003. Our Swiss enterprise identification number is CHE-109.878.825. Our domicile and registered office is in Ecublens, at the École Polytechnique Fédérale Lausanne (EPFL) Innovation Park Building B, 1015 Lausanne, Vaud, Switzerland. Our common shares were admitted to trading on Nasdaq Global Market on September 23, 2016, and trade under the symbol ACIU.</w:t>
      </w:r>
    </w:p>
    <w:p>
      <w:pPr>
        <w:spacing w:after="0" w:line="181" w:lineRule="exact"/>
        <w:rPr>
          <w:sz w:val="20"/>
          <w:szCs w:val="20"/>
          <w:color w:val="auto"/>
        </w:rPr>
      </w:pPr>
    </w:p>
    <w:p>
      <w:pPr>
        <w:ind w:left="40" w:right="59" w:firstLine="305"/>
        <w:spacing w:after="0" w:line="251" w:lineRule="auto"/>
        <w:rPr>
          <w:sz w:val="20"/>
          <w:szCs w:val="20"/>
          <w:color w:val="auto"/>
        </w:rPr>
      </w:pPr>
      <w:r>
        <w:rPr>
          <w:rFonts w:ascii="Times New Roman" w:cs="Times New Roman" w:eastAsia="Times New Roman" w:hAnsi="Times New Roman"/>
          <w:sz w:val="17"/>
          <w:szCs w:val="17"/>
          <w:color w:val="auto"/>
        </w:rPr>
        <w:t>Our general telephone number is (41) 21 345 91 21 and our internet address is www.acimmune.com. References to our website address do not constitute incorporation by reference of the information contained on the website, and the information contained on the website is not part of this document or any other document that we file with or furnish to the SEC. The SEC maintains an internet site that contains reports, proxy and information statements and other information regarding issuers that file electronically with the SEC, which can be found at http://www.sec.gov. Our agent for service of process in the United States is Cogency Global Inc. located at 122 East 42nd Street, 18th Floor, New York, New York 10168.</w:t>
      </w:r>
    </w:p>
    <w:p>
      <w:pPr>
        <w:spacing w:after="0" w:line="182" w:lineRule="exact"/>
        <w:rPr>
          <w:sz w:val="20"/>
          <w:szCs w:val="20"/>
          <w:color w:val="auto"/>
        </w:rPr>
      </w:pPr>
    </w:p>
    <w:p>
      <w:pPr>
        <w:ind w:left="40" w:right="319" w:firstLine="305"/>
        <w:spacing w:after="0" w:line="310" w:lineRule="auto"/>
        <w:rPr>
          <w:sz w:val="20"/>
          <w:szCs w:val="20"/>
          <w:color w:val="auto"/>
        </w:rPr>
      </w:pPr>
      <w:r>
        <w:rPr>
          <w:rFonts w:ascii="Times New Roman" w:cs="Times New Roman" w:eastAsia="Times New Roman" w:hAnsi="Times New Roman"/>
          <w:sz w:val="16"/>
          <w:szCs w:val="16"/>
          <w:color w:val="auto"/>
        </w:rPr>
        <w:t>The Company controls a fully-owned subsidiary, AC Immune USA, Inc. (“AC Immune USA” or “Subsidiary”), which was registered and organized under the laws of Delaware, USA on May 6, 2021. The Company and its Subsidiary form the Group.</w:t>
      </w:r>
    </w:p>
    <w:p>
      <w:pPr>
        <w:spacing w:after="0" w:line="130"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D.</w:t>
      </w:r>
      <w:r>
        <w:rPr>
          <w:sz w:val="20"/>
          <w:szCs w:val="20"/>
          <w:color w:val="auto"/>
        </w:rPr>
        <w:tab/>
      </w:r>
      <w:r>
        <w:rPr>
          <w:rFonts w:ascii="Times New Roman" w:cs="Times New Roman" w:eastAsia="Times New Roman" w:hAnsi="Times New Roman"/>
          <w:sz w:val="16"/>
          <w:szCs w:val="16"/>
          <w:b w:val="1"/>
          <w:bCs w:val="1"/>
          <w:color w:val="auto"/>
        </w:rPr>
        <w:t>Property, plant and equipment</w:t>
      </w:r>
    </w:p>
    <w:p>
      <w:pPr>
        <w:spacing w:after="0" w:line="215" w:lineRule="exact"/>
        <w:rPr>
          <w:sz w:val="20"/>
          <w:szCs w:val="20"/>
          <w:color w:val="auto"/>
        </w:rPr>
      </w:pPr>
    </w:p>
    <w:p>
      <w:pPr>
        <w:ind w:left="40" w:right="599" w:firstLine="305"/>
        <w:spacing w:after="0" w:line="277" w:lineRule="auto"/>
        <w:rPr>
          <w:sz w:val="20"/>
          <w:szCs w:val="20"/>
          <w:color w:val="auto"/>
        </w:rPr>
      </w:pPr>
      <w:r>
        <w:rPr>
          <w:rFonts w:ascii="Times New Roman" w:cs="Times New Roman" w:eastAsia="Times New Roman" w:hAnsi="Times New Roman"/>
          <w:sz w:val="17"/>
          <w:szCs w:val="17"/>
          <w:color w:val="auto"/>
        </w:rPr>
        <w:t>The Company’s capital expenditures were CHF 0.7 million in 2025 with CHF 0.6 million for laboratory equipment and leasehold improvements. These investments were made to enhance our research facilities.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17" w:name="page118"/>
    <w:bookmarkEnd w:id="11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Facilities</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We do not own any real property. The table below details the sizes and uses of our leased facilities as of December 31, 2025:</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Primary Function</w:t>
            </w:r>
          </w:p>
        </w:tc>
        <w:tc>
          <w:tcPr>
            <w:tcW w:w="2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Approximate Size</w:t>
            </w:r>
          </w:p>
        </w:tc>
      </w:tr>
      <w:tr>
        <w:trPr>
          <w:trHeight w:val="186"/>
        </w:trPr>
        <w:tc>
          <w:tcPr>
            <w:tcW w:w="3000" w:type="dxa"/>
            <w:vAlign w:val="bottom"/>
            <w:tcBorders>
              <w:top w:val="single" w:sz="8" w:color="auto"/>
            </w:tcBorders>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color w:val="auto"/>
              </w:rPr>
              <w:t>École Polytechnique Fédérale Lausanne</w:t>
            </w:r>
          </w:p>
        </w:tc>
        <w:tc>
          <w:tcPr>
            <w:tcW w:w="300" w:type="dxa"/>
            <w:vAlign w:val="bottom"/>
            <w:tcBorders>
              <w:top w:val="single" w:sz="8" w:color="CCEEFF"/>
            </w:tcBorders>
            <w:shd w:val="clear" w:color="auto" w:fill="CCEEFF"/>
          </w:tcPr>
          <w:p>
            <w:pPr>
              <w:spacing w:after="0"/>
              <w:rPr>
                <w:sz w:val="16"/>
                <w:szCs w:val="16"/>
                <w:color w:val="auto"/>
              </w:rPr>
            </w:pPr>
          </w:p>
        </w:tc>
        <w:tc>
          <w:tcPr>
            <w:tcW w:w="2760" w:type="dxa"/>
            <w:vAlign w:val="bottom"/>
            <w:tcBorders>
              <w:top w:val="single" w:sz="8" w:color="auto"/>
            </w:tcBorders>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Headquarters</w:t>
            </w:r>
          </w:p>
        </w:tc>
        <w:tc>
          <w:tcPr>
            <w:tcW w:w="300" w:type="dxa"/>
            <w:vAlign w:val="bottom"/>
            <w:tcBorders>
              <w:top w:val="single" w:sz="8" w:color="CCEEFF"/>
            </w:tcBorders>
            <w:shd w:val="clear" w:color="auto" w:fill="CCEEFF"/>
          </w:tcPr>
          <w:p>
            <w:pPr>
              <w:spacing w:after="0"/>
              <w:rPr>
                <w:sz w:val="16"/>
                <w:szCs w:val="16"/>
                <w:color w:val="auto"/>
              </w:rPr>
            </w:pPr>
          </w:p>
        </w:tc>
        <w:tc>
          <w:tcPr>
            <w:tcW w:w="2560" w:type="dxa"/>
            <w:vAlign w:val="bottom"/>
            <w:tcBorders>
              <w:top w:val="single" w:sz="8" w:color="auto"/>
            </w:tcBorders>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36,700 square feet</w:t>
            </w:r>
          </w:p>
        </w:tc>
      </w:tr>
      <w:tr>
        <w:trPr>
          <w:trHeight w:val="203"/>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(EPFL)</w:t>
            </w:r>
          </w:p>
        </w:tc>
        <w:tc>
          <w:tcPr>
            <w:tcW w:w="2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r>
      <w:tr>
        <w:trPr>
          <w:trHeight w:val="203"/>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Innovation Park Building B,</w:t>
            </w: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discovery, preclinical and</w:t>
            </w:r>
          </w:p>
        </w:tc>
        <w:tc>
          <w:tcPr>
            <w:tcW w:w="2560" w:type="dxa"/>
            <w:vAlign w:val="bottom"/>
            <w:shd w:val="clear" w:color="auto" w:fill="CCEEFF"/>
          </w:tcPr>
          <w:p>
            <w:pPr>
              <w:spacing w:after="0"/>
              <w:rPr>
                <w:sz w:val="17"/>
                <w:szCs w:val="17"/>
                <w:color w:val="auto"/>
              </w:rPr>
            </w:pPr>
          </w:p>
        </w:tc>
      </w:tr>
      <w:tr>
        <w:trPr>
          <w:trHeight w:val="231"/>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1015 Lausanne, Vaud, Switzerland</w:t>
            </w: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clinical development</w:t>
            </w:r>
          </w:p>
        </w:tc>
        <w:tc>
          <w:tcPr>
            <w:tcW w:w="2560" w:type="dxa"/>
            <w:vAlign w:val="bottom"/>
            <w:shd w:val="clear" w:color="auto" w:fill="CCEEFF"/>
          </w:tcPr>
          <w:p>
            <w:pPr>
              <w:spacing w:after="0"/>
              <w:rPr>
                <w:sz w:val="20"/>
                <w:szCs w:val="20"/>
                <w:color w:val="auto"/>
              </w:rPr>
            </w:pPr>
          </w:p>
        </w:tc>
      </w:tr>
      <w:tr>
        <w:trPr>
          <w:trHeight w:val="420"/>
        </w:trPr>
        <w:tc>
          <w:tcPr>
            <w:tcW w:w="30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Chemistry manufacturing and control</w:t>
            </w:r>
          </w:p>
        </w:tc>
        <w:tc>
          <w:tcPr>
            <w:tcW w:w="2560" w:type="dxa"/>
            <w:vAlign w:val="bottom"/>
            <w:shd w:val="clear" w:color="auto" w:fill="CCEEFF"/>
          </w:tcPr>
          <w:p>
            <w:pPr>
              <w:spacing w:after="0"/>
              <w:rPr>
                <w:sz w:val="24"/>
                <w:szCs w:val="24"/>
                <w:color w:val="auto"/>
              </w:rPr>
            </w:pPr>
          </w:p>
        </w:tc>
      </w:tr>
    </w:tbl>
    <w:p>
      <w:pPr>
        <w:spacing w:after="0" w:line="288" w:lineRule="exact"/>
        <w:rPr>
          <w:sz w:val="20"/>
          <w:szCs w:val="20"/>
          <w:color w:val="auto"/>
        </w:rPr>
      </w:pPr>
    </w:p>
    <w:p>
      <w:pPr>
        <w:ind w:left="40" w:right="219" w:firstLine="305"/>
        <w:spacing w:after="0" w:line="252" w:lineRule="auto"/>
        <w:rPr>
          <w:sz w:val="20"/>
          <w:szCs w:val="20"/>
          <w:color w:val="auto"/>
        </w:rPr>
      </w:pPr>
      <w:r>
        <w:rPr>
          <w:rFonts w:ascii="Times New Roman" w:cs="Times New Roman" w:eastAsia="Times New Roman" w:hAnsi="Times New Roman"/>
          <w:sz w:val="17"/>
          <w:szCs w:val="17"/>
          <w:color w:val="auto"/>
        </w:rPr>
        <w:t>The Innovation Park of the EPFL serves as our corporate headquarters, our research facility and laboratories. We believe that using the EPFL facilities instead of building our own infrastructure helps us to maximize the value of our research and development capital and make efficient use of our funds as we continue to build and develop our pipeline. While our presence in the United States is currently through a virtual office, we may seek office space in the future. We believe that the space of our existing facilities is sufficient to meet our current needs.</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4A. UNRESOLVED STAFF COMMENTS</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None.</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5. OPERATING AND FINANCIAL REVIEW AND PROSPECTS</w:t>
      </w:r>
    </w:p>
    <w:p>
      <w:pPr>
        <w:spacing w:after="0" w:line="215" w:lineRule="exact"/>
        <w:rPr>
          <w:sz w:val="20"/>
          <w:szCs w:val="20"/>
          <w:color w:val="auto"/>
        </w:rPr>
      </w:pPr>
    </w:p>
    <w:p>
      <w:pPr>
        <w:ind w:left="40" w:right="59" w:firstLine="305"/>
        <w:spacing w:after="0" w:line="251" w:lineRule="auto"/>
        <w:rPr>
          <w:sz w:val="20"/>
          <w:szCs w:val="20"/>
          <w:color w:val="auto"/>
        </w:rPr>
      </w:pPr>
      <w:r>
        <w:rPr>
          <w:rFonts w:ascii="Times New Roman" w:cs="Times New Roman" w:eastAsia="Times New Roman" w:hAnsi="Times New Roman"/>
          <w:sz w:val="17"/>
          <w:szCs w:val="17"/>
          <w:color w:val="auto"/>
        </w:rPr>
        <w:t>You should read the following discussion and analysis of our financial condition and results of operations together with our audited consolidated financial statements, including the notes thereto, included in this Annual Report. The following discussion is based on our financial information prepared in accordance with IFRS as issued by the IASB, which might differ in material respects from generally accepted accounting principles in other jurisdictions. 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“Item 3. Key information —D. Risk factors” and elsewhere in this Annual Report.</w:t>
      </w:r>
    </w:p>
    <w:p>
      <w:pPr>
        <w:spacing w:after="0" w:line="177" w:lineRule="exact"/>
        <w:rPr>
          <w:sz w:val="20"/>
          <w:szCs w:val="20"/>
          <w:color w:val="auto"/>
        </w:rPr>
      </w:pPr>
    </w:p>
    <w:p>
      <w:pPr>
        <w:ind w:left="40" w:right="7399" w:firstLine="5"/>
        <w:spacing w:after="0" w:line="501" w:lineRule="auto"/>
        <w:tabs>
          <w:tab w:leader="none" w:pos="345"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Operating results Overview</w:t>
      </w:r>
    </w:p>
    <w:p>
      <w:pPr>
        <w:ind w:left="40" w:right="199" w:firstLine="305"/>
        <w:spacing w:after="0" w:line="250" w:lineRule="auto"/>
        <w:rPr>
          <w:sz w:val="20"/>
          <w:szCs w:val="20"/>
          <w:color w:val="auto"/>
        </w:rPr>
      </w:pPr>
      <w:r>
        <w:rPr>
          <w:rFonts w:ascii="Times New Roman" w:cs="Times New Roman" w:eastAsia="Times New Roman" w:hAnsi="Times New Roman"/>
          <w:sz w:val="17"/>
          <w:szCs w:val="17"/>
          <w:color w:val="auto"/>
        </w:rPr>
        <w:t>To date, we have primarily financed our operations through the proceeds from our public offerings, share issuances, contract revenues from option, license and collaboration agreements and grants. We have no products approved for commercialization and have never generated any revenues from product sales. Pharmaceutical and biopharmaceutical product development is a highly speculative undertaking and involves a substantial degree of risk. It may be several years, if ever, before we or our collaboration partners complete pivotal clinical studies and have a product candidate approved for commercialization, and we begin to generate revenue and royalties from product sales. Since our inception, we have received upfront and milestone payments from our collaboration partners and certain other revenue. However, we have also incurred significant operating losses. We incurred net losses of CHF 70.4 million for the fiscal year ended December 31, 2025 and have an accumulated losses balance of CHF 439.0 million as of December 31, 2025.</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18" w:name="page119"/>
    <w:bookmarkEnd w:id="11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Strategic collaborations and licensing agreements</w:t>
      </w:r>
    </w:p>
    <w:p>
      <w:pPr>
        <w:spacing w:after="0" w:line="215" w:lineRule="exact"/>
        <w:rPr>
          <w:sz w:val="20"/>
          <w:szCs w:val="20"/>
          <w:color w:val="auto"/>
        </w:rPr>
      </w:pPr>
    </w:p>
    <w:p>
      <w:pPr>
        <w:ind w:left="40" w:right="99" w:firstLine="305"/>
        <w:spacing w:after="0" w:line="255" w:lineRule="auto"/>
        <w:rPr>
          <w:sz w:val="20"/>
          <w:szCs w:val="20"/>
          <w:color w:val="auto"/>
        </w:rPr>
      </w:pPr>
      <w:r>
        <w:rPr>
          <w:rFonts w:ascii="Times New Roman" w:cs="Times New Roman" w:eastAsia="Times New Roman" w:hAnsi="Times New Roman"/>
          <w:sz w:val="17"/>
          <w:szCs w:val="17"/>
          <w:color w:val="auto"/>
        </w:rPr>
        <w:t>Since our inception, we have entered into strategic collaboration agreements with a range of partners covering a number of our product candidates. We entered into a strategic collaboration with Genentech in November 2006 (as amended in March 2009, January 2013, May 2014 and May 2015) regarding the development, manufacture and commercialization of anti-Abeta antibodies including crenezumab, and we refer to this agreement as the 2006 Agreement. On January 22, 2024, the Company announced that the development of crenezumab in the collaboration agreements with Genentech, a member of the Roche Group, was terminated. This termination became effective in April 2024. The Company regained the global rights to crenezumab in February 2025.</w:t>
      </w:r>
    </w:p>
    <w:p>
      <w:pPr>
        <w:spacing w:after="0" w:line="163" w:lineRule="exact"/>
        <w:rPr>
          <w:sz w:val="20"/>
          <w:szCs w:val="20"/>
          <w:color w:val="auto"/>
        </w:rPr>
      </w:pPr>
    </w:p>
    <w:p>
      <w:pPr>
        <w:ind w:left="40" w:right="139" w:firstLine="305"/>
        <w:spacing w:after="0" w:line="256" w:lineRule="auto"/>
        <w:rPr>
          <w:sz w:val="20"/>
          <w:szCs w:val="20"/>
          <w:color w:val="auto"/>
        </w:rPr>
      </w:pPr>
      <w:r>
        <w:rPr>
          <w:rFonts w:ascii="Times New Roman" w:cs="Times New Roman" w:eastAsia="Times New Roman" w:hAnsi="Times New Roman"/>
          <w:sz w:val="17"/>
          <w:szCs w:val="17"/>
          <w:color w:val="auto"/>
        </w:rPr>
        <w:t>In June 2012, we entered into an additional strategic collaboration agreement with Genentech regarding the development, manufacture and commercialization of anti-Tau antibodies, which covers semorinemab, and we refer to this agreement as the 2012 Agreement. On January 22, 2024, the Company announced that the development of semorinemab in the collaboration agreements with Genentech was terminated. This termination became effective in April 2024. The Company regained the global rights to semorinemab in February 2025.</w:t>
      </w:r>
    </w:p>
    <w:p>
      <w:pPr>
        <w:spacing w:after="0" w:line="176" w:lineRule="exact"/>
        <w:rPr>
          <w:sz w:val="20"/>
          <w:szCs w:val="20"/>
          <w:color w:val="auto"/>
        </w:rPr>
      </w:pPr>
    </w:p>
    <w:p>
      <w:pPr>
        <w:ind w:left="40" w:right="159" w:firstLine="305"/>
        <w:spacing w:after="0" w:line="277" w:lineRule="auto"/>
        <w:rPr>
          <w:sz w:val="20"/>
          <w:szCs w:val="20"/>
          <w:color w:val="auto"/>
        </w:rPr>
      </w:pPr>
      <w:r>
        <w:rPr>
          <w:rFonts w:ascii="Times New Roman" w:cs="Times New Roman" w:eastAsia="Times New Roman" w:hAnsi="Times New Roman"/>
          <w:sz w:val="17"/>
          <w:szCs w:val="17"/>
          <w:color w:val="auto"/>
        </w:rPr>
        <w:t>In May 2014 (as amended in June 2022), we entered into a license and collaboration agreement with Lantheus (formerly LMI and formerly Piramal Imaging SA) covering our Tau-PET Imaging tracers.</w:t>
      </w:r>
    </w:p>
    <w:p>
      <w:pPr>
        <w:spacing w:after="0" w:line="145" w:lineRule="exact"/>
        <w:rPr>
          <w:sz w:val="20"/>
          <w:szCs w:val="20"/>
          <w:color w:val="auto"/>
        </w:rPr>
      </w:pPr>
    </w:p>
    <w:p>
      <w:pPr>
        <w:ind w:left="40" w:right="59" w:firstLine="305"/>
        <w:spacing w:after="0" w:line="256" w:lineRule="auto"/>
        <w:rPr>
          <w:sz w:val="20"/>
          <w:szCs w:val="20"/>
          <w:color w:val="auto"/>
        </w:rPr>
      </w:pPr>
      <w:r>
        <w:rPr>
          <w:rFonts w:ascii="Times New Roman" w:cs="Times New Roman" w:eastAsia="Times New Roman" w:hAnsi="Times New Roman"/>
          <w:sz w:val="17"/>
          <w:szCs w:val="17"/>
          <w:color w:val="auto"/>
        </w:rPr>
        <w:t>In December 2014 (as amended in April 2016, July 2017, January 2019, November 2019, December 2022, November 2023, September 2024 and December 2024), we entered into a strategic collaboration agreement with Janssen regarding the development, manufacture and commercialization of anti-Tau active immunotherapies, which covers ACI 35.030. We expect to capitalize on Johnson &amp; Johnson’s extensive regulatory expertise and experience in developing, manufacturing and, if approved, commercializing active immunotherapies to bring ACI 35.030 to market.</w:t>
      </w:r>
    </w:p>
    <w:p>
      <w:pPr>
        <w:spacing w:after="0" w:line="176" w:lineRule="exact"/>
        <w:rPr>
          <w:sz w:val="20"/>
          <w:szCs w:val="20"/>
          <w:color w:val="auto"/>
        </w:rPr>
      </w:pPr>
    </w:p>
    <w:p>
      <w:pPr>
        <w:ind w:left="40" w:right="279" w:firstLine="305"/>
        <w:spacing w:after="0" w:line="252" w:lineRule="auto"/>
        <w:rPr>
          <w:sz w:val="20"/>
          <w:szCs w:val="20"/>
          <w:color w:val="auto"/>
        </w:rPr>
      </w:pPr>
      <w:r>
        <w:rPr>
          <w:rFonts w:ascii="Times New Roman" w:cs="Times New Roman" w:eastAsia="Times New Roman" w:hAnsi="Times New Roman"/>
          <w:sz w:val="17"/>
          <w:szCs w:val="17"/>
          <w:color w:val="auto"/>
        </w:rPr>
        <w:t>We entered into a license agreement with Lilly in December 2018 (as amended in September 2019 and March 2020) to research and develop Morphomer Tau small molecules for the treatment of AD and other neurodegenerative diseases. Under the terms of this agreement, we have completed a Phase 1 clinical study with ACI-3024. Lilly is responsible for leading and funding further clinical development for small molecule Tau aggregation inhibitors with plans to evaluate candidates in AD and NeuroOrphan tauopathies. Lilly will also retain global commercialization rights for all indications.</w:t>
      </w:r>
    </w:p>
    <w:p>
      <w:pPr>
        <w:spacing w:after="0" w:line="179" w:lineRule="exact"/>
        <w:rPr>
          <w:sz w:val="20"/>
          <w:szCs w:val="20"/>
          <w:color w:val="auto"/>
        </w:rPr>
      </w:pPr>
    </w:p>
    <w:p>
      <w:pPr>
        <w:ind w:left="40" w:right="79" w:firstLine="305"/>
        <w:spacing w:after="0" w:line="258" w:lineRule="auto"/>
        <w:rPr>
          <w:sz w:val="20"/>
          <w:szCs w:val="20"/>
          <w:color w:val="auto"/>
        </w:rPr>
      </w:pPr>
      <w:r>
        <w:rPr>
          <w:rFonts w:ascii="Times New Roman" w:cs="Times New Roman" w:eastAsia="Times New Roman" w:hAnsi="Times New Roman"/>
          <w:sz w:val="17"/>
          <w:szCs w:val="17"/>
          <w:color w:val="auto"/>
        </w:rPr>
        <w:t>In May 2024, we entered into an exclusive option and license agreement with Takeda for our active immunotherapies targeting Abeta, including ACI-24.060. AC Immune will be responsible for completing the ABATE trial. Following option exercise and the satisfaction of customary closing conditions, Takeda would conduct and fund all further clinical development and be responsible for all global regulatory activities as well as worldwide commercialization.</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Genentech, a member of the Roche Group</w:t>
      </w:r>
    </w:p>
    <w:p>
      <w:pPr>
        <w:spacing w:after="0" w:line="202" w:lineRule="exact"/>
        <w:rPr>
          <w:sz w:val="20"/>
          <w:szCs w:val="20"/>
          <w:color w:val="auto"/>
        </w:rPr>
      </w:pPr>
    </w:p>
    <w:p>
      <w:pPr>
        <w:jc w:val="both"/>
        <w:ind w:left="40" w:right="399" w:firstLine="305"/>
        <w:spacing w:after="0" w:line="263" w:lineRule="auto"/>
        <w:rPr>
          <w:sz w:val="20"/>
          <w:szCs w:val="20"/>
          <w:color w:val="auto"/>
        </w:rPr>
      </w:pPr>
      <w:r>
        <w:rPr>
          <w:rFonts w:ascii="Times New Roman" w:cs="Times New Roman" w:eastAsia="Times New Roman" w:hAnsi="Times New Roman"/>
          <w:sz w:val="17"/>
          <w:szCs w:val="17"/>
          <w:color w:val="auto"/>
        </w:rPr>
        <w:t>As mentioned above, the Company announced that the development of crenezumab and semorinemab in the collaboration agreements with Genentech was terminated. These terminations became effective in April 2024 and the Company regained the global rights to crenezumab and semorinemab in February 2025.</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Anti-Abeta antibody in AD – 2006 agreement</w:t>
      </w:r>
    </w:p>
    <w:p>
      <w:pPr>
        <w:spacing w:after="0" w:line="215" w:lineRule="exact"/>
        <w:rPr>
          <w:sz w:val="20"/>
          <w:szCs w:val="20"/>
          <w:color w:val="auto"/>
        </w:rPr>
      </w:pPr>
    </w:p>
    <w:p>
      <w:pPr>
        <w:ind w:left="40" w:right="499" w:firstLine="305"/>
        <w:spacing w:after="0" w:line="253" w:lineRule="auto"/>
        <w:rPr>
          <w:sz w:val="20"/>
          <w:szCs w:val="20"/>
          <w:color w:val="auto"/>
        </w:rPr>
      </w:pPr>
      <w:r>
        <w:rPr>
          <w:rFonts w:ascii="Times New Roman" w:cs="Times New Roman" w:eastAsia="Times New Roman" w:hAnsi="Times New Roman"/>
          <w:sz w:val="17"/>
          <w:szCs w:val="17"/>
          <w:color w:val="auto"/>
        </w:rPr>
        <w:t>In November 2006, we signed an exclusive, worldwide licensing agreement for crenezumab, our humanized monoclonal therapeutic antibody targeting misfolded Abeta. The agreement was amended March 2009, January 2013, May 2014 and May 2015. The collaboration agreement was terminated effective April 2024 and the Company regained the global rights to crenezumab in February 2025.</w:t>
      </w:r>
    </w:p>
    <w:p>
      <w:pPr>
        <w:spacing w:after="0" w:line="178" w:lineRule="exact"/>
        <w:rPr>
          <w:sz w:val="20"/>
          <w:szCs w:val="20"/>
          <w:color w:val="auto"/>
        </w:rPr>
      </w:pPr>
    </w:p>
    <w:p>
      <w:pPr>
        <w:ind w:left="40" w:right="99" w:firstLine="305"/>
        <w:spacing w:after="0" w:line="277" w:lineRule="auto"/>
        <w:rPr>
          <w:sz w:val="20"/>
          <w:szCs w:val="20"/>
          <w:color w:val="auto"/>
        </w:rPr>
      </w:pPr>
      <w:r>
        <w:rPr>
          <w:rFonts w:ascii="Times New Roman" w:cs="Times New Roman" w:eastAsia="Times New Roman" w:hAnsi="Times New Roman"/>
          <w:sz w:val="17"/>
          <w:szCs w:val="17"/>
          <w:color w:val="auto"/>
        </w:rPr>
        <w:t>We have received total milestone payments of USD 65 (CHF 70.1) million comprised of an upfront payment of USD 25 (CHF 31.6) million and of USD 40 (CHF 38.2) million for clinical development milestones achieved, all prior to January 1, 2017.</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19" w:name="page120"/>
    <w:bookmarkEnd w:id="11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Anti-Tau antibody in AD – 2012 agreement</w:t>
      </w:r>
    </w:p>
    <w:p>
      <w:pPr>
        <w:spacing w:after="0" w:line="215" w:lineRule="exact"/>
        <w:rPr>
          <w:sz w:val="20"/>
          <w:szCs w:val="20"/>
          <w:color w:val="auto"/>
        </w:rPr>
      </w:pPr>
    </w:p>
    <w:p>
      <w:pPr>
        <w:ind w:left="40" w:right="399" w:firstLine="305"/>
        <w:spacing w:after="0" w:line="287" w:lineRule="auto"/>
        <w:rPr>
          <w:sz w:val="20"/>
          <w:szCs w:val="20"/>
          <w:color w:val="auto"/>
        </w:rPr>
      </w:pPr>
      <w:r>
        <w:rPr>
          <w:rFonts w:ascii="Times New Roman" w:cs="Times New Roman" w:eastAsia="Times New Roman" w:hAnsi="Times New Roman"/>
          <w:sz w:val="16"/>
          <w:szCs w:val="16"/>
          <w:color w:val="auto"/>
        </w:rPr>
        <w:t>In June 2012, we entered into a second agreement with Genentech to research, develop and commercialize our anti-Tau antibodies for use as immunotherapeutics and diagnostics. The agreement was amended in December 2015. This collaboration agreement was terminated effective April 2024 and the Company regained the global rights to semorinemab in February 2025.</w:t>
      </w:r>
    </w:p>
    <w:p>
      <w:pPr>
        <w:spacing w:after="0" w:line="152" w:lineRule="exact"/>
        <w:rPr>
          <w:sz w:val="20"/>
          <w:szCs w:val="20"/>
          <w:color w:val="auto"/>
        </w:rPr>
      </w:pPr>
    </w:p>
    <w:p>
      <w:pPr>
        <w:ind w:left="40" w:right="99" w:firstLine="305"/>
        <w:spacing w:after="0" w:line="252" w:lineRule="auto"/>
        <w:rPr>
          <w:sz w:val="20"/>
          <w:szCs w:val="20"/>
          <w:color w:val="auto"/>
        </w:rPr>
      </w:pPr>
      <w:r>
        <w:rPr>
          <w:rFonts w:ascii="Times New Roman" w:cs="Times New Roman" w:eastAsia="Times New Roman" w:hAnsi="Times New Roman"/>
          <w:sz w:val="17"/>
          <w:szCs w:val="17"/>
          <w:color w:val="auto"/>
        </w:rPr>
        <w:t>We have received payments totaling CHF 59 million, including a milestone payment of CHF 14 million received and recognized in Q4 2017 associated with the first patient dosing in a Phase 2 clinical trial for AD with an anti-Tau monoclonal body known as semorinemab, a milestone payment of CHF 14 million recognized in Q2 2016 and received in July 2016, associated with the announcement of the commencement of the Phase 1 clinical study of semorinemab, and a milestone payment of CHF 14 million received in 2015 in connection with the ED-GO decision.</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Janssen Pharmaceuticals, Inc. (Janssen), a Johnson &amp; Johnson company</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Tau Active Immunotherapy in AD – 2014 agreement</w:t>
      </w:r>
    </w:p>
    <w:p>
      <w:pPr>
        <w:spacing w:after="0" w:line="215" w:lineRule="exact"/>
        <w:rPr>
          <w:sz w:val="20"/>
          <w:szCs w:val="20"/>
          <w:color w:val="auto"/>
        </w:rPr>
      </w:pPr>
    </w:p>
    <w:p>
      <w:pPr>
        <w:ind w:left="40" w:right="99" w:firstLine="305"/>
        <w:spacing w:after="0" w:line="249" w:lineRule="auto"/>
        <w:rPr>
          <w:sz w:val="20"/>
          <w:szCs w:val="20"/>
          <w:color w:val="auto"/>
        </w:rPr>
      </w:pPr>
      <w:r>
        <w:rPr>
          <w:rFonts w:ascii="Times New Roman" w:cs="Times New Roman" w:eastAsia="Times New Roman" w:hAnsi="Times New Roman"/>
          <w:sz w:val="17"/>
          <w:szCs w:val="17"/>
          <w:color w:val="auto"/>
        </w:rPr>
        <w:t>In December 2014, we entered into an agreement with Janssen Pharmaceuticals, Inc. (Janssen), part of a Johnson &amp; Johnson company, to develop and commercialize therapeutic anti-Tau active immunotherapies for the treatment of AD and potentially other tauopathies. The value of this collaboration is potentially up to CHF 500 million and includes upfront and clinical, regulatory and commercial milestones. In addition to milestones, we will be eligible to receive royalties on sales at a percentage rate ranging from the low-double digits to the mid-teens for the ACI-35.030 active immunotherapy program. In April 2016, July 2017, January 2019, November 2019, December 2022, November 2023, September 2024 and December 2024, the companies entered into the first, second, third, fourth, fifth, sixth, seventh and eighth amendments, respectively. These amendments allow for the alignment of certain payment and activity provisions with the Development Plan and Research Plan activities. We and Janssen have completed the co-development of the second-generation lead active immunotherapies, ACI-35.030 and JACI-35.054, through Phase 1b/2a. In November 2022, it was announced that ACI-35.030 was selected to advance into further development based on interim data from the ongoing Phase 1b/2a trial. In December 2023, it was announced that Janssen has programmed the launch of the Phase 2b clinical study to evaluate ACI-35.030/JNJ-2056 in patients with preclinical AD, those individuals not yet showing symptoms. AC Immune and Janssen will jointly share research and development costs until the completion of the first Phase 2b (AC Immune’s contribution to the first Phase 2b trial is capped). From Phase 2b and onwards, Janssen will assume responsibility for the clinical development, manufacturing and commercialization of ACI-35.030. In July 2024, JNJ-2056 was granted Fast Track designation from the FDA, for the treatment of AD.</w:t>
      </w:r>
    </w:p>
    <w:p>
      <w:pPr>
        <w:spacing w:after="0" w:line="182" w:lineRule="exact"/>
        <w:rPr>
          <w:sz w:val="20"/>
          <w:szCs w:val="20"/>
          <w:color w:val="auto"/>
        </w:rPr>
      </w:pPr>
    </w:p>
    <w:p>
      <w:pPr>
        <w:ind w:left="40" w:right="119" w:firstLine="305"/>
        <w:spacing w:after="0" w:line="251" w:lineRule="auto"/>
        <w:rPr>
          <w:sz w:val="20"/>
          <w:szCs w:val="20"/>
          <w:color w:val="auto"/>
        </w:rPr>
      </w:pPr>
      <w:r>
        <w:rPr>
          <w:rFonts w:ascii="Times New Roman" w:cs="Times New Roman" w:eastAsia="Times New Roman" w:hAnsi="Times New Roman"/>
          <w:sz w:val="17"/>
          <w:szCs w:val="17"/>
          <w:color w:val="auto"/>
        </w:rPr>
        <w:t>The Company received an upfront, non-refundable license fee of CHF 25.9 million, which we recognized as revenue in 2014. In May 2016, we received a payment of CHF 4.9 million for reaching a clinical milestone in the Phase 1b study. In February 2024, we received a milestone payment of CHF 14.8 million for the commencement of the first Phase 2b clinical study. In October 2024, the Company received the second ReTain-related milestone payment of CHF 24.6 million under its agreement with Janssen. This milestone payment was triggered by the rapid rate of prescreening in the potentially registrational Phase 2b ReTain trial investigating active-immunotherapy candidate ACI-35.030/JNJ-2056 to treat preclinical (pre-symptomatic) AD. The Company recognized this milestone payment as revenue because we deemed it highly probable that this milestone would be obtained and would not be subject to reversal in the future.</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structure of the collaboration agreement is as follows:</w:t>
      </w:r>
    </w:p>
    <w:p>
      <w:pPr>
        <w:spacing w:after="0" w:line="198" w:lineRule="exact"/>
        <w:rPr>
          <w:sz w:val="20"/>
          <w:szCs w:val="20"/>
          <w:color w:val="auto"/>
        </w:rPr>
      </w:pPr>
    </w:p>
    <w:p>
      <w:pPr>
        <w:ind w:left="680" w:hanging="305"/>
        <w:spacing w:after="0"/>
        <w:tabs>
          <w:tab w:leader="none" w:pos="68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right-of-use license.</w:t>
      </w:r>
    </w:p>
    <w:p>
      <w:pPr>
        <w:spacing w:after="0" w:line="206" w:lineRule="exact"/>
        <w:rPr>
          <w:rFonts w:ascii="Times New Roman" w:cs="Times New Roman" w:eastAsia="Times New Roman" w:hAnsi="Times New Roman"/>
          <w:sz w:val="17"/>
          <w:szCs w:val="17"/>
          <w:color w:val="auto"/>
        </w:rPr>
      </w:pPr>
    </w:p>
    <w:p>
      <w:pPr>
        <w:ind w:left="680" w:right="99" w:hanging="305"/>
        <w:spacing w:after="0" w:line="256" w:lineRule="auto"/>
        <w:tabs>
          <w:tab w:leader="none" w:pos="68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Clinical milestone payments</w:t>
      </w:r>
      <w:r>
        <w:rPr>
          <w:rFonts w:ascii="Times New Roman" w:cs="Times New Roman" w:eastAsia="Times New Roman" w:hAnsi="Times New Roman"/>
          <w:sz w:val="17"/>
          <w:szCs w:val="17"/>
          <w:color w:val="auto"/>
        </w:rPr>
        <w:t>: payable upon reaching certain milestones in the Phase 1b study, commencement of the first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Phase 2b development, upon reaching enrollment thresholds in the first Phase 2b, commencement of the first Phase 3 trial or regulatory filing of a product for AD indication based on Phase 2b data without a Phase 3 trial. In addition, for a second indication, clinical milestone payments would be payable upon commencement of a Phase 3 clinical study, which would be payable concurrently with the first regulatory milestone, if Janssen were to file for regulatory approval based on Phase 2 clinical data.</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20" w:name="page121"/>
    <w:bookmarkEnd w:id="12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80" w:right="199" w:hanging="305"/>
        <w:spacing w:after="0" w:line="260" w:lineRule="auto"/>
        <w:tabs>
          <w:tab w:leader="none" w:pos="68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Regulatory milestone payments</w:t>
      </w:r>
      <w:r>
        <w:rPr>
          <w:rFonts w:ascii="Times New Roman" w:cs="Times New Roman" w:eastAsia="Times New Roman" w:hAnsi="Times New Roman"/>
          <w:sz w:val="17"/>
          <w:szCs w:val="17"/>
          <w:color w:val="auto"/>
        </w:rPr>
        <w:t>: payable upon making regulatory filings in the U.S., Europe, and Japan, respectively.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addition, for a second indication, similar regulatory milestones would be payable. For a second indication, additional regulatory milestone payments are payable by Janssen to us upon receipt of each of the regulatory approvals in the U.S., Europe and Japan.</w:t>
      </w:r>
    </w:p>
    <w:p>
      <w:pPr>
        <w:spacing w:after="0" w:line="155" w:lineRule="exact"/>
        <w:rPr>
          <w:rFonts w:ascii="Times New Roman" w:cs="Times New Roman" w:eastAsia="Times New Roman" w:hAnsi="Times New Roman"/>
          <w:sz w:val="17"/>
          <w:szCs w:val="17"/>
          <w:color w:val="auto"/>
        </w:rPr>
      </w:pPr>
    </w:p>
    <w:p>
      <w:pPr>
        <w:ind w:left="680" w:right="259" w:hanging="305"/>
        <w:spacing w:after="0" w:line="282" w:lineRule="auto"/>
        <w:tabs>
          <w:tab w:leader="none" w:pos="68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Commercialization milestones</w:t>
      </w:r>
      <w:r>
        <w:rPr>
          <w:rFonts w:ascii="Times New Roman" w:cs="Times New Roman" w:eastAsia="Times New Roman" w:hAnsi="Times New Roman"/>
          <w:sz w:val="17"/>
          <w:szCs w:val="17"/>
          <w:color w:val="auto"/>
        </w:rPr>
        <w:t>: payable upon making a first commercial sale in each of the U.S., Europe and Japan,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upon achieving certain commercial milestones.</w:t>
      </w:r>
    </w:p>
    <w:p>
      <w:pPr>
        <w:spacing w:after="0" w:line="149" w:lineRule="exact"/>
        <w:rPr>
          <w:rFonts w:ascii="Times New Roman" w:cs="Times New Roman" w:eastAsia="Times New Roman" w:hAnsi="Times New Roman"/>
          <w:sz w:val="17"/>
          <w:szCs w:val="17"/>
          <w:color w:val="auto"/>
        </w:rPr>
      </w:pPr>
    </w:p>
    <w:p>
      <w:pPr>
        <w:ind w:left="680" w:right="219" w:hanging="305"/>
        <w:spacing w:after="0" w:line="266" w:lineRule="auto"/>
        <w:tabs>
          <w:tab w:leader="none" w:pos="68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Royalties</w:t>
      </w:r>
      <w:r>
        <w:rPr>
          <w:rFonts w:ascii="Times New Roman" w:cs="Times New Roman" w:eastAsia="Times New Roman" w:hAnsi="Times New Roman"/>
          <w:sz w:val="17"/>
          <w:szCs w:val="17"/>
          <w:color w:val="auto"/>
        </w:rPr>
        <w:t>: payable on sales, with royalty rates differing based on the level of annual sales. We may receive royalties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sales at a percentage rate ranging from the low-double digits to the mid-teens for the ACI-35.030 active immunotherapy program.</w:t>
      </w:r>
    </w:p>
    <w:p>
      <w:pPr>
        <w:spacing w:after="0" w:line="166" w:lineRule="exact"/>
        <w:rPr>
          <w:sz w:val="20"/>
          <w:szCs w:val="20"/>
          <w:color w:val="auto"/>
        </w:rPr>
      </w:pPr>
    </w:p>
    <w:p>
      <w:pPr>
        <w:ind w:left="40" w:right="219" w:firstLine="305"/>
        <w:spacing w:after="0" w:line="263" w:lineRule="auto"/>
        <w:rPr>
          <w:sz w:val="20"/>
          <w:szCs w:val="20"/>
          <w:color w:val="auto"/>
        </w:rPr>
      </w:pPr>
      <w:r>
        <w:rPr>
          <w:rFonts w:ascii="Times New Roman" w:cs="Times New Roman" w:eastAsia="Times New Roman" w:hAnsi="Times New Roman"/>
          <w:sz w:val="17"/>
          <w:szCs w:val="17"/>
          <w:color w:val="auto"/>
        </w:rPr>
        <w:t>Under the terms of the agreement, Janssen may terminate the agreement at any time after completion of the first Phase 1b clinical study (which was completed in 2016) by providing 90 days’ notice to us. If not otherwise terminated, the agreement shall continue until the expiration of all royalty obligations as outlined in the contract.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Life Molecular Imaging (formerly Piramal Imaging SA)</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Tau-PET imaging agent – 2014 agreement</w:t>
      </w:r>
    </w:p>
    <w:p>
      <w:pPr>
        <w:spacing w:after="0" w:line="215" w:lineRule="exact"/>
        <w:rPr>
          <w:sz w:val="20"/>
          <w:szCs w:val="20"/>
          <w:color w:val="auto"/>
        </w:rPr>
      </w:pPr>
    </w:p>
    <w:p>
      <w:pPr>
        <w:ind w:left="40" w:right="119" w:firstLine="305"/>
        <w:spacing w:after="0" w:line="272" w:lineRule="auto"/>
        <w:rPr>
          <w:sz w:val="20"/>
          <w:szCs w:val="20"/>
          <w:color w:val="auto"/>
        </w:rPr>
      </w:pPr>
      <w:r>
        <w:rPr>
          <w:rFonts w:ascii="Times New Roman" w:cs="Times New Roman" w:eastAsia="Times New Roman" w:hAnsi="Times New Roman"/>
          <w:sz w:val="16"/>
          <w:szCs w:val="16"/>
          <w:color w:val="auto"/>
        </w:rPr>
        <w:t>In May 2014 (as amended in June 2022), we entered into an agreement, our first diagnostic partnership, with Life Molecular Imaging (formerly Piramal Imaging SA. The partnership with Life Molecular Imaging is an exclusive, worldwide licensing agreement for the research, development and commercialization of the Company’s Tau protein PET tracers supporting the early diagnosis and clinical management of AD and other Tau-related disorders and includes upfront and sales milestone payments totaling up to EUR 160 (CHF 150) million, plus royalties on sales at a percentage rate ranging from mid-single digits to low-teens.</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Eli Lilly and Company</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Morphomer Tau small molecule – 2018 license agreement</w:t>
      </w:r>
    </w:p>
    <w:p>
      <w:pPr>
        <w:spacing w:after="0" w:line="215" w:lineRule="exact"/>
        <w:rPr>
          <w:sz w:val="20"/>
          <w:szCs w:val="20"/>
          <w:color w:val="auto"/>
        </w:rPr>
      </w:pPr>
    </w:p>
    <w:p>
      <w:pPr>
        <w:ind w:left="40" w:right="79" w:firstLine="305"/>
        <w:spacing w:after="0" w:line="253" w:lineRule="auto"/>
        <w:rPr>
          <w:sz w:val="20"/>
          <w:szCs w:val="20"/>
          <w:color w:val="auto"/>
        </w:rPr>
      </w:pPr>
      <w:r>
        <w:rPr>
          <w:rFonts w:ascii="Times New Roman" w:cs="Times New Roman" w:eastAsia="Times New Roman" w:hAnsi="Times New Roman"/>
          <w:sz w:val="17"/>
          <w:szCs w:val="17"/>
          <w:color w:val="auto"/>
        </w:rPr>
        <w:t>In December 2018, we entered into an exclusive, worldwide licensing agreement with Eli Lilly and Company (Lilly) to research and develop Morphomer Tau small molecules for the treatment of AD and other neurodegenerative diseases. Per the terms of the agreement, the Company received an initial upfront payment of CHF 80 million in Q1 2019 for the rights granted by the Company to Lilly. To date, the Company has completed a Phase 1 clinical study with ACI-3024.</w:t>
      </w:r>
    </w:p>
    <w:p>
      <w:pPr>
        <w:spacing w:after="0" w:line="178" w:lineRule="exact"/>
        <w:rPr>
          <w:sz w:val="20"/>
          <w:szCs w:val="20"/>
          <w:color w:val="auto"/>
        </w:rPr>
      </w:pPr>
    </w:p>
    <w:p>
      <w:pPr>
        <w:ind w:left="40" w:right="79" w:firstLine="305"/>
        <w:spacing w:after="0" w:line="258" w:lineRule="auto"/>
        <w:rPr>
          <w:sz w:val="20"/>
          <w:szCs w:val="20"/>
          <w:color w:val="auto"/>
        </w:rPr>
      </w:pPr>
      <w:r>
        <w:rPr>
          <w:rFonts w:ascii="Times New Roman" w:cs="Times New Roman" w:eastAsia="Times New Roman" w:hAnsi="Times New Roman"/>
          <w:sz w:val="17"/>
          <w:szCs w:val="17"/>
          <w:color w:val="auto"/>
        </w:rPr>
        <w:t>Additionally, the Company and Lilly have continued candidate characterization across the research program, identifying new and highly differentiated candidates with desired cerebrospinal fluid exposure and selectivity for pathological aggregated Tau. These will be broadly developed in Tau-dependent neurodegenerative diseases by Lilly. Lilly is responsible for leading and funding further clinical development and will retain global commercialization rights for all indications.</w:t>
      </w:r>
    </w:p>
    <w:p>
      <w:pPr>
        <w:spacing w:after="0" w:line="175" w:lineRule="exact"/>
        <w:rPr>
          <w:sz w:val="20"/>
          <w:szCs w:val="20"/>
          <w:color w:val="auto"/>
        </w:rPr>
      </w:pPr>
    </w:p>
    <w:p>
      <w:pPr>
        <w:ind w:left="40" w:right="59" w:firstLine="305"/>
        <w:spacing w:after="0" w:line="249" w:lineRule="auto"/>
        <w:rPr>
          <w:sz w:val="20"/>
          <w:szCs w:val="20"/>
          <w:color w:val="auto"/>
        </w:rPr>
      </w:pPr>
      <w:r>
        <w:rPr>
          <w:rFonts w:ascii="Times New Roman" w:cs="Times New Roman" w:eastAsia="Times New Roman" w:hAnsi="Times New Roman"/>
          <w:sz w:val="17"/>
          <w:szCs w:val="17"/>
          <w:color w:val="auto"/>
        </w:rPr>
        <w:t>Per the terms of the agreement, the Company may become eligible to receive additional milestone payments totaling up to approximately CHF 1.9 billion. In addition to milestones, we will be eligible to receive royalties on sales at a percentage rate ranging from the low double-digits to the mid-teens. The agreement became effective in January 2019 when the waiting period under the Hart-Scott-Rodino Antitrust Improvements Act of 1976, as amended, expired. In Q3 2019, the Company and Lilly entered into the first amendment to divide the first discretionary milestone payment under the agreement of CHF 60 million into two installments with the first CHF 30 million paid in Q3 2019 and the second CHF 30 million to be paid on or before March 31, 2020 unless Lilly terminated the agreement earlier. In Q1 2020, the Company and Lilly entered into a second amendment to replace the second CHF 30 million to be paid on or before March 31, 2020 with two milestone payments, one of CHF 10 million to be paid on or before March 31, 2020 and the other of CHF 60 million following the first patient dosed in a Phase 2 clinical study of a licensed product in the U.S. or the EU.</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21" w:name="page122"/>
    <w:bookmarkEnd w:id="12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179" w:firstLine="305"/>
        <w:spacing w:after="0" w:line="255" w:lineRule="auto"/>
        <w:rPr>
          <w:sz w:val="20"/>
          <w:szCs w:val="20"/>
          <w:color w:val="auto"/>
        </w:rPr>
      </w:pPr>
      <w:r>
        <w:rPr>
          <w:rFonts w:ascii="Times New Roman" w:cs="Times New Roman" w:eastAsia="Times New Roman" w:hAnsi="Times New Roman"/>
          <w:sz w:val="17"/>
          <w:szCs w:val="17"/>
          <w:color w:val="auto"/>
        </w:rPr>
        <w:t>The Company received an initial upfront payment of CHF 80 million in February 2019. We used the residual approach to estimate the selling price for the right-of-use license and an expected cost plus margin approach for estimating the research and development activities. The right-of-use license was delivered on the effective date. The research and development activities were delivered over time as the services were performed. For these services, revenue was recognized over time using the input method, based on costs incurred to perform the services, as the level of costs incurred over time is thought to best reflect the transfer of services to Lilly.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structure of the collaboration agreement is as follows:</w:t>
      </w:r>
    </w:p>
    <w:p>
      <w:pPr>
        <w:spacing w:after="0" w:line="194" w:lineRule="exact"/>
        <w:rPr>
          <w:sz w:val="20"/>
          <w:szCs w:val="20"/>
          <w:color w:val="auto"/>
        </w:rPr>
      </w:pPr>
    </w:p>
    <w:p>
      <w:pPr>
        <w:ind w:left="680" w:right="79" w:hanging="305"/>
        <w:spacing w:after="0" w:line="266" w:lineRule="auto"/>
        <w:tabs>
          <w:tab w:leader="none" w:pos="68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w:t>
      </w:r>
      <w:r>
        <w:rPr>
          <w:rFonts w:ascii="Times New Roman" w:cs="Times New Roman" w:eastAsia="Times New Roman" w:hAnsi="Times New Roman"/>
          <w:sz w:val="17"/>
          <w:szCs w:val="17"/>
          <w:color w:val="auto"/>
        </w:rPr>
        <w:t>n</w:t>
      </w:r>
      <w:r>
        <w:rPr>
          <w:rFonts w:ascii="Times New Roman" w:cs="Times New Roman" w:eastAsia="Times New Roman" w:hAnsi="Times New Roman"/>
          <w:sz w:val="17"/>
          <w:szCs w:val="17"/>
          <w:i w:val="1"/>
          <w:iCs w:val="1"/>
          <w:color w:val="auto"/>
        </w:rPr>
        <w:t xml:space="preserve"> exclusive license: </w:t>
      </w:r>
      <w:r>
        <w:rPr>
          <w:rFonts w:ascii="Times New Roman" w:cs="Times New Roman" w:eastAsia="Times New Roman" w:hAnsi="Times New Roman"/>
          <w:sz w:val="17"/>
          <w:szCs w:val="17"/>
          <w:color w:val="auto"/>
        </w:rPr>
        <w:t>granted by us to Lilly under certain of our intellectual property to develop, manufacture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commercialize products containing Morphomer Tau small molecules for the treatment of AD and other neurodegenerative diseases throughout the world in any indication.</w:t>
      </w:r>
    </w:p>
    <w:p>
      <w:pPr>
        <w:spacing w:after="0" w:line="162" w:lineRule="exact"/>
        <w:rPr>
          <w:rFonts w:ascii="Times New Roman" w:cs="Times New Roman" w:eastAsia="Times New Roman" w:hAnsi="Times New Roman"/>
          <w:sz w:val="17"/>
          <w:szCs w:val="17"/>
          <w:color w:val="auto"/>
        </w:rPr>
      </w:pPr>
    </w:p>
    <w:p>
      <w:pPr>
        <w:ind w:left="680" w:right="379" w:hanging="305"/>
        <w:spacing w:after="0" w:line="282" w:lineRule="auto"/>
        <w:tabs>
          <w:tab w:leader="none" w:pos="68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Clinical milestone payment</w:t>
      </w:r>
      <w:r>
        <w:rPr>
          <w:rFonts w:ascii="Times New Roman" w:cs="Times New Roman" w:eastAsia="Times New Roman" w:hAnsi="Times New Roman"/>
          <w:sz w:val="17"/>
          <w:szCs w:val="17"/>
          <w:color w:val="auto"/>
        </w:rPr>
        <w:t>s: payable upon completion of the Lilly preclinical activities period and following the first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patient dosed in a Phase 2 and Phase 3 clinical study of a licensed product in the U.S. or the EU.</w:t>
      </w:r>
    </w:p>
    <w:p>
      <w:pPr>
        <w:spacing w:after="0" w:line="149" w:lineRule="exact"/>
        <w:rPr>
          <w:rFonts w:ascii="Times New Roman" w:cs="Times New Roman" w:eastAsia="Times New Roman" w:hAnsi="Times New Roman"/>
          <w:sz w:val="17"/>
          <w:szCs w:val="17"/>
          <w:color w:val="auto"/>
        </w:rPr>
      </w:pPr>
    </w:p>
    <w:p>
      <w:pPr>
        <w:ind w:left="680" w:right="199" w:hanging="305"/>
        <w:spacing w:after="0" w:line="315" w:lineRule="auto"/>
        <w:tabs>
          <w:tab w:leader="none" w:pos="6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Regulatory milestone payments</w:t>
      </w:r>
      <w:r>
        <w:rPr>
          <w:rFonts w:ascii="Times New Roman" w:cs="Times New Roman" w:eastAsia="Times New Roman" w:hAnsi="Times New Roman"/>
          <w:sz w:val="16"/>
          <w:szCs w:val="16"/>
          <w:color w:val="auto"/>
        </w:rPr>
        <w:t>: payable within 60 days after obtaining regulatory approval for any licensed product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first indication and any licensed product in certain additional indications in the U.S., Europe and Japan, respectively.</w:t>
      </w:r>
    </w:p>
    <w:p>
      <w:pPr>
        <w:spacing w:after="0" w:line="126" w:lineRule="exact"/>
        <w:rPr>
          <w:rFonts w:ascii="Times New Roman" w:cs="Times New Roman" w:eastAsia="Times New Roman" w:hAnsi="Times New Roman"/>
          <w:sz w:val="16"/>
          <w:szCs w:val="16"/>
          <w:color w:val="auto"/>
        </w:rPr>
      </w:pPr>
    </w:p>
    <w:p>
      <w:pPr>
        <w:ind w:left="680" w:hanging="305"/>
        <w:spacing w:after="0"/>
        <w:tabs>
          <w:tab w:leader="none" w:pos="68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Commercialization milestones</w:t>
      </w:r>
      <w:r>
        <w:rPr>
          <w:rFonts w:ascii="Times New Roman" w:cs="Times New Roman" w:eastAsia="Times New Roman" w:hAnsi="Times New Roman"/>
          <w:sz w:val="17"/>
          <w:szCs w:val="17"/>
          <w:color w:val="auto"/>
        </w:rPr>
        <w:t>: payable upon achieving certain commercial sales milestones.</w:t>
      </w:r>
    </w:p>
    <w:p>
      <w:pPr>
        <w:spacing w:after="0" w:line="210" w:lineRule="exact"/>
        <w:rPr>
          <w:rFonts w:ascii="Times New Roman" w:cs="Times New Roman" w:eastAsia="Times New Roman" w:hAnsi="Times New Roman"/>
          <w:sz w:val="17"/>
          <w:szCs w:val="17"/>
          <w:color w:val="auto"/>
        </w:rPr>
      </w:pPr>
    </w:p>
    <w:p>
      <w:pPr>
        <w:ind w:left="680" w:right="299" w:hanging="305"/>
        <w:spacing w:after="0" w:line="282" w:lineRule="auto"/>
        <w:tabs>
          <w:tab w:leader="none" w:pos="68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Royalties</w:t>
      </w:r>
      <w:r>
        <w:rPr>
          <w:rFonts w:ascii="Times New Roman" w:cs="Times New Roman" w:eastAsia="Times New Roman" w:hAnsi="Times New Roman"/>
          <w:sz w:val="17"/>
          <w:szCs w:val="17"/>
          <w:color w:val="auto"/>
        </w:rPr>
        <w:t>: payable on sales with royalty rates differing based on the level of annual sales of licensed products. We may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receive royalties on sales at a percentage rate ranging from the low double-digits to the mid-teens.</w:t>
      </w:r>
    </w:p>
    <w:p>
      <w:pPr>
        <w:spacing w:after="0" w:line="154" w:lineRule="exact"/>
        <w:rPr>
          <w:sz w:val="20"/>
          <w:szCs w:val="20"/>
          <w:color w:val="auto"/>
        </w:rPr>
      </w:pPr>
    </w:p>
    <w:p>
      <w:pPr>
        <w:ind w:left="40" w:right="59" w:firstLine="305"/>
        <w:spacing w:after="0" w:line="310" w:lineRule="auto"/>
        <w:rPr>
          <w:sz w:val="20"/>
          <w:szCs w:val="20"/>
          <w:color w:val="auto"/>
        </w:rPr>
      </w:pPr>
      <w:r>
        <w:rPr>
          <w:rFonts w:ascii="Times New Roman" w:cs="Times New Roman" w:eastAsia="Times New Roman" w:hAnsi="Times New Roman"/>
          <w:sz w:val="16"/>
          <w:szCs w:val="16"/>
          <w:color w:val="auto"/>
        </w:rPr>
        <w:t>The agreement will terminate by the date of expiration of the last royalty term for the last licensed product. However, under the terms of the agreement, Lilly may terminate the agreement at any time after March 31, 2020 by providing 3 months’ notice to us.</w:t>
      </w:r>
    </w:p>
    <w:p>
      <w:pPr>
        <w:spacing w:after="0" w:line="134" w:lineRule="exact"/>
        <w:rPr>
          <w:sz w:val="20"/>
          <w:szCs w:val="20"/>
          <w:color w:val="auto"/>
        </w:rPr>
      </w:pPr>
    </w:p>
    <w:p>
      <w:pPr>
        <w:ind w:left="40" w:right="179" w:firstLine="305"/>
        <w:spacing w:after="0" w:line="258" w:lineRule="auto"/>
        <w:rPr>
          <w:sz w:val="20"/>
          <w:szCs w:val="20"/>
          <w:color w:val="auto"/>
        </w:rPr>
      </w:pPr>
      <w:r>
        <w:rPr>
          <w:rFonts w:ascii="Times New Roman" w:cs="Times New Roman" w:eastAsia="Times New Roman" w:hAnsi="Times New Roman"/>
          <w:sz w:val="17"/>
          <w:szCs w:val="17"/>
          <w:color w:val="auto"/>
        </w:rPr>
        <w:t>We and Lilly also entered into a convertible note agreement that became effective in January 2019 for USD 50 (CHF 50.3) million from Lilly. In Q2 2019, the Convertible Note Agreement with Lilly automatically converted in line with the terms of the agreement. As a result of this conversion, 3,615,328 of our common shares were issued to Lilly. This note is now fully settled and there is no further equity or cash consideration due to Lilly thereunder.</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Takeda Pharmaceuticals, USA, Inc.</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Anti-Abeta Active Immunotherapy in AD – 2024 option and license agreement</w:t>
      </w:r>
    </w:p>
    <w:p>
      <w:pPr>
        <w:spacing w:after="0" w:line="215" w:lineRule="exact"/>
        <w:rPr>
          <w:sz w:val="20"/>
          <w:szCs w:val="20"/>
          <w:color w:val="auto"/>
        </w:rPr>
      </w:pPr>
    </w:p>
    <w:p>
      <w:pPr>
        <w:ind w:left="40" w:right="99" w:firstLine="305"/>
        <w:spacing w:after="0" w:line="251" w:lineRule="auto"/>
        <w:rPr>
          <w:sz w:val="20"/>
          <w:szCs w:val="20"/>
          <w:color w:val="auto"/>
        </w:rPr>
      </w:pPr>
      <w:r>
        <w:rPr>
          <w:rFonts w:ascii="Times New Roman" w:cs="Times New Roman" w:eastAsia="Times New Roman" w:hAnsi="Times New Roman"/>
          <w:sz w:val="17"/>
          <w:szCs w:val="17"/>
          <w:color w:val="auto"/>
        </w:rPr>
        <w:t>In May 2024, we entered into a worldwide option and license agreement with Takeda Pharmaceuticals, USA, Inc. (Takeda) for our active immunotherapies targeting Abeta, including ACI-24.060. AC Immune will be responsible for completing the ABATE trial. Following option exercise, Takeda would conduct and fund all further clinical development and be responsible for all global regulatory activities as well as worldwide commercialization. Under the terms of the agreement, AC Immune received an upfront payment of USD 100 (CHF 92.3) million in May 2024 and is eligible to receive an option exercise fee and additional potential development, commercial and sales-based milestones of up to approximately USD 2.1 (CHF 1.7) billion if all related milestones are achieved over the course of the agreement. Upon commercialization, AC Immune will be entitled to receive tiered mid-to-high teens percentages royalties on worldwide net sales.</w:t>
      </w:r>
    </w:p>
    <w:p>
      <w:pPr>
        <w:spacing w:after="0" w:line="179" w:lineRule="exact"/>
        <w:rPr>
          <w:sz w:val="20"/>
          <w:szCs w:val="20"/>
          <w:color w:val="auto"/>
        </w:rPr>
      </w:pPr>
    </w:p>
    <w:p>
      <w:pPr>
        <w:ind w:left="40" w:right="259" w:firstLine="305"/>
        <w:spacing w:after="0" w:line="256" w:lineRule="auto"/>
        <w:rPr>
          <w:sz w:val="20"/>
          <w:szCs w:val="20"/>
          <w:color w:val="auto"/>
        </w:rPr>
      </w:pPr>
      <w:r>
        <w:rPr>
          <w:rFonts w:ascii="Times New Roman" w:cs="Times New Roman" w:eastAsia="Times New Roman" w:hAnsi="Times New Roman"/>
          <w:sz w:val="17"/>
          <w:szCs w:val="17"/>
          <w:color w:val="auto"/>
        </w:rPr>
        <w:t>The Company identified the following performance obligations under the contract, in accordance with IFRS 15: (i) a license option and (ii) development, chemistry, manufacturing, and controls (“CMC”) and regulatory activities as outlined in the development and CMC plans, which are necessary to deliver the data package to Takeda. AC Immune concluded that the license option is considered a material right, as the value of the license exceeds the option exercise fee, thereby considering it a distinct performance obligation. The development, CMC, and regulatory activities are</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329565</wp:posOffset>
            </wp:positionV>
            <wp:extent cx="5657850" cy="241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22" w:name="page123"/>
    <w:bookmarkEnd w:id="12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59"/>
        <w:spacing w:after="0" w:line="263" w:lineRule="auto"/>
        <w:rPr>
          <w:sz w:val="20"/>
          <w:szCs w:val="20"/>
          <w:color w:val="auto"/>
        </w:rPr>
      </w:pPr>
      <w:r>
        <w:rPr>
          <w:rFonts w:ascii="Times New Roman" w:cs="Times New Roman" w:eastAsia="Times New Roman" w:hAnsi="Times New Roman"/>
          <w:sz w:val="17"/>
          <w:szCs w:val="17"/>
          <w:color w:val="auto"/>
        </w:rPr>
        <w:t>treated as one distinct performance obligation because the underlying activities are not distinguishable in the context of the contract and are inputs to an integrated development program that will generate valuable data and information for Takeda in determining whether to exercise the option.</w:t>
      </w:r>
    </w:p>
    <w:p>
      <w:pPr>
        <w:spacing w:after="0" w:line="170" w:lineRule="exact"/>
        <w:rPr>
          <w:sz w:val="20"/>
          <w:szCs w:val="20"/>
          <w:color w:val="auto"/>
        </w:rPr>
      </w:pPr>
    </w:p>
    <w:p>
      <w:pPr>
        <w:ind w:left="40" w:right="239" w:firstLine="305"/>
        <w:spacing w:after="0" w:line="250" w:lineRule="auto"/>
        <w:rPr>
          <w:sz w:val="20"/>
          <w:szCs w:val="20"/>
          <w:color w:val="auto"/>
        </w:rPr>
      </w:pPr>
      <w:r>
        <w:rPr>
          <w:rFonts w:ascii="Times New Roman" w:cs="Times New Roman" w:eastAsia="Times New Roman" w:hAnsi="Times New Roman"/>
          <w:sz w:val="17"/>
          <w:szCs w:val="17"/>
          <w:color w:val="auto"/>
        </w:rPr>
        <w:t>The valuation of each performance obligation involves estimates and assumptions, with the timing of revenue recognition determined by either delivery or the provision of services. In line with the allocation objective under IFRS 15, the Company allocated the USD 100.0 (CHF 92.3) million upfront payment within the transaction price to the license option and development, CMC, and regulatory activities, using the relative stand-alone selling price method. For the standalone selling price of the license option, the Company utilized an income-based approach, which included key assumptions such as the post-option development timeline and costs, revenue forecasts, discount rates, and probabilities of development and regulatory success. The standalone selling price for the development, CMC and regulatory activities was calculated using a cost-plus margin approach based on the estimated development timeline. The Company allocated the transaction price based on the relative standalone selling prices, assigning USD 87.4 (CHF 80.7) million to the license option and USD 12.6 (CHF 11.6) million to development, CMC, and regulatory activities.</w:t>
      </w:r>
    </w:p>
    <w:p>
      <w:pPr>
        <w:spacing w:after="0" w:line="185" w:lineRule="exact"/>
        <w:rPr>
          <w:sz w:val="20"/>
          <w:szCs w:val="20"/>
          <w:color w:val="auto"/>
        </w:rPr>
      </w:pPr>
    </w:p>
    <w:p>
      <w:pPr>
        <w:ind w:left="40" w:right="179" w:firstLine="305"/>
        <w:spacing w:after="0" w:line="253" w:lineRule="auto"/>
        <w:rPr>
          <w:sz w:val="20"/>
          <w:szCs w:val="20"/>
          <w:color w:val="auto"/>
        </w:rPr>
      </w:pPr>
      <w:r>
        <w:rPr>
          <w:rFonts w:ascii="Times New Roman" w:cs="Times New Roman" w:eastAsia="Times New Roman" w:hAnsi="Times New Roman"/>
          <w:sz w:val="17"/>
          <w:szCs w:val="17"/>
          <w:color w:val="auto"/>
        </w:rPr>
        <w:t>The Company has deferred revenue recognition for the license option and will recognize the entirety of the revenue either when the option is exercised and Takeda obtains the exclusive license, or when the option expires. The Company will recognize revenue related to the development, CMC and regulatory performance obligation over the estimated period of completion of these obligations, using an input method reflecting the costs incurred relative to the total costs expected to be incurred.</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structure of the collaboration agreement is as follows:</w:t>
      </w:r>
    </w:p>
    <w:p>
      <w:pPr>
        <w:spacing w:after="0" w:line="207" w:lineRule="exact"/>
        <w:rPr>
          <w:sz w:val="20"/>
          <w:szCs w:val="20"/>
          <w:color w:val="auto"/>
        </w:rPr>
      </w:pPr>
    </w:p>
    <w:p>
      <w:pPr>
        <w:ind w:left="680" w:hanging="305"/>
        <w:spacing w:after="0"/>
        <w:tabs>
          <w:tab w:leader="none" w:pos="68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An upfront payment</w:t>
      </w:r>
      <w:r>
        <w:rPr>
          <w:rFonts w:ascii="Times New Roman" w:cs="Times New Roman" w:eastAsia="Times New Roman" w:hAnsi="Times New Roman"/>
          <w:sz w:val="17"/>
          <w:szCs w:val="17"/>
          <w:color w:val="auto"/>
        </w:rPr>
        <w:t>: for the rights granted under the agreement</w:t>
      </w:r>
      <w:r>
        <w:rPr>
          <w:rFonts w:ascii="Times New Roman" w:cs="Times New Roman" w:eastAsia="Times New Roman" w:hAnsi="Times New Roman"/>
          <w:sz w:val="17"/>
          <w:szCs w:val="17"/>
          <w:i w:val="1"/>
          <w:iCs w:val="1"/>
          <w:color w:val="auto"/>
        </w:rPr>
        <w:t>.</w:t>
      </w:r>
    </w:p>
    <w:p>
      <w:pPr>
        <w:spacing w:after="0" w:line="210" w:lineRule="exact"/>
        <w:rPr>
          <w:rFonts w:ascii="Times New Roman" w:cs="Times New Roman" w:eastAsia="Times New Roman" w:hAnsi="Times New Roman"/>
          <w:sz w:val="17"/>
          <w:szCs w:val="17"/>
          <w:color w:val="auto"/>
        </w:rPr>
      </w:pPr>
    </w:p>
    <w:p>
      <w:pPr>
        <w:ind w:left="680" w:right="639" w:hanging="305"/>
        <w:spacing w:after="0" w:line="282" w:lineRule="auto"/>
        <w:tabs>
          <w:tab w:leader="none" w:pos="68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An option exercise fee</w:t>
      </w:r>
      <w:r>
        <w:rPr>
          <w:rFonts w:ascii="Times New Roman" w:cs="Times New Roman" w:eastAsia="Times New Roman" w:hAnsi="Times New Roman"/>
          <w:sz w:val="17"/>
          <w:szCs w:val="17"/>
          <w:color w:val="auto"/>
        </w:rPr>
        <w:t>: payable if Takeda exercises the option, customary closing conditions are satisfied, and AC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Immune grants Takeda an exclusive license.</w:t>
      </w:r>
    </w:p>
    <w:p>
      <w:pPr>
        <w:spacing w:after="0" w:line="149" w:lineRule="exact"/>
        <w:rPr>
          <w:rFonts w:ascii="Times New Roman" w:cs="Times New Roman" w:eastAsia="Times New Roman" w:hAnsi="Times New Roman"/>
          <w:sz w:val="17"/>
          <w:szCs w:val="17"/>
          <w:color w:val="auto"/>
        </w:rPr>
      </w:pPr>
    </w:p>
    <w:p>
      <w:pPr>
        <w:ind w:left="680" w:right="479" w:hanging="305"/>
        <w:spacing w:after="0" w:line="282" w:lineRule="auto"/>
        <w:tabs>
          <w:tab w:leader="none" w:pos="68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Development and commercial milestone payments</w:t>
      </w:r>
      <w:r>
        <w:rPr>
          <w:rFonts w:ascii="Times New Roman" w:cs="Times New Roman" w:eastAsia="Times New Roman" w:hAnsi="Times New Roman"/>
          <w:sz w:val="17"/>
          <w:szCs w:val="17"/>
          <w:color w:val="auto"/>
        </w:rPr>
        <w:t>: payable upon reaching certain development milestones and upon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making a first commercial sale of a licensed product in certain territories.</w:t>
      </w:r>
    </w:p>
    <w:p>
      <w:pPr>
        <w:spacing w:after="0" w:line="149"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Sales-based milestones</w:t>
      </w:r>
      <w:r>
        <w:rPr>
          <w:rFonts w:ascii="Times New Roman" w:cs="Times New Roman" w:eastAsia="Times New Roman" w:hAnsi="Times New Roman"/>
          <w:sz w:val="17"/>
          <w:szCs w:val="17"/>
          <w:color w:val="auto"/>
        </w:rPr>
        <w:t>: payable upon achieving certain annual thresholds of commercial sales of licensed products.</w:t>
      </w:r>
    </w:p>
    <w:p>
      <w:pPr>
        <w:spacing w:after="0" w:line="210" w:lineRule="exact"/>
        <w:rPr>
          <w:rFonts w:ascii="Times New Roman" w:cs="Times New Roman" w:eastAsia="Times New Roman" w:hAnsi="Times New Roman"/>
          <w:sz w:val="17"/>
          <w:szCs w:val="17"/>
          <w:color w:val="auto"/>
        </w:rPr>
      </w:pPr>
    </w:p>
    <w:p>
      <w:pPr>
        <w:ind w:left="680" w:right="299" w:hanging="305"/>
        <w:spacing w:after="0" w:line="282" w:lineRule="auto"/>
        <w:tabs>
          <w:tab w:leader="none" w:pos="68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Royalties</w:t>
      </w:r>
      <w:r>
        <w:rPr>
          <w:rFonts w:ascii="Times New Roman" w:cs="Times New Roman" w:eastAsia="Times New Roman" w:hAnsi="Times New Roman"/>
          <w:sz w:val="17"/>
          <w:szCs w:val="17"/>
          <w:color w:val="auto"/>
        </w:rPr>
        <w:t>: payable on sales with royalty rates differing based on the level of annual sales of licensed products. We may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receive tiered royalties on sales at a percentage rate ranging from the mid- to high-teens.</w:t>
      </w:r>
    </w:p>
    <w:p>
      <w:pPr>
        <w:spacing w:after="0" w:line="154" w:lineRule="exact"/>
        <w:rPr>
          <w:sz w:val="20"/>
          <w:szCs w:val="20"/>
          <w:color w:val="auto"/>
        </w:rPr>
      </w:pPr>
    </w:p>
    <w:p>
      <w:pPr>
        <w:jc w:val="both"/>
        <w:ind w:left="40" w:right="179" w:firstLine="305"/>
        <w:spacing w:after="0" w:line="263" w:lineRule="auto"/>
        <w:rPr>
          <w:sz w:val="20"/>
          <w:szCs w:val="20"/>
          <w:color w:val="auto"/>
        </w:rPr>
      </w:pPr>
      <w:r>
        <w:rPr>
          <w:rFonts w:ascii="Times New Roman" w:cs="Times New Roman" w:eastAsia="Times New Roman" w:hAnsi="Times New Roman"/>
          <w:sz w:val="17"/>
          <w:szCs w:val="17"/>
          <w:color w:val="auto"/>
        </w:rPr>
        <w:t>Under the terms of the agreement, Takeda may terminate the agreement at any time by providing 90 days’ notice to us. If not otherwise terminated, the agreement shall continue until Takeda decides not to exercise its license option or until the expiration of all royalty obligations as outlined in the contract.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Grants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Michael J. Fox Foundation for Parkinson’s Research</w:t>
      </w:r>
    </w:p>
    <w:p>
      <w:pPr>
        <w:spacing w:after="0" w:line="215" w:lineRule="exact"/>
        <w:rPr>
          <w:sz w:val="20"/>
          <w:szCs w:val="20"/>
          <w:color w:val="auto"/>
        </w:rPr>
      </w:pPr>
    </w:p>
    <w:p>
      <w:pPr>
        <w:ind w:left="40" w:right="179" w:firstLine="305"/>
        <w:spacing w:after="0" w:line="251" w:lineRule="auto"/>
        <w:rPr>
          <w:sz w:val="20"/>
          <w:szCs w:val="20"/>
          <w:color w:val="auto"/>
        </w:rPr>
      </w:pPr>
      <w:r>
        <w:rPr>
          <w:rFonts w:ascii="Times New Roman" w:cs="Times New Roman" w:eastAsia="Times New Roman" w:hAnsi="Times New Roman"/>
          <w:sz w:val="17"/>
          <w:szCs w:val="17"/>
          <w:color w:val="auto"/>
        </w:rPr>
        <w:t>In May 2020, the Company, as part of a joint arrangement with Skåne University Hospital (Skåne) in Sweden, was awarded a USD 3.2 (CHF 3.0) million grant from the MJFF’s Ken Griffin Alpha-synuclein Imaging Competition. As part of this grant, AC Immune was eligible to receive USD 2.5 (CHF 2.3) million directly from the MJFF. Skåne was to receive USD 0.7 (CHF 0.7) million of the total grant directly from the MJFF over two years to conduct and support the clinical arm of the project. In August 2022, the Company received follow-on grant funding as part of its joint arrangement with Skåne totaling USD 0.5 (CHF 0.5) million for the continued development of its alpha-synuclein PET imaging diagnostic agent. As part of this grant, the Company received USD 0.4 (CHF 0.4) million directly from the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23" w:name="page124"/>
    <w:bookmarkEnd w:id="12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MJFF. Skåne received USD 0.1 (CHF 0.1) million of the total grant directly from the MJFF over the duration of the grant period.</w:t>
      </w:r>
    </w:p>
    <w:p>
      <w:pPr>
        <w:spacing w:after="0" w:line="222" w:lineRule="exact"/>
        <w:rPr>
          <w:sz w:val="20"/>
          <w:szCs w:val="20"/>
          <w:color w:val="auto"/>
        </w:rPr>
      </w:pPr>
    </w:p>
    <w:p>
      <w:pPr>
        <w:ind w:left="40" w:right="239" w:firstLine="305"/>
        <w:spacing w:after="0" w:line="256" w:lineRule="auto"/>
        <w:rPr>
          <w:sz w:val="20"/>
          <w:szCs w:val="20"/>
          <w:color w:val="auto"/>
        </w:rPr>
      </w:pPr>
      <w:r>
        <w:rPr>
          <w:rFonts w:ascii="Times New Roman" w:cs="Times New Roman" w:eastAsia="Times New Roman" w:hAnsi="Times New Roman"/>
          <w:sz w:val="17"/>
          <w:szCs w:val="17"/>
          <w:color w:val="auto"/>
        </w:rPr>
        <w:t>In December 2021, the Company announced that it had been awarded two grants totaling USD 1.5 (CHF 1.4) million to advance small molecule PD programs. One award supported an existing early-stage program to develop small molecules that can prevent intracellular aggregation and spreading of a-syn. The other award funded research on the therapeutic potential of chemically and mechanistically novel, brain penetrant small molecule inhibitors of NLRP3 inflammasome activation for the treatment of PD.</w:t>
      </w:r>
    </w:p>
    <w:p>
      <w:pPr>
        <w:spacing w:after="0" w:line="176" w:lineRule="exact"/>
        <w:rPr>
          <w:sz w:val="20"/>
          <w:szCs w:val="20"/>
          <w:color w:val="auto"/>
        </w:rPr>
      </w:pPr>
    </w:p>
    <w:p>
      <w:pPr>
        <w:ind w:left="40" w:right="119" w:firstLine="305"/>
        <w:spacing w:after="0" w:line="262" w:lineRule="auto"/>
        <w:rPr>
          <w:sz w:val="20"/>
          <w:szCs w:val="20"/>
          <w:color w:val="auto"/>
        </w:rPr>
      </w:pPr>
      <w:r>
        <w:rPr>
          <w:rFonts w:ascii="Times New Roman" w:cs="Times New Roman" w:eastAsia="Times New Roman" w:hAnsi="Times New Roman"/>
          <w:sz w:val="17"/>
          <w:szCs w:val="17"/>
          <w:color w:val="auto"/>
        </w:rPr>
        <w:t>In February 2023, the Company announced that it had been awarded a new grant totaling USD 0.5 (CHF 0.4) million from the MJFF to support the development of its TDP-43 PET tracer program.</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Grant from the Target ALS Foundation</w:t>
      </w:r>
    </w:p>
    <w:p>
      <w:pPr>
        <w:spacing w:after="0" w:line="215" w:lineRule="exact"/>
        <w:rPr>
          <w:sz w:val="20"/>
          <w:szCs w:val="20"/>
          <w:color w:val="auto"/>
        </w:rPr>
      </w:pPr>
    </w:p>
    <w:p>
      <w:pPr>
        <w:ind w:left="40" w:right="99" w:firstLine="305"/>
        <w:spacing w:after="0" w:line="251" w:lineRule="auto"/>
        <w:rPr>
          <w:sz w:val="20"/>
          <w:szCs w:val="20"/>
          <w:color w:val="auto"/>
        </w:rPr>
      </w:pPr>
      <w:r>
        <w:rPr>
          <w:rFonts w:ascii="Times New Roman" w:cs="Times New Roman" w:eastAsia="Times New Roman" w:hAnsi="Times New Roman"/>
          <w:sz w:val="17"/>
          <w:szCs w:val="17"/>
          <w:color w:val="auto"/>
        </w:rPr>
        <w:t>In Q1 2021, AC Immune was awarded a USD 0.3 (CHF 0.2) million grant from Target ALS. This grant funded a collaboration between the Company and the Investigators at the Healey Center for ALS at Massachusetts General Hospital (MGH) to accelerate the development of the Company’s proprietary immunoassays to detect disease-associated forms of TDP-43 in CSF and blood samples. The Company was awarded an additional one-year grant in December 2022 for USD 0.1 (CHF 0.1) million to continue the project, which was completed in 2023. Subsequently, in December 2023, AC Immune was awarded another one-year grant for the same amount, USD 0.1 (CHF 0.1) million, to continue its work.</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Financial operations overview</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Contract revenues</w:t>
      </w:r>
    </w:p>
    <w:p>
      <w:pPr>
        <w:spacing w:after="0" w:line="215" w:lineRule="exact"/>
        <w:rPr>
          <w:sz w:val="20"/>
          <w:szCs w:val="20"/>
          <w:color w:val="auto"/>
        </w:rPr>
      </w:pPr>
    </w:p>
    <w:p>
      <w:pPr>
        <w:jc w:val="both"/>
        <w:ind w:left="40" w:right="299" w:firstLine="305"/>
        <w:spacing w:after="0" w:line="263" w:lineRule="auto"/>
        <w:rPr>
          <w:sz w:val="20"/>
          <w:szCs w:val="20"/>
          <w:color w:val="auto"/>
        </w:rPr>
      </w:pPr>
      <w:r>
        <w:rPr>
          <w:rFonts w:ascii="Times New Roman" w:cs="Times New Roman" w:eastAsia="Times New Roman" w:hAnsi="Times New Roman"/>
          <w:sz w:val="17"/>
          <w:szCs w:val="17"/>
          <w:color w:val="auto"/>
        </w:rPr>
        <w:t>Given our stage of development, we have not generated any revenue from product sales. Our contract revenues to date have been derived primarily from separate option, license and collaboration agreements on some of our product candidates in various stages of preclinical and clinical development.</w:t>
      </w:r>
    </w:p>
    <w:p>
      <w:pPr>
        <w:spacing w:after="0" w:line="170" w:lineRule="exact"/>
        <w:rPr>
          <w:sz w:val="20"/>
          <w:szCs w:val="20"/>
          <w:color w:val="auto"/>
        </w:rPr>
      </w:pPr>
    </w:p>
    <w:p>
      <w:pPr>
        <w:ind w:left="40" w:right="59" w:firstLine="305"/>
        <w:spacing w:after="0" w:line="253" w:lineRule="auto"/>
        <w:rPr>
          <w:sz w:val="20"/>
          <w:szCs w:val="20"/>
          <w:color w:val="auto"/>
        </w:rPr>
      </w:pPr>
      <w:r>
        <w:rPr>
          <w:rFonts w:ascii="Times New Roman" w:cs="Times New Roman" w:eastAsia="Times New Roman" w:hAnsi="Times New Roman"/>
          <w:sz w:val="17"/>
          <w:szCs w:val="17"/>
          <w:color w:val="auto"/>
        </w:rPr>
        <w:t>Our contract revenues have experienced fluctuations over the past three years as a result of the timing of milestone achievement and the size of each milestone payment. We expect that any revenue we generate from our collaboration agreements with each of Lilly, Janssen, Lantheus, Takeda and/or from any other current or future collaboration partners will fluctuate from year to year as a result of the timing and amount of milestones and other payments.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215" w:lineRule="exact"/>
        <w:rPr>
          <w:sz w:val="20"/>
          <w:szCs w:val="20"/>
          <w:color w:val="auto"/>
        </w:rPr>
      </w:pPr>
    </w:p>
    <w:p>
      <w:pPr>
        <w:ind w:left="40" w:right="59" w:firstLine="305"/>
        <w:spacing w:after="0" w:line="272" w:lineRule="auto"/>
        <w:rPr>
          <w:sz w:val="20"/>
          <w:szCs w:val="20"/>
          <w:color w:val="auto"/>
        </w:rPr>
      </w:pPr>
      <w:r>
        <w:rPr>
          <w:rFonts w:ascii="Times New Roman" w:cs="Times New Roman" w:eastAsia="Times New Roman" w:hAnsi="Times New Roman"/>
          <w:sz w:val="16"/>
          <w:szCs w:val="16"/>
          <w:color w:val="auto"/>
        </w:rPr>
        <w:t>Research and development costs are expensed as incurred, and consist of salaries and benefits, laboratory supplies, materials, intellectual property, facility and information technology (IT) costs, as well as fees paid to other non-employees and entities that conduct certain research and development activities on our behalf and all other allocated expenses. Amounts incurred in connection with option, license and collaboration agreements are also included in research and development expense. Payments made prior to the receipt of goods or services to be used in research and development are capitalized until those goods or services are received.</w:t>
      </w:r>
    </w:p>
    <w:p>
      <w:pPr>
        <w:spacing w:after="0" w:line="163" w:lineRule="exact"/>
        <w:rPr>
          <w:sz w:val="20"/>
          <w:szCs w:val="20"/>
          <w:color w:val="auto"/>
        </w:rPr>
      </w:pPr>
    </w:p>
    <w:p>
      <w:pPr>
        <w:ind w:left="40" w:right="139" w:firstLine="305"/>
        <w:spacing w:after="0" w:line="256" w:lineRule="auto"/>
        <w:rPr>
          <w:sz w:val="20"/>
          <w:szCs w:val="20"/>
          <w:color w:val="auto"/>
        </w:rPr>
      </w:pPr>
      <w:r>
        <w:rPr>
          <w:rFonts w:ascii="Times New Roman" w:cs="Times New Roman" w:eastAsia="Times New Roman" w:hAnsi="Times New Roman"/>
          <w:sz w:val="17"/>
          <w:szCs w:val="17"/>
          <w:color w:val="auto"/>
        </w:rPr>
        <w:t>Clinical trial costs are a component of research and development expenses. We accrue and expense clinical trial activities performed by third parties based upon actual work completed in accordance with agreements established with clinical CROs and clinical sites. We determine the actual costs through monitoring patient enrollment and discussions with internal personnel and external service providers as to the progress or stage of completion of trials or services and the agreed-upon fee to be paid for such services.</w:t>
      </w:r>
    </w:p>
    <w:p>
      <w:pPr>
        <w:spacing w:after="0" w:line="176" w:lineRule="exact"/>
        <w:rPr>
          <w:sz w:val="20"/>
          <w:szCs w:val="20"/>
          <w:color w:val="auto"/>
        </w:rPr>
      </w:pPr>
    </w:p>
    <w:p>
      <w:pPr>
        <w:ind w:left="40" w:right="179" w:firstLine="305"/>
        <w:spacing w:after="0" w:line="274" w:lineRule="auto"/>
        <w:rPr>
          <w:sz w:val="20"/>
          <w:szCs w:val="20"/>
          <w:color w:val="auto"/>
        </w:rPr>
      </w:pPr>
      <w:r>
        <w:rPr>
          <w:rFonts w:ascii="Times New Roman" w:cs="Times New Roman" w:eastAsia="Times New Roman" w:hAnsi="Times New Roman"/>
          <w:sz w:val="16"/>
          <w:szCs w:val="16"/>
          <w:color w:val="auto"/>
        </w:rPr>
        <w:t>Manufacturing start-up costs are a component of research and development expenses. Additionally, manufacturing costs incurred after regulatory approval but in connection with significant changes and/or enhancements to the approved manufacturing process are recorded as research and development expenses. We accrue and expense the manufacturing activities performed by third parties based upon actual work completed in accordance with agreements established with contract manufacturers.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24" w:name="page125"/>
    <w:bookmarkEnd w:id="12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119" w:firstLine="305"/>
        <w:spacing w:after="0" w:line="272" w:lineRule="auto"/>
        <w:rPr>
          <w:sz w:val="20"/>
          <w:szCs w:val="20"/>
          <w:color w:val="auto"/>
        </w:rPr>
      </w:pPr>
      <w:r>
        <w:rPr>
          <w:rFonts w:ascii="Times New Roman" w:cs="Times New Roman" w:eastAsia="Times New Roman" w:hAnsi="Times New Roman"/>
          <w:sz w:val="16"/>
          <w:szCs w:val="16"/>
          <w:color w:val="auto"/>
        </w:rPr>
        <w:t>Our investment in research and development activities, including the clinical development of our product candidates has historically been, and is projected to be, more than 75% of our total annual operating costs. Research and development expenses represent costs incurred to conduct research, such as the discovery and development of our product candidates, as well as development of new product candidates from our SupraAntigen and Morphomer platforms and the development of product candidates pursuant to our collaboration agreements with Lilly, Janssen, Lantheus and Takeda. We recognize all research and development costs as they are incurred. Clinical study costs, contract manufacturing and other development costs incurred by third parties are expensed as the contracted work is performed. At present, most of our research activities comprise three major areas:</w:t>
      </w:r>
    </w:p>
    <w:p>
      <w:pPr>
        <w:spacing w:after="0" w:line="152" w:lineRule="exact"/>
        <w:rPr>
          <w:sz w:val="20"/>
          <w:szCs w:val="20"/>
          <w:color w:val="auto"/>
        </w:rPr>
      </w:pPr>
    </w:p>
    <w:p>
      <w:pPr>
        <w:ind w:left="680" w:hanging="305"/>
        <w:spacing w:after="0"/>
        <w:tabs>
          <w:tab w:leader="none" w:pos="68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focused non-AD NDD including PD, ALS and NeuroOrphan indications; and</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diagnostics.</w:t>
      </w:r>
    </w:p>
    <w:p>
      <w:pPr>
        <w:spacing w:after="0" w:line="211" w:lineRule="exact"/>
        <w:rPr>
          <w:sz w:val="20"/>
          <w:szCs w:val="20"/>
          <w:color w:val="auto"/>
        </w:rPr>
      </w:pPr>
    </w:p>
    <w:p>
      <w:pPr>
        <w:ind w:left="40" w:right="79" w:firstLine="305"/>
        <w:spacing w:after="0" w:line="277" w:lineRule="auto"/>
        <w:rPr>
          <w:sz w:val="20"/>
          <w:szCs w:val="20"/>
          <w:color w:val="auto"/>
        </w:rPr>
      </w:pPr>
      <w:r>
        <w:rPr>
          <w:rFonts w:ascii="Times New Roman" w:cs="Times New Roman" w:eastAsia="Times New Roman" w:hAnsi="Times New Roman"/>
          <w:sz w:val="17"/>
          <w:szCs w:val="17"/>
          <w:color w:val="auto"/>
        </w:rPr>
        <w:t>We expect our research and development expenses to continue to increase in the future and expect to fund a broader number of projects, which will impact our research strategy in four key ways:</w:t>
      </w:r>
    </w:p>
    <w:p>
      <w:pPr>
        <w:spacing w:after="0" w:line="158" w:lineRule="exact"/>
        <w:rPr>
          <w:sz w:val="20"/>
          <w:szCs w:val="20"/>
          <w:color w:val="auto"/>
        </w:rPr>
      </w:pPr>
    </w:p>
    <w:p>
      <w:pPr>
        <w:ind w:left="680" w:right="359" w:hanging="305"/>
        <w:spacing w:after="0" w:line="277" w:lineRule="auto"/>
        <w:tabs>
          <w:tab w:leader="none" w:pos="68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expect to undertake later-stage research and development for certain of our product candidates and, if approved, to take some of those product candidates into commercialization;</w:t>
      </w:r>
    </w:p>
    <w:p>
      <w:pPr>
        <w:spacing w:after="0" w:line="157"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allocate more funding to existing programs to advance the development of these programs;</w:t>
      </w:r>
    </w:p>
    <w:p>
      <w:pPr>
        <w:spacing w:after="0" w:line="210" w:lineRule="exact"/>
        <w:rPr>
          <w:rFonts w:ascii="Times New Roman" w:cs="Times New Roman" w:eastAsia="Times New Roman" w:hAnsi="Times New Roman"/>
          <w:sz w:val="17"/>
          <w:szCs w:val="17"/>
          <w:color w:val="auto"/>
        </w:rPr>
      </w:pPr>
    </w:p>
    <w:p>
      <w:pPr>
        <w:ind w:left="680" w:right="239" w:hanging="305"/>
        <w:spacing w:after="0" w:line="277" w:lineRule="auto"/>
        <w:tabs>
          <w:tab w:leader="none" w:pos="68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increase our research and development efforts on non-AD indications including NeuroOrphans and diagnostics; and</w:t>
      </w:r>
    </w:p>
    <w:p>
      <w:pPr>
        <w:spacing w:after="0" w:line="157" w:lineRule="exact"/>
        <w:rPr>
          <w:rFonts w:ascii="Times New Roman" w:cs="Times New Roman" w:eastAsia="Times New Roman" w:hAnsi="Times New Roman"/>
          <w:sz w:val="17"/>
          <w:szCs w:val="17"/>
          <w:color w:val="auto"/>
        </w:rPr>
      </w:pPr>
    </w:p>
    <w:p>
      <w:pPr>
        <w:ind w:left="680" w:right="699" w:hanging="305"/>
        <w:spacing w:after="0" w:line="277" w:lineRule="auto"/>
        <w:tabs>
          <w:tab w:leader="none" w:pos="68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initiate a number of new research initiatives that are complementary to our existing and planned research initiatives.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We expect that our total future research and development costs will continue to align with our two core value drivers:</w:t>
      </w:r>
    </w:p>
    <w:p>
      <w:pPr>
        <w:spacing w:after="0" w:line="23" w:lineRule="exact"/>
        <w:rPr>
          <w:sz w:val="20"/>
          <w:szCs w:val="20"/>
          <w:color w:val="auto"/>
        </w:rPr>
      </w:pPr>
    </w:p>
    <w:p>
      <w:pPr>
        <w:ind w:left="40" w:right="99" w:firstLine="5"/>
        <w:spacing w:after="0" w:line="258" w:lineRule="auto"/>
        <w:tabs>
          <w:tab w:leader="none" w:pos="233"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Active Immunotherapies being developed for the treatment and prevention of Alzheimer’s disease (AD) and Parkinson’s disease (PD); and (ii) Intracellular targeting with brain penetrant small molecule programs targeting intracellular pathologies.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215" w:lineRule="exact"/>
        <w:rPr>
          <w:sz w:val="20"/>
          <w:szCs w:val="20"/>
          <w:color w:val="auto"/>
        </w:rPr>
      </w:pPr>
    </w:p>
    <w:p>
      <w:pPr>
        <w:ind w:left="40" w:right="99" w:firstLine="305"/>
        <w:spacing w:after="0" w:line="251" w:lineRule="auto"/>
        <w:rPr>
          <w:sz w:val="20"/>
          <w:szCs w:val="20"/>
          <w:color w:val="auto"/>
        </w:rPr>
      </w:pPr>
      <w:r>
        <w:rPr>
          <w:rFonts w:ascii="Times New Roman" w:cs="Times New Roman" w:eastAsia="Times New Roman" w:hAnsi="Times New Roman"/>
          <w:sz w:val="17"/>
          <w:szCs w:val="17"/>
          <w:color w:val="auto"/>
        </w:rPr>
        <w:t>General and administrative expenses include personnel costs, expenses for outside professional services and all other allocated expenses. Personnel costs consist of salaries, cash bonuses, benefits and share-based compensation. Outside professional services consist of legal, accounting and audit services, IT and other consulting fees. Allocated expenses consist of certain IT, facilities and depreciation expenses. We continue to incur additional expenses as a result of operating as a public company, including expenses related to compliance with the rules and regulations of the SEC, and those of any national securities exchange on which our securities are traded (Nasdaq), additional insurance expenses, investor relations activities and other administrative and professional services.</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Other operating income/(expense), net</w:t>
      </w:r>
    </w:p>
    <w:p>
      <w:pPr>
        <w:spacing w:after="0" w:line="215" w:lineRule="exact"/>
        <w:rPr>
          <w:sz w:val="20"/>
          <w:szCs w:val="20"/>
          <w:color w:val="auto"/>
        </w:rPr>
      </w:pPr>
    </w:p>
    <w:p>
      <w:pPr>
        <w:ind w:left="40" w:right="79" w:firstLine="305"/>
        <w:spacing w:after="0" w:line="262" w:lineRule="auto"/>
        <w:rPr>
          <w:sz w:val="20"/>
          <w:szCs w:val="20"/>
          <w:color w:val="auto"/>
        </w:rPr>
      </w:pPr>
      <w:r>
        <w:rPr>
          <w:rFonts w:ascii="Times New Roman" w:cs="Times New Roman" w:eastAsia="Times New Roman" w:hAnsi="Times New Roman"/>
          <w:sz w:val="17"/>
          <w:szCs w:val="17"/>
          <w:color w:val="auto"/>
        </w:rPr>
        <w:t>Other operating income/(expense) consists primarily of income associated with foundation grants such as those from the MJFF or Target ALS.</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Finance result, net</w:t>
      </w:r>
    </w:p>
    <w:p>
      <w:pPr>
        <w:spacing w:after="0" w:line="215" w:lineRule="exact"/>
        <w:rPr>
          <w:sz w:val="20"/>
          <w:szCs w:val="20"/>
          <w:color w:val="auto"/>
        </w:rPr>
      </w:pPr>
    </w:p>
    <w:p>
      <w:pPr>
        <w:ind w:left="40" w:right="579" w:firstLine="305"/>
        <w:spacing w:after="0" w:line="277" w:lineRule="auto"/>
        <w:rPr>
          <w:sz w:val="20"/>
          <w:szCs w:val="20"/>
          <w:color w:val="auto"/>
        </w:rPr>
      </w:pPr>
      <w:r>
        <w:rPr>
          <w:rFonts w:ascii="Times New Roman" w:cs="Times New Roman" w:eastAsia="Times New Roman" w:hAnsi="Times New Roman"/>
          <w:sz w:val="17"/>
          <w:szCs w:val="17"/>
          <w:color w:val="auto"/>
        </w:rPr>
        <w:t>Financial income and expenses include bank fees associated with charges levied by banks on foreign payments, interest income and expense associated with our cash balances and interest expense associated with lease liabilities.</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25" w:name="page126"/>
    <w:bookmarkEnd w:id="12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99" w:firstLine="305"/>
        <w:spacing w:after="0" w:line="287" w:lineRule="auto"/>
        <w:rPr>
          <w:sz w:val="20"/>
          <w:szCs w:val="20"/>
          <w:color w:val="auto"/>
        </w:rPr>
      </w:pPr>
      <w:r>
        <w:rPr>
          <w:rFonts w:ascii="Times New Roman" w:cs="Times New Roman" w:eastAsia="Times New Roman" w:hAnsi="Times New Roman"/>
          <w:sz w:val="16"/>
          <w:szCs w:val="16"/>
          <w:color w:val="auto"/>
        </w:rPr>
        <w:t>Exchange differences consist of foreign exchange transactions and re-measurement gains and losses that arise from our cash being held in currency other than Swiss Francs, certain collaboration agreements such as the collaboration agreements with LMI or Takeda being denominated in currencies other than Swiss Francs, and selected purchases, which we effect in foreign currencies.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Taxation</w:t>
      </w:r>
    </w:p>
    <w:p>
      <w:pPr>
        <w:spacing w:after="0" w:line="215" w:lineRule="exact"/>
        <w:rPr>
          <w:sz w:val="20"/>
          <w:szCs w:val="20"/>
          <w:color w:val="auto"/>
        </w:rPr>
      </w:pPr>
    </w:p>
    <w:p>
      <w:pPr>
        <w:ind w:left="40" w:right="339" w:firstLine="305"/>
        <w:spacing w:after="0" w:line="263" w:lineRule="auto"/>
        <w:rPr>
          <w:sz w:val="20"/>
          <w:szCs w:val="20"/>
          <w:color w:val="auto"/>
        </w:rPr>
      </w:pPr>
      <w:r>
        <w:rPr>
          <w:rFonts w:ascii="Times New Roman" w:cs="Times New Roman" w:eastAsia="Times New Roman" w:hAnsi="Times New Roman"/>
          <w:sz w:val="17"/>
          <w:szCs w:val="17"/>
          <w:color w:val="auto"/>
        </w:rPr>
        <w:t>AC Immune is subject to corporate Swiss federal, cantonal and communal taxation, respectively, in Switzerland, Canton of Vaud, Commune of Ecublens, near Lausanne. We are also subject to taxation in other jurisdictions in which we operate, in particular, the United States where our wholly-owned subsidiary is incorporated.</w:t>
      </w:r>
    </w:p>
    <w:p>
      <w:pPr>
        <w:spacing w:after="0" w:line="157" w:lineRule="exact"/>
        <w:rPr>
          <w:sz w:val="20"/>
          <w:szCs w:val="20"/>
          <w:color w:val="auto"/>
        </w:rPr>
      </w:pPr>
    </w:p>
    <w:p>
      <w:pPr>
        <w:ind w:left="40" w:right="179" w:firstLine="305"/>
        <w:spacing w:after="0" w:line="258" w:lineRule="auto"/>
        <w:rPr>
          <w:sz w:val="20"/>
          <w:szCs w:val="20"/>
          <w:color w:val="auto"/>
        </w:rPr>
      </w:pPr>
      <w:r>
        <w:rPr>
          <w:rFonts w:ascii="Times New Roman" w:cs="Times New Roman" w:eastAsia="Times New Roman" w:hAnsi="Times New Roman"/>
          <w:sz w:val="17"/>
          <w:szCs w:val="17"/>
          <w:color w:val="auto"/>
        </w:rPr>
        <w:t>We are entitled under Swiss laws to carry forward any losses incurred for a period of 7 years and can offset our losses carried forward against future taxes. As of December 31, 2025, we had tax loss carry-forwards totaling CHF 362.3 million (provisional amount; tax loss is definitively recognized by Swiss tax authorities once set-off against taxable income). There is no certainty that we will make sufficient profits to be able to utilize these tax loss carry-forwards in full.</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effective corporate income tax rate (federal, cantonal and communal) where we are domiciled is currently 13.6%.</w:t>
      </w:r>
    </w:p>
    <w:p>
      <w:pPr>
        <w:spacing w:after="0" w:line="211" w:lineRule="exact"/>
        <w:rPr>
          <w:sz w:val="20"/>
          <w:szCs w:val="20"/>
          <w:color w:val="auto"/>
        </w:rPr>
      </w:pPr>
    </w:p>
    <w:p>
      <w:pPr>
        <w:jc w:val="both"/>
        <w:ind w:left="40" w:right="139" w:firstLine="305"/>
        <w:spacing w:after="0" w:line="250" w:lineRule="auto"/>
        <w:rPr>
          <w:sz w:val="20"/>
          <w:szCs w:val="20"/>
          <w:color w:val="auto"/>
        </w:rPr>
      </w:pPr>
      <w:r>
        <w:rPr>
          <w:rFonts w:ascii="Times New Roman" w:cs="Times New Roman" w:eastAsia="Times New Roman" w:hAnsi="Times New Roman"/>
          <w:sz w:val="17"/>
          <w:szCs w:val="17"/>
          <w:color w:val="auto"/>
        </w:rPr>
        <w:t>As of January 1, 2020, the Company may request for 2020 and future tax years a tax relief of 60%, which would be applied to income from patents and similar rights at the communal and cantonal levels. This relief would first require the reintegration of all expensed and deducted research and development costs related to the concerned patents and similar rights for consideration in our taxable results from the prior ten years. The Company has not currently made any decision to enter this patent box system.</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Additionally, a “super-deduction” may be granted for payroll and other expenses of research and development of Swiss origins.</w:t>
      </w:r>
    </w:p>
    <w:p>
      <w:pPr>
        <w:spacing w:after="0" w:line="195" w:lineRule="exact"/>
        <w:rPr>
          <w:sz w:val="20"/>
          <w:szCs w:val="20"/>
          <w:color w:val="auto"/>
        </w:rPr>
      </w:pPr>
    </w:p>
    <w:p>
      <w:pPr>
        <w:jc w:val="both"/>
        <w:ind w:left="40" w:right="159" w:firstLine="305"/>
        <w:spacing w:after="0" w:line="277" w:lineRule="auto"/>
        <w:rPr>
          <w:sz w:val="20"/>
          <w:szCs w:val="20"/>
          <w:color w:val="auto"/>
        </w:rPr>
      </w:pPr>
      <w:r>
        <w:rPr>
          <w:rFonts w:ascii="Times New Roman" w:cs="Times New Roman" w:eastAsia="Times New Roman" w:hAnsi="Times New Roman"/>
          <w:sz w:val="17"/>
          <w:szCs w:val="17"/>
          <w:color w:val="auto"/>
        </w:rPr>
        <w:t>However, the aforementioned tax relief based on the patent box and deductions for research and development may not exceed 50% of the overall taxable profit before these tax relief and deductions.</w:t>
      </w:r>
    </w:p>
    <w:p>
      <w:pPr>
        <w:spacing w:after="0" w:line="158" w:lineRule="exact"/>
        <w:rPr>
          <w:sz w:val="20"/>
          <w:szCs w:val="20"/>
          <w:color w:val="auto"/>
        </w:rPr>
      </w:pPr>
    </w:p>
    <w:p>
      <w:pPr>
        <w:ind w:left="40" w:right="419" w:firstLine="305"/>
        <w:spacing w:after="0" w:line="277" w:lineRule="auto"/>
        <w:rPr>
          <w:sz w:val="20"/>
          <w:szCs w:val="20"/>
          <w:color w:val="auto"/>
        </w:rPr>
      </w:pPr>
      <w:r>
        <w:rPr>
          <w:rFonts w:ascii="Times New Roman" w:cs="Times New Roman" w:eastAsia="Times New Roman" w:hAnsi="Times New Roman"/>
          <w:sz w:val="17"/>
          <w:szCs w:val="17"/>
          <w:color w:val="auto"/>
        </w:rPr>
        <w:t>Notwithstanding the corporate income tax, the corporate capital is taxed at a rate of 0.1305% (cantonal and communal tax only, as there is no federal tax on capital).</w:t>
      </w:r>
    </w:p>
    <w:p>
      <w:pPr>
        <w:spacing w:after="0" w:line="158" w:lineRule="exact"/>
        <w:rPr>
          <w:sz w:val="20"/>
          <w:szCs w:val="20"/>
          <w:color w:val="auto"/>
        </w:rPr>
      </w:pPr>
    </w:p>
    <w:p>
      <w:pPr>
        <w:ind w:left="40" w:right="179" w:firstLine="305"/>
        <w:spacing w:after="0" w:line="253" w:lineRule="auto"/>
        <w:rPr>
          <w:sz w:val="20"/>
          <w:szCs w:val="20"/>
          <w:color w:val="auto"/>
        </w:rPr>
      </w:pPr>
      <w:r>
        <w:rPr>
          <w:rFonts w:ascii="Times New Roman" w:cs="Times New Roman" w:eastAsia="Times New Roman" w:hAnsi="Times New Roman"/>
          <w:sz w:val="17"/>
          <w:szCs w:val="17"/>
          <w:color w:val="auto"/>
        </w:rPr>
        <w:t>Value added tax (VAT) is charged on all qualifying goods and services supplied by VAT-registered businesses. Rates vary based on category, but the Company applies a standard rate of 8.1% since January 1, 2024 on the value of the goods or services to all sales invoices, which is payable to the Swiss tax authorities. Similarly, VAT paid on purchase invoices is reclaimable from the Swiss tax authorities.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15" w:lineRule="exact"/>
        <w:rPr>
          <w:sz w:val="20"/>
          <w:szCs w:val="20"/>
          <w:color w:val="auto"/>
        </w:rPr>
      </w:pPr>
    </w:p>
    <w:p>
      <w:pPr>
        <w:ind w:left="40" w:right="119" w:firstLine="305"/>
        <w:spacing w:after="0" w:line="263" w:lineRule="auto"/>
        <w:rPr>
          <w:sz w:val="20"/>
          <w:szCs w:val="20"/>
          <w:color w:val="auto"/>
        </w:rPr>
      </w:pPr>
      <w:r>
        <w:rPr>
          <w:rFonts w:ascii="Times New Roman" w:cs="Times New Roman" w:eastAsia="Times New Roman" w:hAnsi="Times New Roman"/>
          <w:sz w:val="17"/>
          <w:szCs w:val="17"/>
          <w:color w:val="auto"/>
        </w:rPr>
        <w:t>The numbers below have been derived from our audited consolidated financial statements included elsewhere in this Annual Report. The discussion below should be read along with these consolidated financial statements and it is qualified in its entirety by reference to them.</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26" w:name="page127"/>
    <w:bookmarkEnd w:id="12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Comparison of the years ended December 31, 2025 and 2024</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Contract revenue</w:t>
      </w:r>
    </w:p>
    <w:p>
      <w:pPr>
        <w:spacing w:after="0" w:line="215" w:lineRule="exact"/>
        <w:rPr>
          <w:sz w:val="20"/>
          <w:szCs w:val="20"/>
          <w:color w:val="auto"/>
        </w:rPr>
      </w:pPr>
    </w:p>
    <w:p>
      <w:pPr>
        <w:ind w:left="40" w:right="79" w:firstLine="305"/>
        <w:spacing w:after="0" w:line="263" w:lineRule="auto"/>
        <w:rPr>
          <w:sz w:val="20"/>
          <w:szCs w:val="20"/>
          <w:color w:val="auto"/>
        </w:rPr>
      </w:pPr>
      <w:r>
        <w:rPr>
          <w:rFonts w:ascii="Times New Roman" w:cs="Times New Roman" w:eastAsia="Times New Roman" w:hAnsi="Times New Roman"/>
          <w:sz w:val="17"/>
          <w:szCs w:val="17"/>
          <w:color w:val="auto"/>
        </w:rPr>
        <w:t>For the year ended December 31, 2025, AC Immune generated CHF 3.6 million in contract revenues compared with CHF 27.3 million for the comparable period in 2024. This represents a decrease of CHF 23.7 million. The following table summarizes our contract revenues during the years ended December 31, 2025 and 2024:</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5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2"/>
        </w:trPr>
        <w:tc>
          <w:tcPr>
            <w:tcW w:w="5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w w:val="93"/>
              </w:rPr>
              <w:t>December 31,</w:t>
            </w:r>
          </w:p>
        </w:tc>
        <w:tc>
          <w:tcPr>
            <w:tcW w:w="5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8"/>
        </w:trPr>
        <w:tc>
          <w:tcPr>
            <w:tcW w:w="582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8"/>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Contract revenue</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3,573</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27,309</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(23,736)</w:t>
            </w:r>
          </w:p>
        </w:tc>
      </w:tr>
      <w:tr>
        <w:trPr>
          <w:trHeight w:val="208"/>
        </w:trPr>
        <w:tc>
          <w:tcPr>
            <w:tcW w:w="5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40" w:type="dxa"/>
            <w:vAlign w:val="bottom"/>
          </w:tcPr>
          <w:p>
            <w:pPr>
              <w:spacing w:after="0"/>
              <w:rPr>
                <w:sz w:val="18"/>
                <w:szCs w:val="18"/>
                <w:color w:val="auto"/>
              </w:rPr>
            </w:pPr>
          </w:p>
        </w:tc>
        <w:tc>
          <w:tcPr>
            <w:tcW w:w="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3,573</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27,309</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(23,736)</w:t>
            </w:r>
          </w:p>
        </w:tc>
      </w:tr>
    </w:tbl>
    <w:p>
      <w:pPr>
        <w:spacing w:after="0" w:line="199" w:lineRule="exact"/>
        <w:rPr>
          <w:sz w:val="20"/>
          <w:szCs w:val="20"/>
          <w:color w:val="auto"/>
        </w:rPr>
      </w:pPr>
    </w:p>
    <w:p>
      <w:pPr>
        <w:ind w:left="40" w:right="319" w:firstLine="305"/>
        <w:spacing w:after="0" w:line="277" w:lineRule="auto"/>
        <w:rPr>
          <w:sz w:val="20"/>
          <w:szCs w:val="20"/>
          <w:color w:val="auto"/>
        </w:rPr>
      </w:pPr>
      <w:r>
        <w:rPr>
          <w:rFonts w:ascii="Times New Roman" w:cs="Times New Roman" w:eastAsia="Times New Roman" w:hAnsi="Times New Roman"/>
          <w:sz w:val="17"/>
          <w:szCs w:val="17"/>
          <w:color w:val="auto"/>
        </w:rPr>
        <w:t>Our contract revenues experience fluctuations as a result of securing new collaboration agreements, the timing of milestone achievements and the size of each milestone payment.</w:t>
      </w:r>
    </w:p>
    <w:p>
      <w:pPr>
        <w:spacing w:after="0" w:line="145" w:lineRule="exact"/>
        <w:rPr>
          <w:sz w:val="20"/>
          <w:szCs w:val="20"/>
          <w:color w:val="auto"/>
        </w:rPr>
      </w:pPr>
    </w:p>
    <w:p>
      <w:pPr>
        <w:ind w:left="40" w:right="299" w:firstLine="305"/>
        <w:spacing w:after="0" w:line="277" w:lineRule="auto"/>
        <w:rPr>
          <w:sz w:val="20"/>
          <w:szCs w:val="20"/>
          <w:color w:val="auto"/>
        </w:rPr>
      </w:pPr>
      <w:r>
        <w:rPr>
          <w:rFonts w:ascii="Times New Roman" w:cs="Times New Roman" w:eastAsia="Times New Roman" w:hAnsi="Times New Roman"/>
          <w:sz w:val="17"/>
          <w:szCs w:val="17"/>
          <w:color w:val="auto"/>
        </w:rPr>
        <w:t>For the year ended December 31, 2025, our contract revenues of CHF 3.6 million were related to the efforts made under the agreement with Takeda for the development, CMC (chemistry, manufacturing, and controls), and regulatory activities.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For the year ended December 31, 2024, our contract revenues of CHF 27.3 million were related to:</w:t>
      </w:r>
    </w:p>
    <w:p>
      <w:pPr>
        <w:spacing w:after="0" w:line="211" w:lineRule="exact"/>
        <w:rPr>
          <w:sz w:val="20"/>
          <w:szCs w:val="20"/>
          <w:color w:val="auto"/>
        </w:rPr>
      </w:pPr>
    </w:p>
    <w:p>
      <w:pPr>
        <w:jc w:val="both"/>
        <w:ind w:left="1020" w:right="459" w:hanging="302"/>
        <w:spacing w:after="0" w:line="287" w:lineRule="auto"/>
        <w:tabs>
          <w:tab w:leader="none" w:pos="102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recognition of the second ReTain-related milestone payment of CHF 24.6 million under the agreement with Janssen. This milestone payment was triggered by the rapid rate of prescreening in the potentially registrational Phase 2b ReTain trial investigating active-immunotherapy candidate ACI-35.030 to treat preclinical AD; and</w:t>
      </w:r>
    </w:p>
    <w:p>
      <w:pPr>
        <w:spacing w:after="0" w:line="152" w:lineRule="exact"/>
        <w:rPr>
          <w:rFonts w:ascii="Times New Roman" w:cs="Times New Roman" w:eastAsia="Times New Roman" w:hAnsi="Times New Roman"/>
          <w:sz w:val="16"/>
          <w:szCs w:val="16"/>
          <w:color w:val="auto"/>
        </w:rPr>
      </w:pPr>
    </w:p>
    <w:p>
      <w:pPr>
        <w:ind w:left="1020" w:hanging="302"/>
        <w:spacing w:after="0"/>
        <w:tabs>
          <w:tab w:leader="none" w:pos="10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efforts made under the agreement with Takeda for the development, CMC, and regulatory activities.</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215" w:lineRule="exact"/>
        <w:rPr>
          <w:sz w:val="20"/>
          <w:szCs w:val="20"/>
          <w:color w:val="auto"/>
        </w:rPr>
      </w:pPr>
    </w:p>
    <w:p>
      <w:pPr>
        <w:ind w:left="40" w:right="119" w:firstLine="305"/>
        <w:spacing w:after="0" w:line="253" w:lineRule="auto"/>
        <w:rPr>
          <w:sz w:val="20"/>
          <w:szCs w:val="20"/>
          <w:color w:val="auto"/>
        </w:rPr>
      </w:pPr>
      <w:r>
        <w:rPr>
          <w:rFonts w:ascii="Times New Roman" w:cs="Times New Roman" w:eastAsia="Times New Roman" w:hAnsi="Times New Roman"/>
          <w:sz w:val="17"/>
          <w:szCs w:val="17"/>
          <w:color w:val="auto"/>
        </w:rPr>
        <w:t>Research and development activities are essential to our business and represent the majority of our costs incurred. Costs for certain development activities, such as clinical trials, are recognized based on an evaluation of the progress to completion of specific tasks using information from the clinical sites and our vendors. Our collaboration agreements have different agreements to share costs for the development of our product candidates.</w:t>
      </w:r>
    </w:p>
    <w:p>
      <w:pPr>
        <w:spacing w:after="0" w:line="178" w:lineRule="exact"/>
        <w:rPr>
          <w:sz w:val="20"/>
          <w:szCs w:val="20"/>
          <w:color w:val="auto"/>
        </w:rPr>
      </w:pPr>
    </w:p>
    <w:p>
      <w:pPr>
        <w:ind w:left="40" w:right="219" w:firstLine="305"/>
        <w:spacing w:after="0" w:line="256" w:lineRule="auto"/>
        <w:rPr>
          <w:sz w:val="20"/>
          <w:szCs w:val="20"/>
          <w:color w:val="auto"/>
        </w:rPr>
      </w:pPr>
      <w:r>
        <w:rPr>
          <w:rFonts w:ascii="Times New Roman" w:cs="Times New Roman" w:eastAsia="Times New Roman" w:hAnsi="Times New Roman"/>
          <w:sz w:val="17"/>
          <w:szCs w:val="17"/>
          <w:color w:val="auto"/>
        </w:rPr>
        <w:t>We have completed our co-development costs with Janssen for the Phase 1b/2a studies for our active immunotherapy, ACI-35.030 and JACI-35.054. AC Immune and Janssen will jointly share research and development costs for the first Phase 2b (however, AC Immune’s contribution to the first Phase 2b trial is capped (and remaining costs for AC Immune are non-material). From Phase 2b and onwards, Janssen will assume responsibility for the clinical development, manufacturing and commercialization.</w:t>
      </w:r>
    </w:p>
    <w:p>
      <w:pPr>
        <w:spacing w:after="0" w:line="176" w:lineRule="exact"/>
        <w:rPr>
          <w:sz w:val="20"/>
          <w:szCs w:val="20"/>
          <w:color w:val="auto"/>
        </w:rPr>
      </w:pPr>
    </w:p>
    <w:p>
      <w:pPr>
        <w:jc w:val="both"/>
        <w:ind w:left="40" w:right="219" w:firstLine="305"/>
        <w:spacing w:after="0" w:line="255" w:lineRule="auto"/>
        <w:rPr>
          <w:sz w:val="20"/>
          <w:szCs w:val="20"/>
          <w:color w:val="auto"/>
        </w:rPr>
      </w:pPr>
      <w:r>
        <w:rPr>
          <w:rFonts w:ascii="Times New Roman" w:cs="Times New Roman" w:eastAsia="Times New Roman" w:hAnsi="Times New Roman"/>
          <w:sz w:val="17"/>
          <w:szCs w:val="17"/>
          <w:color w:val="auto"/>
        </w:rPr>
        <w:t>We intend to increase our R&amp;D costs associated with the advancement of our active immunotherapies, ACI-24.060 targeting Abeta and ACI-7104.056 targeting a-syn in PD, through mid- and late-stage clinical development, as well as through investments in our intracellular programs such as our NLRP3 inhibitor, ACI-19764.</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Finally, we intend to further advance the characterization of our other clinical and preclinical candidates, such as our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Morphomer programs. In addition to the collaborative arrangements and proprietarily held assets, we expect that our total future</w:t>
      </w:r>
    </w:p>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R&amp;D costs will be lower than previous years following the reorganization in September 2025.</w:t>
      </w:r>
    </w:p>
    <w:p>
      <w:pPr>
        <w:spacing w:after="0" w:line="195" w:lineRule="exact"/>
        <w:rPr>
          <w:sz w:val="20"/>
          <w:szCs w:val="20"/>
          <w:color w:val="auto"/>
        </w:rPr>
      </w:pPr>
    </w:p>
    <w:p>
      <w:pPr>
        <w:ind w:left="40" w:right="199" w:firstLine="305"/>
        <w:spacing w:after="0" w:line="255" w:lineRule="auto"/>
        <w:rPr>
          <w:sz w:val="20"/>
          <w:szCs w:val="20"/>
          <w:color w:val="auto"/>
        </w:rPr>
      </w:pPr>
      <w:r>
        <w:rPr>
          <w:rFonts w:ascii="Times New Roman" w:cs="Times New Roman" w:eastAsia="Times New Roman" w:hAnsi="Times New Roman"/>
          <w:sz w:val="17"/>
          <w:szCs w:val="17"/>
          <w:color w:val="auto"/>
        </w:rPr>
        <w:t>The table below provides a breakdown of our research and development costs, including direct research and development costs, manufacturing costs related to research and development and other research and development costs not allocated directly to programs for the periods covered by this Annual Report. The research and development costs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27" w:name="page128"/>
    <w:bookmarkEnd w:id="12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199"/>
        <w:spacing w:after="0" w:line="258" w:lineRule="auto"/>
        <w:rPr>
          <w:sz w:val="20"/>
          <w:szCs w:val="20"/>
          <w:color w:val="auto"/>
        </w:rPr>
      </w:pPr>
      <w:r>
        <w:rPr>
          <w:rFonts w:ascii="Times New Roman" w:cs="Times New Roman" w:eastAsia="Times New Roman" w:hAnsi="Times New Roman"/>
          <w:sz w:val="17"/>
          <w:szCs w:val="17"/>
          <w:color w:val="auto"/>
        </w:rPr>
        <w:t>not allocated to specific programs include employment costs, regulatory, QA and intellectual property costs. We do not assign our internal costs, such as salary and benefits, share-based compensation expenses, laboratory supplies, and other direct expenses and infrastructure costs to individual R&amp;D projects, because the employees within our R&amp;D groups are typically deployed across multiple research and development programs.</w:t>
      </w:r>
    </w:p>
    <w:p>
      <w:pPr>
        <w:spacing w:after="0" w:line="175" w:lineRule="exact"/>
        <w:rPr>
          <w:sz w:val="20"/>
          <w:szCs w:val="20"/>
          <w:color w:val="auto"/>
        </w:rPr>
      </w:pPr>
    </w:p>
    <w:p>
      <w:pPr>
        <w:jc w:val="both"/>
        <w:ind w:left="40" w:right="339" w:firstLine="305"/>
        <w:spacing w:after="0" w:line="263" w:lineRule="auto"/>
        <w:rPr>
          <w:sz w:val="20"/>
          <w:szCs w:val="20"/>
          <w:color w:val="auto"/>
        </w:rPr>
      </w:pPr>
      <w:r>
        <w:rPr>
          <w:rFonts w:ascii="Times New Roman" w:cs="Times New Roman" w:eastAsia="Times New Roman" w:hAnsi="Times New Roman"/>
          <w:sz w:val="17"/>
          <w:szCs w:val="17"/>
          <w:color w:val="auto"/>
        </w:rPr>
        <w:t>For the year ended December 31, 2025, research and development expenses totaled CHF 56.4 million compared with CHF 62.6 million for the comparable period in 2024. This represents a decrease of CHF 6.1 million. The following table presents the research and development expenses during the years ended December 31, 2025 and 2024:</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Detailed research and development expenditures by major development category</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24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3"/>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224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Borders>
              <w:bottom w:val="single" w:sz="8" w:color="auto"/>
            </w:tcBorders>
            <w:gridSpan w:val="3"/>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8"/>
        </w:trPr>
        <w:tc>
          <w:tcPr>
            <w:tcW w:w="2240" w:type="dxa"/>
            <w:vAlign w:val="bottom"/>
          </w:tcPr>
          <w:p>
            <w:pPr>
              <w:spacing w:after="0"/>
              <w:rPr>
                <w:sz w:val="15"/>
                <w:szCs w:val="15"/>
                <w:color w:val="auto"/>
              </w:rPr>
            </w:pPr>
          </w:p>
        </w:tc>
        <w:tc>
          <w:tcPr>
            <w:tcW w:w="42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68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gridSpan w:val="2"/>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8"/>
        </w:trPr>
        <w:tc>
          <w:tcPr>
            <w:tcW w:w="63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Discovery and preclinical expenses</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7,812</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9,366</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(1,554)</w:t>
            </w:r>
          </w:p>
        </w:tc>
      </w:tr>
      <w:tr>
        <w:trPr>
          <w:trHeight w:val="216"/>
        </w:trPr>
        <w:tc>
          <w:tcPr>
            <w:tcW w:w="65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Clinical expenses</w:t>
            </w: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15,464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19,850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(4,386)</w:t>
            </w:r>
          </w:p>
        </w:tc>
      </w:tr>
      <w:tr>
        <w:trPr>
          <w:trHeight w:val="216"/>
        </w:trPr>
        <w:tc>
          <w:tcPr>
            <w:tcW w:w="6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Group function expenses</w:t>
            </w: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1,942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1,986</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48"/>
        </w:trPr>
        <w:tc>
          <w:tcPr>
            <w:tcW w:w="65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7"/>
                <w:szCs w:val="17"/>
                <w:b w:val="1"/>
                <w:bCs w:val="1"/>
                <w:color w:val="auto"/>
              </w:rPr>
              <w:t>Total direct R&amp;D expenses</w:t>
            </w:r>
          </w:p>
        </w:tc>
        <w:tc>
          <w:tcPr>
            <w:tcW w:w="6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25,218</w:t>
            </w:r>
          </w:p>
        </w:tc>
        <w:tc>
          <w:tcPr>
            <w:tcW w:w="18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31,202</w:t>
            </w:r>
          </w:p>
        </w:tc>
        <w:tc>
          <w:tcPr>
            <w:tcW w:w="18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(5,984)</w:t>
            </w:r>
          </w:p>
        </w:tc>
      </w:tr>
      <w:tr>
        <w:trPr>
          <w:trHeight w:val="194"/>
        </w:trPr>
        <w:tc>
          <w:tcPr>
            <w:tcW w:w="652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Payroll expenses</w:t>
            </w:r>
          </w:p>
        </w:tc>
        <w:tc>
          <w:tcPr>
            <w:tcW w:w="680" w:type="dxa"/>
            <w:vAlign w:val="bottom"/>
            <w:shd w:val="clear" w:color="auto" w:fill="CCEEFF"/>
          </w:tcPr>
          <w:p>
            <w:pPr>
              <w:jc w:val="right"/>
              <w:ind w:right="1"/>
              <w:spacing w:after="0" w:line="194" w:lineRule="exact"/>
              <w:rPr>
                <w:sz w:val="20"/>
                <w:szCs w:val="20"/>
                <w:color w:val="auto"/>
              </w:rPr>
            </w:pPr>
            <w:r>
              <w:rPr>
                <w:rFonts w:ascii="Times New Roman" w:cs="Times New Roman" w:eastAsia="Times New Roman" w:hAnsi="Times New Roman"/>
                <w:sz w:val="17"/>
                <w:szCs w:val="17"/>
                <w:color w:val="auto"/>
              </w:rPr>
              <w:t>20,213</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20,195</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18</w:t>
            </w:r>
          </w:p>
        </w:tc>
      </w:tr>
      <w:tr>
        <w:trPr>
          <w:trHeight w:val="216"/>
        </w:trPr>
        <w:tc>
          <w:tcPr>
            <w:tcW w:w="65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Share-based compensation</w:t>
            </w: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1,447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2,212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(765)</w:t>
            </w:r>
          </w:p>
        </w:tc>
      </w:tr>
      <w:tr>
        <w:trPr>
          <w:trHeight w:val="216"/>
        </w:trPr>
        <w:tc>
          <w:tcPr>
            <w:tcW w:w="6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non-allocated</w:t>
            </w: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9,558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w:t>
            </w:r>
          </w:p>
        </w:tc>
      </w:tr>
      <w:tr>
        <w:trPr>
          <w:trHeight w:val="208"/>
        </w:trPr>
        <w:tc>
          <w:tcPr>
            <w:tcW w:w="65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Total R&amp;D expenses</w:t>
            </w:r>
          </w:p>
        </w:tc>
        <w:tc>
          <w:tcPr>
            <w:tcW w:w="6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56,436</w:t>
            </w:r>
          </w:p>
        </w:tc>
        <w:tc>
          <w:tcPr>
            <w:tcW w:w="1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62,570</w:t>
            </w:r>
          </w:p>
        </w:tc>
        <w:tc>
          <w:tcPr>
            <w:tcW w:w="1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(6,134)</w:t>
            </w:r>
          </w:p>
        </w:tc>
      </w:tr>
      <w:tr>
        <w:trPr>
          <w:trHeight w:val="20"/>
        </w:trPr>
        <w:tc>
          <w:tcPr>
            <w:tcW w:w="22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373"/>
        </w:trPr>
        <w:tc>
          <w:tcPr>
            <w:tcW w:w="22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3"/>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2"/>
        </w:trPr>
        <w:tc>
          <w:tcPr>
            <w:tcW w:w="224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Borders>
              <w:bottom w:val="single" w:sz="8" w:color="auto"/>
            </w:tcBorders>
            <w:gridSpan w:val="3"/>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8"/>
        </w:trPr>
        <w:tc>
          <w:tcPr>
            <w:tcW w:w="2240" w:type="dxa"/>
            <w:vAlign w:val="bottom"/>
          </w:tcPr>
          <w:p>
            <w:pPr>
              <w:spacing w:after="0"/>
              <w:rPr>
                <w:sz w:val="15"/>
                <w:szCs w:val="15"/>
                <w:color w:val="auto"/>
              </w:rPr>
            </w:pPr>
          </w:p>
        </w:tc>
        <w:tc>
          <w:tcPr>
            <w:tcW w:w="42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68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gridSpan w:val="2"/>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8"/>
        </w:trPr>
        <w:tc>
          <w:tcPr>
            <w:tcW w:w="6320" w:type="dxa"/>
            <w:vAlign w:val="bottom"/>
            <w:tcBorders>
              <w:top w:val="single" w:sz="8" w:color="auto"/>
            </w:tcBorders>
            <w:gridSpan w:val="2"/>
            <w:shd w:val="clear" w:color="auto" w:fill="CCEEFF"/>
          </w:tcPr>
          <w:p>
            <w:pPr>
              <w:spacing w:after="0" w:line="209" w:lineRule="exact"/>
              <w:rPr>
                <w:sz w:val="20"/>
                <w:szCs w:val="20"/>
                <w:color w:val="auto"/>
              </w:rPr>
            </w:pPr>
            <w:r>
              <w:rPr>
                <w:rFonts w:ascii="Times New Roman" w:cs="Times New Roman" w:eastAsia="Times New Roman" w:hAnsi="Times New Roman"/>
                <w:sz w:val="16"/>
                <w:szCs w:val="16"/>
                <w:color w:val="auto"/>
              </w:rPr>
              <w:t>Operating expenses</w:t>
            </w:r>
            <w:r>
              <w:rPr>
                <w:rFonts w:ascii="Times New Roman" w:cs="Times New Roman" w:eastAsia="Times New Roman" w:hAnsi="Times New Roman"/>
                <w:sz w:val="24"/>
                <w:szCs w:val="24"/>
                <w:color w:val="auto"/>
                <w:vertAlign w:val="superscript"/>
              </w:rPr>
              <w:t>1</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34,776</w:t>
            </w:r>
          </w:p>
        </w:tc>
        <w:tc>
          <w:tcPr>
            <w:tcW w:w="18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40,163</w:t>
            </w:r>
          </w:p>
        </w:tc>
        <w:tc>
          <w:tcPr>
            <w:tcW w:w="18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(5,387)</w:t>
            </w:r>
          </w:p>
        </w:tc>
      </w:tr>
      <w:tr>
        <w:trPr>
          <w:trHeight w:val="216"/>
        </w:trPr>
        <w:tc>
          <w:tcPr>
            <w:tcW w:w="65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Salaries and related costs</w:t>
            </w:r>
            <w:r>
              <w:rPr>
                <w:rFonts w:ascii="Times New Roman" w:cs="Times New Roman" w:eastAsia="Times New Roman" w:hAnsi="Times New Roman"/>
                <w:sz w:val="25"/>
                <w:szCs w:val="25"/>
                <w:color w:val="auto"/>
                <w:vertAlign w:val="superscript"/>
              </w:rPr>
              <w:t>2</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21,660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22,407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(747)</w:t>
            </w:r>
          </w:p>
        </w:tc>
      </w:tr>
      <w:tr>
        <w:trPr>
          <w:trHeight w:val="208"/>
        </w:trPr>
        <w:tc>
          <w:tcPr>
            <w:tcW w:w="65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R&amp;D expenses</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56,436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62,570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(6,134)</w:t>
            </w:r>
          </w:p>
        </w:tc>
      </w:tr>
      <w:tr>
        <w:trPr>
          <w:trHeight w:val="20"/>
        </w:trPr>
        <w:tc>
          <w:tcPr>
            <w:tcW w:w="22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85"/>
        </w:trPr>
        <w:tc>
          <w:tcPr>
            <w:tcW w:w="2240" w:type="dxa"/>
            <w:vAlign w:val="bottom"/>
            <w:tcBorders>
              <w:bottom w:val="single" w:sz="8" w:color="auto"/>
            </w:tcBorders>
          </w:tcPr>
          <w:p>
            <w:pPr>
              <w:spacing w:after="0"/>
              <w:rPr>
                <w:sz w:val="7"/>
                <w:szCs w:val="7"/>
                <w:color w:val="auto"/>
              </w:rPr>
            </w:pPr>
          </w:p>
        </w:tc>
        <w:tc>
          <w:tcPr>
            <w:tcW w:w="4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r>
    </w:tbl>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Includes depreciation expenses of CHF 0.9 million.</w:t>
      </w:r>
    </w:p>
    <w:p>
      <w:pPr>
        <w:spacing w:after="0" w:line="1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Includes share-based compensation of CHF 1.4 million.</w:t>
      </w:r>
    </w:p>
    <w:p>
      <w:pPr>
        <w:spacing w:after="0" w:line="1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For the year ended December 31, 2025:</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Discovery and preclinical expenses decreased by CHF 1.6 million, primarily due to:</w:t>
      </w:r>
    </w:p>
    <w:p>
      <w:pPr>
        <w:spacing w:after="0" w:line="223" w:lineRule="exact"/>
        <w:rPr>
          <w:sz w:val="20"/>
          <w:szCs w:val="20"/>
          <w:color w:val="auto"/>
        </w:rPr>
      </w:pPr>
    </w:p>
    <w:p>
      <w:pPr>
        <w:ind w:left="680" w:right="179" w:hanging="305"/>
        <w:spacing w:after="0" w:line="274" w:lineRule="auto"/>
        <w:tabs>
          <w:tab w:leader="none" w:pos="68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activities in early-stage programs such as our anti TDP-43 antibody and PET tracer programs, whereby the pre-clinical development activities were completed in prior periods, and reduced research activities on ACI-24.060. These changes were offset by higher costs associated with our NLRP3 inhibitor and Morphomer Tau programs as they advance towards clinical development.</w:t>
      </w:r>
    </w:p>
    <w:p>
      <w:pPr>
        <w:spacing w:after="0" w:line="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Clinical expenses decreased by CHF 4.4 million, primarily due to:</w:t>
      </w:r>
    </w:p>
    <w:p>
      <w:pPr>
        <w:spacing w:after="0" w:line="211" w:lineRule="exact"/>
        <w:rPr>
          <w:sz w:val="20"/>
          <w:szCs w:val="20"/>
          <w:color w:val="auto"/>
        </w:rPr>
      </w:pPr>
    </w:p>
    <w:p>
      <w:pPr>
        <w:ind w:left="680" w:right="119" w:hanging="305"/>
        <w:spacing w:after="0" w:line="255" w:lineRule="auto"/>
        <w:tabs>
          <w:tab w:leader="none" w:pos="68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of CHF 2.1 million related to our Phase 2 VacSYn study evaluating ACI-7104.056 in early PD, primarily related to manufacturing activities incurred in the prior period which did not recur in the current period, and a decrease of CHF 4.1 million in our other active immunotherapy program, mostly due to manufacturing costs not recurring in the current period, and Clinical development activities. These changes were offset by increased costs associated with our NLRP3 inhibitor program, which is expected to enter clinical development in 2026, and higher costs associated with our PET Tracer programs which entered clinical development in 2025.</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28" w:name="page129"/>
    <w:bookmarkEnd w:id="12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519" w:firstLine="305"/>
        <w:spacing w:after="0" w:line="277" w:lineRule="auto"/>
        <w:rPr>
          <w:sz w:val="20"/>
          <w:szCs w:val="20"/>
          <w:color w:val="auto"/>
        </w:rPr>
      </w:pPr>
      <w:r>
        <w:rPr>
          <w:rFonts w:ascii="Times New Roman" w:cs="Times New Roman" w:eastAsia="Times New Roman" w:hAnsi="Times New Roman"/>
          <w:sz w:val="17"/>
          <w:szCs w:val="17"/>
          <w:color w:val="auto"/>
        </w:rPr>
        <w:t>The variances in Group function expenses relate to regulatory and quality assurance, intellectual property and other non-allocated costs across various cost centers.</w:t>
      </w:r>
    </w:p>
    <w:p>
      <w:pPr>
        <w:spacing w:after="0" w:line="158" w:lineRule="exact"/>
        <w:rPr>
          <w:sz w:val="20"/>
          <w:szCs w:val="20"/>
          <w:color w:val="auto"/>
        </w:rPr>
      </w:pPr>
    </w:p>
    <w:p>
      <w:pPr>
        <w:ind w:left="40" w:right="399" w:firstLine="305"/>
        <w:spacing w:after="0" w:line="277" w:lineRule="auto"/>
        <w:rPr>
          <w:sz w:val="20"/>
          <w:szCs w:val="20"/>
          <w:color w:val="auto"/>
        </w:rPr>
      </w:pPr>
      <w:r>
        <w:rPr>
          <w:rFonts w:ascii="Times New Roman" w:cs="Times New Roman" w:eastAsia="Times New Roman" w:hAnsi="Times New Roman"/>
          <w:sz w:val="17"/>
          <w:szCs w:val="17"/>
          <w:color w:val="auto"/>
        </w:rPr>
        <w:t>Total salaries and related costs decreased by CHF 0.7 million, primarily due to decreased share-based compensation in the current year.</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increase in other non-allocated expenses relates to certain non-allocated functional expenses.</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215" w:lineRule="exact"/>
        <w:rPr>
          <w:sz w:val="20"/>
          <w:szCs w:val="20"/>
          <w:color w:val="auto"/>
        </w:rPr>
      </w:pPr>
    </w:p>
    <w:p>
      <w:pPr>
        <w:ind w:left="40" w:right="519" w:firstLine="305"/>
        <w:spacing w:after="0" w:line="293" w:lineRule="auto"/>
        <w:rPr>
          <w:sz w:val="20"/>
          <w:szCs w:val="20"/>
          <w:color w:val="auto"/>
        </w:rPr>
      </w:pPr>
      <w:r>
        <w:rPr>
          <w:rFonts w:ascii="Times New Roman" w:cs="Times New Roman" w:eastAsia="Times New Roman" w:hAnsi="Times New Roman"/>
          <w:sz w:val="16"/>
          <w:szCs w:val="16"/>
          <w:color w:val="auto"/>
        </w:rPr>
        <w:t>General and administrative expenses consist primarily of salaries and related costs, including share-based compensation, professional fees such as legal and accounting related services, infrastructure expenses, and other operating expenses.</w:t>
      </w:r>
    </w:p>
    <w:p>
      <w:pPr>
        <w:spacing w:after="0" w:line="147" w:lineRule="exact"/>
        <w:rPr>
          <w:sz w:val="20"/>
          <w:szCs w:val="20"/>
          <w:color w:val="auto"/>
        </w:rPr>
      </w:pPr>
    </w:p>
    <w:p>
      <w:pPr>
        <w:jc w:val="both"/>
        <w:ind w:left="40" w:right="339" w:firstLine="305"/>
        <w:spacing w:after="0" w:line="263" w:lineRule="auto"/>
        <w:rPr>
          <w:sz w:val="20"/>
          <w:szCs w:val="20"/>
          <w:color w:val="auto"/>
        </w:rPr>
      </w:pPr>
      <w:r>
        <w:rPr>
          <w:rFonts w:ascii="Times New Roman" w:cs="Times New Roman" w:eastAsia="Times New Roman" w:hAnsi="Times New Roman"/>
          <w:sz w:val="17"/>
          <w:szCs w:val="17"/>
          <w:color w:val="auto"/>
        </w:rPr>
        <w:t>For the year ended December 31, 2025, general and administrative expenses totaled CHF 16.1 million compared with CHF 17.3 million for the comparable period in 2024. This represents a decrease of CHF 1.2 million. The following table presents the general and administrative expenses during the years ended December 31, 2025 and 2024:</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24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62"/>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224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8"/>
        </w:trPr>
        <w:tc>
          <w:tcPr>
            <w:tcW w:w="2240" w:type="dxa"/>
            <w:vAlign w:val="bottom"/>
          </w:tcPr>
          <w:p>
            <w:pPr>
              <w:spacing w:after="0"/>
              <w:rPr>
                <w:sz w:val="15"/>
                <w:szCs w:val="15"/>
                <w:color w:val="auto"/>
              </w:rPr>
            </w:pPr>
          </w:p>
        </w:tc>
        <w:tc>
          <w:tcPr>
            <w:tcW w:w="42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68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68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8"/>
        </w:trPr>
        <w:tc>
          <w:tcPr>
            <w:tcW w:w="6320" w:type="dxa"/>
            <w:vAlign w:val="bottom"/>
            <w:tcBorders>
              <w:top w:val="single" w:sz="8" w:color="auto"/>
            </w:tcBorders>
            <w:gridSpan w:val="2"/>
            <w:shd w:val="clear" w:color="auto" w:fill="CCEEFF"/>
          </w:tcPr>
          <w:p>
            <w:pPr>
              <w:spacing w:after="0" w:line="209" w:lineRule="exact"/>
              <w:rPr>
                <w:sz w:val="20"/>
                <w:szCs w:val="20"/>
                <w:color w:val="auto"/>
              </w:rPr>
            </w:pPr>
            <w:r>
              <w:rPr>
                <w:rFonts w:ascii="Times New Roman" w:cs="Times New Roman" w:eastAsia="Times New Roman" w:hAnsi="Times New Roman"/>
                <w:sz w:val="16"/>
                <w:szCs w:val="16"/>
                <w:color w:val="auto"/>
              </w:rPr>
              <w:t>Operating expenses</w:t>
            </w:r>
            <w:r>
              <w:rPr>
                <w:rFonts w:ascii="Times New Roman" w:cs="Times New Roman" w:eastAsia="Times New Roman" w:hAnsi="Times New Roman"/>
                <w:sz w:val="24"/>
                <w:szCs w:val="24"/>
                <w:color w:val="auto"/>
                <w:vertAlign w:val="superscript"/>
              </w:rPr>
              <w:t>1</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4,442</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5,825</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(1,383)</w:t>
            </w:r>
          </w:p>
        </w:tc>
      </w:tr>
      <w:tr>
        <w:trPr>
          <w:trHeight w:val="216"/>
        </w:trPr>
        <w:tc>
          <w:tcPr>
            <w:tcW w:w="6520" w:type="dxa"/>
            <w:vAlign w:val="bottom"/>
            <w:tcBorders>
              <w:bottom w:val="single" w:sz="8" w:color="CCEEFF"/>
            </w:tcBorders>
            <w:gridSpan w:val="3"/>
          </w:tcPr>
          <w:p>
            <w:pPr>
              <w:spacing w:after="0" w:line="216" w:lineRule="exact"/>
              <w:rPr>
                <w:sz w:val="20"/>
                <w:szCs w:val="20"/>
                <w:color w:val="auto"/>
              </w:rPr>
            </w:pPr>
            <w:r>
              <w:rPr>
                <w:rFonts w:ascii="Times New Roman" w:cs="Times New Roman" w:eastAsia="Times New Roman" w:hAnsi="Times New Roman"/>
                <w:sz w:val="17"/>
                <w:szCs w:val="17"/>
                <w:color w:val="auto"/>
              </w:rPr>
              <w:t>Salaries and related costs</w:t>
            </w:r>
            <w:r>
              <w:rPr>
                <w:rFonts w:ascii="Times New Roman" w:cs="Times New Roman" w:eastAsia="Times New Roman" w:hAnsi="Times New Roman"/>
                <w:sz w:val="25"/>
                <w:szCs w:val="25"/>
                <w:color w:val="auto"/>
                <w:vertAlign w:val="superscript"/>
              </w:rPr>
              <w:t>2</w:t>
            </w:r>
          </w:p>
        </w:tc>
        <w:tc>
          <w:tcPr>
            <w:tcW w:w="6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7"/>
                <w:szCs w:val="17"/>
                <w:color w:val="auto"/>
              </w:rPr>
              <w:t>11,652</w:t>
            </w:r>
          </w:p>
        </w:tc>
        <w:tc>
          <w:tcPr>
            <w:tcW w:w="1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11,434</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w:t>
            </w:r>
          </w:p>
        </w:tc>
      </w:tr>
      <w:tr>
        <w:trPr>
          <w:trHeight w:val="208"/>
        </w:trPr>
        <w:tc>
          <w:tcPr>
            <w:tcW w:w="6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general and administrative expenses</w:t>
            </w:r>
          </w:p>
        </w:tc>
        <w:tc>
          <w:tcPr>
            <w:tcW w:w="6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16,094</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17,259</w:t>
            </w:r>
          </w:p>
        </w:tc>
        <w:tc>
          <w:tcPr>
            <w:tcW w:w="1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(1,165)</w:t>
            </w:r>
          </w:p>
        </w:tc>
      </w:tr>
      <w:tr>
        <w:trPr>
          <w:trHeight w:val="20"/>
        </w:trPr>
        <w:tc>
          <w:tcPr>
            <w:tcW w:w="22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92"/>
        </w:trPr>
        <w:tc>
          <w:tcPr>
            <w:tcW w:w="2240" w:type="dxa"/>
            <w:vAlign w:val="bottom"/>
            <w:tcBorders>
              <w:bottom w:val="single" w:sz="8" w:color="auto"/>
            </w:tcBorders>
          </w:tcPr>
          <w:p>
            <w:pPr>
              <w:spacing w:after="0"/>
              <w:rPr>
                <w:sz w:val="8"/>
                <w:szCs w:val="8"/>
                <w:color w:val="auto"/>
              </w:rPr>
            </w:pPr>
          </w:p>
        </w:tc>
        <w:tc>
          <w:tcPr>
            <w:tcW w:w="4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r>
    </w:tbl>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Includes depreciation expenses of CHF 1.6 million</w:t>
      </w:r>
    </w:p>
    <w:p>
      <w:pPr>
        <w:spacing w:after="0" w:line="1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Includes share-based compensation CHF 3.1 million</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For the year ended December 31, 2025, this decrease is primarily due to:</w:t>
      </w:r>
    </w:p>
    <w:p>
      <w:pPr>
        <w:spacing w:after="0" w:line="211" w:lineRule="exact"/>
        <w:rPr>
          <w:sz w:val="20"/>
          <w:szCs w:val="20"/>
          <w:color w:val="auto"/>
        </w:rPr>
      </w:pPr>
    </w:p>
    <w:p>
      <w:pPr>
        <w:ind w:left="980" w:hanging="300"/>
        <w:spacing w:after="0"/>
        <w:tabs>
          <w:tab w:leader="none" w:pos="98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of CHF 1.4 million in operating expenses, largely driven by a CHF 1.0 million decrease in legal fees.</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Other operating income/(expense), net</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Other operating income/(expense), net totaled CHF 0.1 million in income for the years ended December 31, 2025 and 2024.</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following table presents the other operating income/(expense), net during the years ended December 31, 2025 and 2024:</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6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3"/>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6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Borders>
              <w:bottom w:val="single" w:sz="8" w:color="auto"/>
            </w:tcBorders>
            <w:gridSpan w:val="3"/>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8"/>
        </w:trPr>
        <w:tc>
          <w:tcPr>
            <w:tcW w:w="6600" w:type="dxa"/>
            <w:vAlign w:val="bottom"/>
            <w:gridSpan w:val="2"/>
          </w:tcPr>
          <w:p>
            <w:pPr>
              <w:ind w:left="268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640" w:type="dxa"/>
            <w:vAlign w:val="bottom"/>
          </w:tcPr>
          <w:p>
            <w:pPr>
              <w:jc w:val="right"/>
              <w:ind w:right="10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gridSpan w:val="2"/>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   2024</w:t>
            </w:r>
          </w:p>
        </w:tc>
        <w:tc>
          <w:tcPr>
            <w:tcW w:w="86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8"/>
        </w:trPr>
        <w:tc>
          <w:tcPr>
            <w:tcW w:w="6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operating income/(expense), net</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08"/>
        </w:trPr>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other operating income/(expense), net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20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20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0"/>
        </w:trPr>
        <w:tc>
          <w:tcPr>
            <w:tcW w:w="6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329565</wp:posOffset>
            </wp:positionV>
            <wp:extent cx="5657850" cy="241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29" w:name="page130"/>
    <w:bookmarkEnd w:id="12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Restructuring expenses, net</w:t>
      </w:r>
    </w:p>
    <w:p>
      <w:pPr>
        <w:spacing w:after="0" w:line="215" w:lineRule="exact"/>
        <w:rPr>
          <w:sz w:val="20"/>
          <w:szCs w:val="20"/>
          <w:color w:val="auto"/>
        </w:rPr>
      </w:pPr>
    </w:p>
    <w:p>
      <w:pPr>
        <w:ind w:left="40" w:right="239" w:firstLine="305"/>
        <w:spacing w:after="0" w:line="277" w:lineRule="auto"/>
        <w:rPr>
          <w:sz w:val="20"/>
          <w:szCs w:val="20"/>
          <w:color w:val="auto"/>
        </w:rPr>
      </w:pPr>
      <w:r>
        <w:rPr>
          <w:rFonts w:ascii="Times New Roman" w:cs="Times New Roman" w:eastAsia="Times New Roman" w:hAnsi="Times New Roman"/>
          <w:sz w:val="17"/>
          <w:szCs w:val="17"/>
          <w:color w:val="auto"/>
        </w:rPr>
        <w:t>For the year ended December 31, 2025, the Company recorded CHF 0.5 million of restructuring expenses compared to nil in the corresponding prior year.</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9"/>
        </w:trPr>
        <w:tc>
          <w:tcPr>
            <w:tcW w:w="6520" w:type="dxa"/>
            <w:vAlign w:val="bottom"/>
          </w:tcPr>
          <w:p>
            <w:pPr>
              <w:spacing w:after="0"/>
              <w:rPr>
                <w:sz w:val="15"/>
                <w:szCs w:val="15"/>
                <w:color w:val="auto"/>
              </w:rPr>
            </w:pPr>
          </w:p>
        </w:tc>
        <w:tc>
          <w:tcPr>
            <w:tcW w:w="18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1"/>
        </w:trPr>
        <w:tc>
          <w:tcPr>
            <w:tcW w:w="6520" w:type="dxa"/>
            <w:vAlign w:val="bottom"/>
          </w:tcPr>
          <w:p>
            <w:pPr>
              <w:spacing w:after="0"/>
              <w:rPr>
                <w:sz w:val="19"/>
                <w:szCs w:val="19"/>
                <w:color w:val="auto"/>
              </w:rPr>
            </w:pPr>
          </w:p>
        </w:tc>
        <w:tc>
          <w:tcPr>
            <w:tcW w:w="18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6520" w:type="dxa"/>
            <w:vAlign w:val="bottom"/>
          </w:tcPr>
          <w:p>
            <w:pPr>
              <w:spacing w:after="0"/>
              <w:rPr>
                <w:sz w:val="17"/>
                <w:szCs w:val="17"/>
                <w:color w:val="auto"/>
              </w:rPr>
            </w:pPr>
          </w:p>
        </w:tc>
        <w:tc>
          <w:tcPr>
            <w:tcW w:w="6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4"/>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Restructuring expenses</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18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20" w:type="dxa"/>
            <w:vAlign w:val="bottom"/>
          </w:tcPr>
          <w:p>
            <w:pPr>
              <w:spacing w:after="0"/>
              <w:rPr>
                <w:sz w:val="18"/>
                <w:szCs w:val="18"/>
                <w:color w:val="auto"/>
              </w:rPr>
            </w:pPr>
          </w:p>
        </w:tc>
      </w:tr>
      <w:tr>
        <w:trPr>
          <w:trHeight w:val="208"/>
        </w:trPr>
        <w:tc>
          <w:tcPr>
            <w:tcW w:w="6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Restructuring expenses</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180" w:type="dxa"/>
            <w:vAlign w:val="bottom"/>
          </w:tcPr>
          <w:p>
            <w:pPr>
              <w:spacing w:after="0"/>
              <w:rPr>
                <w:sz w:val="18"/>
                <w:szCs w:val="18"/>
                <w:color w:val="auto"/>
              </w:rPr>
            </w:pPr>
          </w:p>
        </w:tc>
        <w:tc>
          <w:tcPr>
            <w:tcW w:w="6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20" w:type="dxa"/>
            <w:vAlign w:val="bottom"/>
            <w:tcBorders>
              <w:bottom w:val="single" w:sz="8" w:color="auto"/>
            </w:tcBorders>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9" w:lineRule="exact"/>
        <w:rPr>
          <w:sz w:val="20"/>
          <w:szCs w:val="20"/>
          <w:color w:val="auto"/>
        </w:rPr>
      </w:pPr>
    </w:p>
    <w:p>
      <w:pPr>
        <w:ind w:left="40" w:right="199" w:firstLine="305"/>
        <w:spacing w:after="0" w:line="263" w:lineRule="auto"/>
        <w:rPr>
          <w:sz w:val="20"/>
          <w:szCs w:val="20"/>
          <w:color w:val="auto"/>
        </w:rPr>
      </w:pPr>
      <w:r>
        <w:rPr>
          <w:rFonts w:ascii="Times New Roman" w:cs="Times New Roman" w:eastAsia="Times New Roman" w:hAnsi="Times New Roman"/>
          <w:sz w:val="17"/>
          <w:szCs w:val="17"/>
          <w:color w:val="auto"/>
        </w:rPr>
        <w:t>The increase of restructuring expenses pertained to a 2025 event, and consists of termination benefits of CHF 2.1 million. These termination benefits are offset by a CHF 1.8 million gain on curtailment of the defined benefit plan liability. The remaining balance pertains to other non-cash activities within share-based compensation.</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Finance result, net</w:t>
      </w:r>
    </w:p>
    <w:p>
      <w:pPr>
        <w:spacing w:after="0" w:line="215" w:lineRule="exact"/>
        <w:rPr>
          <w:sz w:val="20"/>
          <w:szCs w:val="20"/>
          <w:color w:val="auto"/>
        </w:rPr>
      </w:pPr>
    </w:p>
    <w:p>
      <w:pPr>
        <w:ind w:left="40" w:right="199" w:firstLine="305"/>
        <w:spacing w:after="0" w:line="255" w:lineRule="auto"/>
        <w:rPr>
          <w:sz w:val="20"/>
          <w:szCs w:val="20"/>
          <w:color w:val="auto"/>
        </w:rPr>
      </w:pPr>
      <w:r>
        <w:rPr>
          <w:rFonts w:ascii="Times New Roman" w:cs="Times New Roman" w:eastAsia="Times New Roman" w:hAnsi="Times New Roman"/>
          <w:sz w:val="17"/>
          <w:szCs w:val="17"/>
          <w:color w:val="auto"/>
        </w:rPr>
        <w:t>For the year ended December 31, 2025, finance result, net was a CHF 1.1 million loss compared with a CHF 1.5 million gain for the comparable period in 2024. This represents an unfavorable change of CHF 2.6 million. The following table presents the finance result during the years ended December 31, 2025 and 2024:</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6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00" w:type="dxa"/>
            <w:vAlign w:val="bottom"/>
          </w:tcPr>
          <w:p>
            <w:pPr>
              <w:spacing w:after="0"/>
              <w:rPr>
                <w:sz w:val="15"/>
                <w:szCs w:val="15"/>
                <w:color w:val="auto"/>
              </w:rPr>
            </w:pPr>
          </w:p>
        </w:tc>
      </w:tr>
      <w:tr>
        <w:trPr>
          <w:trHeight w:val="182"/>
        </w:trPr>
        <w:tc>
          <w:tcPr>
            <w:tcW w:w="6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0" w:type="dxa"/>
            <w:vAlign w:val="bottom"/>
          </w:tcPr>
          <w:p>
            <w:pPr>
              <w:spacing w:after="0"/>
              <w:rPr>
                <w:sz w:val="15"/>
                <w:szCs w:val="15"/>
                <w:color w:val="auto"/>
              </w:rPr>
            </w:pPr>
          </w:p>
        </w:tc>
      </w:tr>
      <w:tr>
        <w:trPr>
          <w:trHeight w:val="178"/>
        </w:trPr>
        <w:tc>
          <w:tcPr>
            <w:tcW w:w="6520" w:type="dxa"/>
            <w:vAlign w:val="bottom"/>
            <w:gridSpan w:val="2"/>
          </w:tcPr>
          <w:p>
            <w:pPr>
              <w:ind w:left="26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680" w:type="dxa"/>
            <w:vAlign w:val="bottom"/>
            <w:tcBorders>
              <w:top w:val="single" w:sz="8" w:color="auto"/>
            </w:tcBorders>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8"/>
        </w:trPr>
        <w:tc>
          <w:tcPr>
            <w:tcW w:w="6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Financial income</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1,865</w:t>
            </w:r>
          </w:p>
        </w:tc>
        <w:tc>
          <w:tcPr>
            <w:tcW w:w="18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3,196</w:t>
            </w:r>
          </w:p>
        </w:tc>
        <w:tc>
          <w:tcPr>
            <w:tcW w:w="18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(1,331)</w:t>
            </w: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Financial expense</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Exchange differences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(2,803)</w:t>
            </w:r>
          </w:p>
        </w:tc>
        <w:tc>
          <w:tcPr>
            <w:tcW w:w="1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(1,598)</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(1,205)</w:t>
            </w:r>
          </w:p>
        </w:tc>
      </w:tr>
      <w:tr>
        <w:trPr>
          <w:trHeight w:val="208"/>
        </w:trPr>
        <w:tc>
          <w:tcPr>
            <w:tcW w:w="65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Finance result, net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(1,129)</w:t>
            </w:r>
          </w:p>
        </w:tc>
        <w:tc>
          <w:tcPr>
            <w:tcW w:w="18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1,465</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(2,594)</w:t>
            </w:r>
          </w:p>
        </w:tc>
      </w:tr>
      <w:tr>
        <w:trPr>
          <w:trHeight w:val="20"/>
        </w:trPr>
        <w:tc>
          <w:tcPr>
            <w:tcW w:w="6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40" w:right="239" w:firstLine="305"/>
        <w:spacing w:after="0" w:line="258" w:lineRule="auto"/>
        <w:rPr>
          <w:sz w:val="20"/>
          <w:szCs w:val="20"/>
          <w:color w:val="auto"/>
        </w:rPr>
      </w:pPr>
      <w:r>
        <w:rPr>
          <w:rFonts w:ascii="Times New Roman" w:cs="Times New Roman" w:eastAsia="Times New Roman" w:hAnsi="Times New Roman"/>
          <w:sz w:val="17"/>
          <w:szCs w:val="17"/>
          <w:color w:val="auto"/>
        </w:rPr>
        <w:t>The unfavorable change in finance result, net of CHF 2.6 million primarily related to a decrease of CHF 1.3 million in financial income attributed to lower interest received on net investments in short-term financial assets, with less deposits made in 2025 compared to the previous period. The unfavorable change in exchange differences was caused by foreign currencies depreciating against the Swiss franc, predominantly the U.S. Dollar.</w:t>
      </w:r>
    </w:p>
    <w:p>
      <w:pPr>
        <w:spacing w:after="0" w:line="158" w:lineRule="exact"/>
        <w:rPr>
          <w:sz w:val="20"/>
          <w:szCs w:val="20"/>
          <w:color w:val="auto"/>
        </w:rPr>
      </w:pPr>
    </w:p>
    <w:p>
      <w:pPr>
        <w:ind w:left="40" w:right="6419" w:firstLine="5"/>
        <w:spacing w:after="0" w:line="498" w:lineRule="auto"/>
        <w:tabs>
          <w:tab w:leader="none" w:pos="345" w:val="left"/>
        </w:tabs>
        <w:numPr>
          <w:ilvl w:val="0"/>
          <w:numId w:val="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Liquidity and capital resources Cash flows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years ended December 31, 2025 and 2024</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summarizes our cash flows for the periods indicated:</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Borders>
              <w:bottom w:val="single" w:sz="8" w:color="auto"/>
            </w:tcBorders>
            <w:gridSpan w:val="3"/>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020" w:type="dxa"/>
            <w:vAlign w:val="bottom"/>
          </w:tcPr>
          <w:p>
            <w:pPr>
              <w:ind w:left="258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360" w:type="dxa"/>
            <w:vAlign w:val="bottom"/>
            <w:gridSpan w:val="2"/>
          </w:tcPr>
          <w:p>
            <w:pPr>
              <w:spacing w:after="0"/>
              <w:rPr>
                <w:sz w:val="15"/>
                <w:szCs w:val="15"/>
                <w:color w:val="auto"/>
              </w:rPr>
            </w:pPr>
          </w:p>
        </w:tc>
        <w:tc>
          <w:tcPr>
            <w:tcW w:w="6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76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Net cash provided by/(used in):</w:t>
            </w:r>
          </w:p>
        </w:tc>
        <w:tc>
          <w:tcPr>
            <w:tcW w:w="22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Operating activities</w:t>
            </w:r>
          </w:p>
        </w:tc>
        <w:tc>
          <w:tcPr>
            <w:tcW w:w="3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(69,262)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65,842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(135,104)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Investing activities</w:t>
            </w:r>
          </w:p>
        </w:tc>
        <w:tc>
          <w:tcPr>
            <w:tcW w:w="30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63,542</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(105,290)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168,832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Financing activities</w:t>
            </w:r>
          </w:p>
        </w:tc>
        <w:tc>
          <w:tcPr>
            <w:tcW w:w="3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Net increase/(decrease) in cash and cash equivalents</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(6,740)</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(40,568)</w:t>
            </w:r>
          </w:p>
        </w:tc>
        <w:tc>
          <w:tcPr>
            <w:tcW w:w="14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33,828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220" w:type="dxa"/>
            <w:vAlign w:val="bottom"/>
            <w:vMerge w:val="restart"/>
          </w:tcPr>
          <w:p>
            <w:pPr>
              <w:jc w:val="right"/>
              <w:ind w:right="1575"/>
              <w:spacing w:after="0"/>
              <w:rPr>
                <w:sz w:val="20"/>
                <w:szCs w:val="20"/>
                <w:color w:val="auto"/>
              </w:rPr>
            </w:pPr>
            <w:r>
              <w:rPr>
                <w:rFonts w:ascii="Times New Roman" w:cs="Times New Roman" w:eastAsia="Times New Roman" w:hAnsi="Times New Roman"/>
                <w:sz w:val="17"/>
                <w:szCs w:val="17"/>
                <w:color w:val="auto"/>
              </w:rPr>
              <w:t>125</w:t>
            </w: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2"/>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20" w:type="dxa"/>
            <w:vAlign w:val="bottom"/>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91" w:right="1440" w:bottom="1440" w:gutter="0" w:footer="0" w:header="0"/>
        </w:sectPr>
      </w:pPr>
    </w:p>
    <w:bookmarkStart w:id="130" w:name="page131"/>
    <w:bookmarkEnd w:id="13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215" w:lineRule="exact"/>
        <w:rPr>
          <w:sz w:val="20"/>
          <w:szCs w:val="20"/>
          <w:color w:val="auto"/>
        </w:rPr>
      </w:pPr>
    </w:p>
    <w:p>
      <w:pPr>
        <w:ind w:left="40" w:right="179" w:firstLine="305"/>
        <w:spacing w:after="0" w:line="255" w:lineRule="auto"/>
        <w:rPr>
          <w:sz w:val="20"/>
          <w:szCs w:val="20"/>
          <w:color w:val="auto"/>
        </w:rPr>
      </w:pPr>
      <w:r>
        <w:rPr>
          <w:rFonts w:ascii="Times New Roman" w:cs="Times New Roman" w:eastAsia="Times New Roman" w:hAnsi="Times New Roman"/>
          <w:sz w:val="17"/>
          <w:szCs w:val="17"/>
          <w:color w:val="auto"/>
        </w:rPr>
        <w:t>Net cash used in operating activities was CHF 69.3 million for the year ended December 31, 2025 compared with net cash provided by operating activities of CHF 65.8 million for the year ended December 31, 2024. The change in cash used in operating activities for the year ended December 31, 2025 was mostly due to (i) the Company’s reporting a net loss of CHF 70.4 million for the year ended December 31, 2025 compared with net loss of CHF 50.9 million for the same period in 2024 as a result of the agreement with Takeda yielding a CHF 92.3 million cash receipt in 2024, and (ii) a decrease of CHF 14.8 million in account receivable in 2024 as a result of the payment of the milestone recognized from Janssen in 2023.</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215" w:lineRule="exact"/>
        <w:rPr>
          <w:sz w:val="20"/>
          <w:szCs w:val="20"/>
          <w:color w:val="auto"/>
        </w:rPr>
      </w:pPr>
    </w:p>
    <w:p>
      <w:pPr>
        <w:ind w:left="40" w:right="79" w:firstLine="305"/>
        <w:spacing w:after="0" w:line="258" w:lineRule="auto"/>
        <w:rPr>
          <w:sz w:val="20"/>
          <w:szCs w:val="20"/>
          <w:color w:val="auto"/>
        </w:rPr>
      </w:pPr>
      <w:r>
        <w:rPr>
          <w:rFonts w:ascii="Times New Roman" w:cs="Times New Roman" w:eastAsia="Times New Roman" w:hAnsi="Times New Roman"/>
          <w:sz w:val="17"/>
          <w:szCs w:val="17"/>
          <w:color w:val="auto"/>
        </w:rPr>
        <w:t>Net cash provided by investing activities was CHF 63.5 million for the year ended December 31, 2025 compared with net cash used in investing activities of CHF 105.3 million for the year ended December 31, 2024. The change was composed of a net maturation of CHF 64.6 million of short-term financial assets during the financial year ended December 31, 2025, compared to a net investment of CHF 104.7 million of short-term financial assets in the prior year.</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215" w:lineRule="exact"/>
        <w:rPr>
          <w:sz w:val="20"/>
          <w:szCs w:val="20"/>
          <w:color w:val="auto"/>
        </w:rPr>
      </w:pPr>
    </w:p>
    <w:p>
      <w:pPr>
        <w:ind w:left="40" w:right="79" w:firstLine="305"/>
        <w:spacing w:after="0" w:line="252" w:lineRule="auto"/>
        <w:rPr>
          <w:sz w:val="20"/>
          <w:szCs w:val="20"/>
          <w:color w:val="auto"/>
        </w:rPr>
      </w:pPr>
      <w:r>
        <w:rPr>
          <w:rFonts w:ascii="Times New Roman" w:cs="Times New Roman" w:eastAsia="Times New Roman" w:hAnsi="Times New Roman"/>
          <w:sz w:val="17"/>
          <w:szCs w:val="17"/>
          <w:color w:val="auto"/>
        </w:rPr>
        <w:t>Net cash used in financing activities was CHF 1.0 million for the year ended December 31, 2025, compared with net cash used in financing activities of CHF 1.1 million for the year ended December 31, 2024. The decrease of CHF 0.1 million is predominantly related to prior year’s payment of transaction costs and stamp duty associated with the public offering of common shares previously accrued, offset by increased lease payments in the fiscal year ended December 31, 2025 due to the expansion of leased space for the year.</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Operating capital requirements and plan of operations</w:t>
      </w:r>
    </w:p>
    <w:p>
      <w:pPr>
        <w:spacing w:after="0" w:line="215" w:lineRule="exact"/>
        <w:rPr>
          <w:sz w:val="20"/>
          <w:szCs w:val="20"/>
          <w:color w:val="auto"/>
        </w:rPr>
      </w:pPr>
    </w:p>
    <w:p>
      <w:pPr>
        <w:ind w:left="40" w:right="79" w:firstLine="305"/>
        <w:spacing w:after="0" w:line="250" w:lineRule="auto"/>
        <w:rPr>
          <w:sz w:val="20"/>
          <w:szCs w:val="20"/>
          <w:color w:val="auto"/>
        </w:rPr>
      </w:pPr>
      <w:r>
        <w:rPr>
          <w:rFonts w:ascii="Times New Roman" w:cs="Times New Roman" w:eastAsia="Times New Roman" w:hAnsi="Times New Roman"/>
          <w:sz w:val="17"/>
          <w:szCs w:val="17"/>
          <w:color w:val="auto"/>
        </w:rPr>
        <w:t>We do not expect to generate revenues from royalties based on product sales unless and until our collaboration partners or we obtain regulatory approval of, and successfully commercialize, our current or any future product candidates. As of December 31, 2025, we had cash and cash equivalents of CHF 26.8 million and short-term financial assets of CHF 64.6 million, resulting in CHF 91.4 million of liquidity. The decrease of CHF 74.1 million relative to December 31, 2024 was predominantly related to R&amp;D spending on our major discovery and R&amp;D programs, the strengthening of the Company’s infrastructure, systems and organization and other operating expenditures. We believe that our existing capital resources, assuming no other milestone payment, will be sufficient to meet our projected operating requirements until the end of Q3 2027. There can be no certainty as to the exact timing of future milestone payments, or in fact, whether any of these will ever be made, given that they are contingent on clear milestones being reached.</w:t>
      </w:r>
    </w:p>
    <w:p>
      <w:pPr>
        <w:spacing w:after="0" w:line="185" w:lineRule="exact"/>
        <w:rPr>
          <w:sz w:val="20"/>
          <w:szCs w:val="20"/>
          <w:color w:val="auto"/>
        </w:rPr>
      </w:pPr>
    </w:p>
    <w:p>
      <w:pPr>
        <w:ind w:left="40" w:right="79" w:firstLine="305"/>
        <w:spacing w:after="0" w:line="270" w:lineRule="auto"/>
        <w:rPr>
          <w:sz w:val="20"/>
          <w:szCs w:val="20"/>
          <w:color w:val="auto"/>
        </w:rPr>
      </w:pPr>
      <w:r>
        <w:rPr>
          <w:rFonts w:ascii="Times New Roman" w:cs="Times New Roman" w:eastAsia="Times New Roman" w:hAnsi="Times New Roman"/>
          <w:sz w:val="16"/>
          <w:szCs w:val="16"/>
          <w:color w:val="auto"/>
        </w:rPr>
        <w:t>We expect to generate losses for the foreseeable future, and these losses could increase as we continue product development until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We anticipate that we will need substantial additional funding in connection with our continuing operations. If we need to raise additional capital to fund our operations and complete our ongoing and planned clinical studies, funding may not be available to us on acceptable terms, or at all.</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Our future funding requirements will depend on many factors, including but not limited to the following:</w:t>
      </w:r>
    </w:p>
    <w:p>
      <w:pPr>
        <w:spacing w:after="0" w:line="211" w:lineRule="exact"/>
        <w:rPr>
          <w:sz w:val="20"/>
          <w:szCs w:val="20"/>
          <w:color w:val="auto"/>
        </w:rPr>
      </w:pPr>
    </w:p>
    <w:p>
      <w:pPr>
        <w:ind w:left="660" w:right="99" w:hanging="310"/>
        <w:spacing w:after="0" w:line="262" w:lineRule="auto"/>
        <w:tabs>
          <w:tab w:leader="none" w:pos="66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rate of progress, results and cost of our preclinical and clinical studies and other related activities, according to our long-term strategic plan;</w:t>
      </w:r>
    </w:p>
    <w:p>
      <w:pPr>
        <w:spacing w:after="0" w:line="182" w:lineRule="exact"/>
        <w:rPr>
          <w:rFonts w:ascii="Times New Roman" w:cs="Times New Roman" w:eastAsia="Times New Roman" w:hAnsi="Times New Roman"/>
          <w:sz w:val="17"/>
          <w:szCs w:val="17"/>
          <w:color w:val="auto"/>
        </w:rPr>
      </w:pPr>
    </w:p>
    <w:p>
      <w:pPr>
        <w:ind w:left="660" w:right="139" w:hanging="310"/>
        <w:spacing w:after="0" w:line="262" w:lineRule="auto"/>
        <w:tabs>
          <w:tab w:leader="none" w:pos="66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manufacturing clinical supplies and establishing commercial supplies of our product candidates and any other products we may develop;</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329565</wp:posOffset>
            </wp:positionV>
            <wp:extent cx="5657850" cy="241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31" w:name="page132"/>
    <w:bookmarkEnd w:id="13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60" w:hanging="310"/>
        <w:spacing w:after="0"/>
        <w:tabs>
          <w:tab w:leader="none" w:pos="66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timing and outcomes of regulatory approvals;</w:t>
      </w:r>
    </w:p>
    <w:p>
      <w:pPr>
        <w:spacing w:after="0" w:line="210" w:lineRule="exact"/>
        <w:rPr>
          <w:rFonts w:ascii="Times New Roman" w:cs="Times New Roman" w:eastAsia="Times New Roman" w:hAnsi="Times New Roman"/>
          <w:sz w:val="17"/>
          <w:szCs w:val="17"/>
          <w:color w:val="auto"/>
        </w:rPr>
      </w:pPr>
    </w:p>
    <w:p>
      <w:pPr>
        <w:ind w:left="660" w:hanging="310"/>
        <w:spacing w:after="0"/>
        <w:tabs>
          <w:tab w:leader="none" w:pos="66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and timing of establishing sales, marketing and distribution capabilities;</w:t>
      </w:r>
    </w:p>
    <w:p>
      <w:pPr>
        <w:spacing w:after="0" w:line="210" w:lineRule="exact"/>
        <w:rPr>
          <w:rFonts w:ascii="Times New Roman" w:cs="Times New Roman" w:eastAsia="Times New Roman" w:hAnsi="Times New Roman"/>
          <w:sz w:val="17"/>
          <w:szCs w:val="17"/>
          <w:color w:val="auto"/>
        </w:rPr>
      </w:pPr>
    </w:p>
    <w:p>
      <w:pPr>
        <w:ind w:left="660" w:right="79" w:hanging="310"/>
        <w:spacing w:after="0" w:line="277" w:lineRule="auto"/>
        <w:tabs>
          <w:tab w:leader="none" w:pos="66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timing of any collaborative, licensing and other arrangements that we may establish, including any required milestone and royalty payments thereunder;</w:t>
      </w:r>
    </w:p>
    <w:p>
      <w:pPr>
        <w:spacing w:after="0" w:line="157" w:lineRule="exact"/>
        <w:rPr>
          <w:rFonts w:ascii="Times New Roman" w:cs="Times New Roman" w:eastAsia="Times New Roman" w:hAnsi="Times New Roman"/>
          <w:sz w:val="17"/>
          <w:szCs w:val="17"/>
          <w:color w:val="auto"/>
        </w:rPr>
      </w:pPr>
    </w:p>
    <w:p>
      <w:pPr>
        <w:ind w:left="660" w:hanging="310"/>
        <w:spacing w:after="0"/>
        <w:tabs>
          <w:tab w:leader="none" w:pos="66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emergence of competing technologies or other adverse market developments; and</w:t>
      </w:r>
    </w:p>
    <w:p>
      <w:pPr>
        <w:spacing w:after="0" w:line="210" w:lineRule="exact"/>
        <w:rPr>
          <w:rFonts w:ascii="Times New Roman" w:cs="Times New Roman" w:eastAsia="Times New Roman" w:hAnsi="Times New Roman"/>
          <w:sz w:val="17"/>
          <w:szCs w:val="17"/>
          <w:color w:val="auto"/>
        </w:rPr>
      </w:pPr>
    </w:p>
    <w:p>
      <w:pPr>
        <w:ind w:left="660" w:hanging="310"/>
        <w:spacing w:after="0"/>
        <w:tabs>
          <w:tab w:leader="none" w:pos="66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cost and timing of managing, protecting, defending and enforcing our portfolio of intellectual property.</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Contractual obligations</w:t>
      </w:r>
    </w:p>
    <w:p>
      <w:pPr>
        <w:spacing w:after="0" w:line="215" w:lineRule="exact"/>
        <w:rPr>
          <w:sz w:val="20"/>
          <w:szCs w:val="20"/>
          <w:color w:val="auto"/>
        </w:rPr>
      </w:pPr>
    </w:p>
    <w:p>
      <w:pPr>
        <w:ind w:left="40" w:right="59" w:firstLine="305"/>
        <w:spacing w:after="0" w:line="256" w:lineRule="auto"/>
        <w:rPr>
          <w:sz w:val="20"/>
          <w:szCs w:val="20"/>
          <w:color w:val="auto"/>
        </w:rPr>
      </w:pPr>
      <w:r>
        <w:rPr>
          <w:rFonts w:ascii="Times New Roman" w:cs="Times New Roman" w:eastAsia="Times New Roman" w:hAnsi="Times New Roman"/>
          <w:sz w:val="17"/>
          <w:szCs w:val="17"/>
          <w:color w:val="auto"/>
        </w:rPr>
        <w:t>In addition, the Company has been a tenant at our current location in the EPFL Innovation Park since shortly after our inception in 2003. We have entered into long-term rental lease agreements with respect to these facilities. However, our lease agreements are structured such that we can exit these lease agreements without penalty provided we give the owner of our premises sufficient notice. We have capitalized a portion of our lease liabilities in accordance with IFRS 16. See “Note 5. Right-of-use assets, long-term financial assets and lease liabilities.”</w:t>
      </w:r>
    </w:p>
    <w:p>
      <w:pPr>
        <w:spacing w:after="0" w:line="176" w:lineRule="exact"/>
        <w:rPr>
          <w:sz w:val="20"/>
          <w:szCs w:val="20"/>
          <w:color w:val="auto"/>
        </w:rPr>
      </w:pPr>
    </w:p>
    <w:p>
      <w:pPr>
        <w:ind w:left="40" w:right="659" w:firstLine="305"/>
        <w:spacing w:after="0" w:line="255" w:lineRule="auto"/>
        <w:rPr>
          <w:sz w:val="20"/>
          <w:szCs w:val="20"/>
          <w:color w:val="auto"/>
        </w:rPr>
      </w:pPr>
      <w:r>
        <w:rPr>
          <w:rFonts w:ascii="Times New Roman" w:cs="Times New Roman" w:eastAsia="Times New Roman" w:hAnsi="Times New Roman"/>
          <w:sz w:val="17"/>
          <w:szCs w:val="17"/>
          <w:color w:val="auto"/>
        </w:rPr>
        <w:t>The Company currently projects CHF 1.4 million in undiscounted short-term lease obligations and CHF 4.2 million in undiscounted long-term lease obligations. Additionally, the Company projects CHF 26.4 million in short-term purchase commitments and CHF 29.8 million in long-term purchase commitments predominantly driven by R&amp;D activities.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ATM program</w:t>
      </w:r>
    </w:p>
    <w:p>
      <w:pPr>
        <w:spacing w:after="0" w:line="215" w:lineRule="exact"/>
        <w:rPr>
          <w:sz w:val="20"/>
          <w:szCs w:val="20"/>
          <w:color w:val="auto"/>
        </w:rPr>
      </w:pPr>
    </w:p>
    <w:p>
      <w:pPr>
        <w:ind w:left="40" w:right="199" w:firstLine="305"/>
        <w:spacing w:after="0" w:line="263" w:lineRule="auto"/>
        <w:rPr>
          <w:sz w:val="20"/>
          <w:szCs w:val="20"/>
          <w:color w:val="auto"/>
        </w:rPr>
      </w:pPr>
      <w:r>
        <w:rPr>
          <w:rFonts w:ascii="Times New Roman" w:cs="Times New Roman" w:eastAsia="Times New Roman" w:hAnsi="Times New Roman"/>
          <w:sz w:val="17"/>
          <w:szCs w:val="17"/>
          <w:color w:val="auto"/>
        </w:rPr>
        <w:t>Commencing in September 2020, the Company established an “at the market offering” (ATM) for the sale of up to USD 80.0 (CHF 64.0) million worth of our common shares from time to time by entering into an Open Market Sale Agreement (Sales Agreement) with Jefferies LLC (Jefferies).</w:t>
      </w:r>
    </w:p>
    <w:p>
      <w:pPr>
        <w:spacing w:after="0" w:line="170" w:lineRule="exact"/>
        <w:rPr>
          <w:sz w:val="20"/>
          <w:szCs w:val="20"/>
          <w:color w:val="auto"/>
        </w:rPr>
      </w:pPr>
    </w:p>
    <w:p>
      <w:pPr>
        <w:jc w:val="both"/>
        <w:ind w:left="40" w:right="319" w:firstLine="305"/>
        <w:spacing w:after="0" w:line="262" w:lineRule="auto"/>
        <w:rPr>
          <w:sz w:val="20"/>
          <w:szCs w:val="20"/>
          <w:color w:val="auto"/>
        </w:rPr>
      </w:pPr>
      <w:r>
        <w:rPr>
          <w:rFonts w:ascii="Times New Roman" w:cs="Times New Roman" w:eastAsia="Times New Roman" w:hAnsi="Times New Roman"/>
          <w:sz w:val="17"/>
          <w:szCs w:val="17"/>
          <w:color w:val="auto"/>
        </w:rPr>
        <w:t>In Q2 2021 and Q2 2024, we filed a new registration statement on Form F-3 and entered into a new Sales Agreement in Q2 2021 and Q3 2024 to replace and extend the ATM program.</w:t>
      </w:r>
    </w:p>
    <w:p>
      <w:pPr>
        <w:spacing w:after="0" w:line="170" w:lineRule="exact"/>
        <w:rPr>
          <w:sz w:val="20"/>
          <w:szCs w:val="20"/>
          <w:color w:val="auto"/>
        </w:rPr>
      </w:pPr>
    </w:p>
    <w:p>
      <w:pPr>
        <w:jc w:val="both"/>
        <w:ind w:left="40" w:right="319" w:firstLine="305"/>
        <w:spacing w:after="0" w:line="263" w:lineRule="auto"/>
        <w:rPr>
          <w:sz w:val="20"/>
          <w:szCs w:val="20"/>
          <w:color w:val="auto"/>
        </w:rPr>
      </w:pPr>
      <w:r>
        <w:rPr>
          <w:rFonts w:ascii="Times New Roman" w:cs="Times New Roman" w:eastAsia="Times New Roman" w:hAnsi="Times New Roman"/>
          <w:sz w:val="17"/>
          <w:szCs w:val="17"/>
          <w:color w:val="auto"/>
        </w:rPr>
        <w:t>To date, the Company has sold 2,179,434 common shares previously held as treasury shares pursuant to the previous Sales Agreement, raising USD 16.4 (CHF 14.9) million, net of underwriting fees and transaction costs. The Company did not sell any common shares held as treasury shares pursuant to the new Sales Agreement.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Comparison of the years ended December 31, 2024 and 2023</w:t>
      </w:r>
    </w:p>
    <w:p>
      <w:pPr>
        <w:spacing w:after="0" w:line="215" w:lineRule="exact"/>
        <w:rPr>
          <w:sz w:val="20"/>
          <w:szCs w:val="20"/>
          <w:color w:val="auto"/>
        </w:rPr>
      </w:pPr>
    </w:p>
    <w:p>
      <w:pPr>
        <w:ind w:left="40" w:right="279" w:firstLine="305"/>
        <w:spacing w:after="0" w:line="252" w:lineRule="auto"/>
        <w:rPr>
          <w:sz w:val="20"/>
          <w:szCs w:val="20"/>
          <w:color w:val="auto"/>
        </w:rPr>
      </w:pPr>
      <w:r>
        <w:rPr>
          <w:rFonts w:ascii="Times New Roman" w:cs="Times New Roman" w:eastAsia="Times New Roman" w:hAnsi="Times New Roman"/>
          <w:sz w:val="17"/>
          <w:szCs w:val="17"/>
          <w:color w:val="auto"/>
        </w:rPr>
        <w:t>For a discussion of the financial results and condition for the fiscal year ended December 31, 2023, please refer to “Item 5. Operating and financial review and prospects—A. Operating results—Comparison of the years ended December 31, 2024 and 2023” and “Item 5. Operating and financial review and prospects—B. Liquidity and capital resources—Comparison of the years ended December 31, 2024 and 2023” of our Annual Report on Form 20-F for the year ended December 31, 2024 filed on March 13, 2025.</w:t>
      </w:r>
    </w:p>
    <w:p>
      <w:pPr>
        <w:spacing w:after="0" w:line="175"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C.</w:t>
      </w:r>
      <w:r>
        <w:rPr>
          <w:sz w:val="20"/>
          <w:szCs w:val="20"/>
          <w:color w:val="auto"/>
        </w:rPr>
        <w:tab/>
      </w:r>
      <w:r>
        <w:rPr>
          <w:rFonts w:ascii="Times New Roman" w:cs="Times New Roman" w:eastAsia="Times New Roman" w:hAnsi="Times New Roman"/>
          <w:sz w:val="16"/>
          <w:szCs w:val="16"/>
          <w:b w:val="1"/>
          <w:bCs w:val="1"/>
          <w:color w:val="auto"/>
        </w:rPr>
        <w:t>Research and development, patents and licenses, etc.</w:t>
      </w:r>
    </w:p>
    <w:p>
      <w:pPr>
        <w:spacing w:after="0" w:line="215" w:lineRule="exact"/>
        <w:rPr>
          <w:sz w:val="20"/>
          <w:szCs w:val="20"/>
          <w:color w:val="auto"/>
        </w:rPr>
      </w:pPr>
    </w:p>
    <w:p>
      <w:pPr>
        <w:ind w:left="40" w:right="119" w:firstLine="305"/>
        <w:spacing w:after="0" w:line="277" w:lineRule="auto"/>
        <w:rPr>
          <w:sz w:val="20"/>
          <w:szCs w:val="20"/>
          <w:color w:val="auto"/>
        </w:rPr>
      </w:pPr>
      <w:r>
        <w:rPr>
          <w:rFonts w:ascii="Times New Roman" w:cs="Times New Roman" w:eastAsia="Times New Roman" w:hAnsi="Times New Roman"/>
          <w:sz w:val="17"/>
          <w:szCs w:val="17"/>
          <w:color w:val="auto"/>
        </w:rPr>
        <w:t>See “Item 4. Information on the Company—B. Business overview” and “Item 5. Operating and financial review and prospects —A. Operating results—results of operations.”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32" w:name="page133"/>
    <w:bookmarkEnd w:id="13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hanging="295"/>
        <w:spacing w:after="0"/>
        <w:tabs>
          <w:tab w:leader="none" w:pos="340" w:val="left"/>
        </w:tabs>
        <w:numPr>
          <w:ilvl w:val="0"/>
          <w:numId w:val="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Trend information</w:t>
      </w:r>
    </w:p>
    <w:p>
      <w:pPr>
        <w:spacing w:after="0" w:line="214"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See “Item 5. Operating and financial review and prospects.”</w:t>
      </w:r>
    </w:p>
    <w:p>
      <w:pPr>
        <w:spacing w:after="0" w:line="206" w:lineRule="exact"/>
        <w:rPr>
          <w:rFonts w:ascii="Times New Roman" w:cs="Times New Roman" w:eastAsia="Times New Roman" w:hAnsi="Times New Roman"/>
          <w:sz w:val="17"/>
          <w:szCs w:val="17"/>
          <w:b w:val="1"/>
          <w:bCs w:val="1"/>
          <w:color w:val="auto"/>
        </w:rPr>
      </w:pPr>
    </w:p>
    <w:p>
      <w:pPr>
        <w:ind w:left="340" w:hanging="295"/>
        <w:spacing w:after="0"/>
        <w:tabs>
          <w:tab w:leader="none" w:pos="340" w:val="left"/>
        </w:tabs>
        <w:numPr>
          <w:ilvl w:val="0"/>
          <w:numId w:val="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Critical Accounting Estimates</w:t>
      </w:r>
    </w:p>
    <w:p>
      <w:pPr>
        <w:spacing w:after="0" w:line="215" w:lineRule="exact"/>
        <w:rPr>
          <w:sz w:val="20"/>
          <w:szCs w:val="20"/>
          <w:color w:val="auto"/>
        </w:rPr>
      </w:pPr>
    </w:p>
    <w:p>
      <w:pPr>
        <w:ind w:left="40" w:right="219" w:firstLine="305"/>
        <w:spacing w:after="0" w:line="263" w:lineRule="auto"/>
        <w:rPr>
          <w:sz w:val="20"/>
          <w:szCs w:val="20"/>
          <w:color w:val="auto"/>
        </w:rPr>
      </w:pPr>
      <w:r>
        <w:rPr>
          <w:rFonts w:ascii="Times New Roman" w:cs="Times New Roman" w:eastAsia="Times New Roman" w:hAnsi="Times New Roman"/>
          <w:sz w:val="17"/>
          <w:szCs w:val="17"/>
          <w:color w:val="auto"/>
        </w:rPr>
        <w:t>We prepare our consolidated financial statements in accordance with IFRS Accounting Standards as issued by the IASB. See “Note 3. Summary of material accounting policies” to our consolidated financial statements for a description of the most significant accounting policies applied in the preparation of our consolidated financial statements.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6. DIRECTORS, SENIOR MANAGEMENT AND EMPLOYEES</w:t>
      </w:r>
    </w:p>
    <w:p>
      <w:pPr>
        <w:spacing w:after="0" w:line="198"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A.</w:t>
      </w:r>
      <w:r>
        <w:rPr>
          <w:sz w:val="20"/>
          <w:szCs w:val="20"/>
          <w:color w:val="auto"/>
        </w:rPr>
        <w:tab/>
      </w:r>
      <w:r>
        <w:rPr>
          <w:rFonts w:ascii="Times New Roman" w:cs="Times New Roman" w:eastAsia="Times New Roman" w:hAnsi="Times New Roman"/>
          <w:sz w:val="16"/>
          <w:szCs w:val="16"/>
          <w:b w:val="1"/>
          <w:bCs w:val="1"/>
          <w:color w:val="auto"/>
        </w:rPr>
        <w:t>Directors and senior management</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Executive Officers, other key employees and board of directors</w:t>
      </w:r>
    </w:p>
    <w:p>
      <w:pPr>
        <w:spacing w:after="0" w:line="215" w:lineRule="exact"/>
        <w:rPr>
          <w:sz w:val="20"/>
          <w:szCs w:val="20"/>
          <w:color w:val="auto"/>
        </w:rPr>
      </w:pPr>
    </w:p>
    <w:p>
      <w:pPr>
        <w:ind w:left="40" w:right="119" w:firstLine="305"/>
        <w:spacing w:after="0" w:line="263" w:lineRule="auto"/>
        <w:rPr>
          <w:sz w:val="20"/>
          <w:szCs w:val="20"/>
          <w:color w:val="auto"/>
        </w:rPr>
      </w:pPr>
      <w:r>
        <w:rPr>
          <w:rFonts w:ascii="Times New Roman" w:cs="Times New Roman" w:eastAsia="Times New Roman" w:hAnsi="Times New Roman"/>
          <w:sz w:val="17"/>
          <w:szCs w:val="17"/>
          <w:color w:val="auto"/>
        </w:rPr>
        <w:t>The following table presents information about our executive officers, other key employees, and directors and director nominees, including their ages, as of March 1, 2026. The term of each of our directors is 1 year and, accordingly, will expire at our 2026 annual shareholder meeting to be held in June 2026.</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3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​​​Initial year of</w:t>
            </w:r>
          </w:p>
        </w:tc>
        <w:tc>
          <w:tcPr>
            <w:tcW w:w="0" w:type="dxa"/>
            <w:vAlign w:val="bottom"/>
          </w:tcPr>
          <w:p>
            <w:pPr>
              <w:spacing w:after="0"/>
              <w:rPr>
                <w:sz w:val="1"/>
                <w:szCs w:val="1"/>
                <w:color w:val="auto"/>
              </w:rPr>
            </w:pPr>
          </w:p>
        </w:tc>
      </w:tr>
      <w:tr>
        <w:trPr>
          <w:trHeight w:val="223"/>
        </w:trPr>
        <w:tc>
          <w:tcPr>
            <w:tcW w:w="2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80" w:type="dxa"/>
            <w:vAlign w:val="bottom"/>
          </w:tcPr>
          <w:p>
            <w:pPr>
              <w:spacing w:after="0"/>
              <w:rPr>
                <w:sz w:val="19"/>
                <w:szCs w:val="19"/>
                <w:color w:val="auto"/>
              </w:rPr>
            </w:pPr>
          </w:p>
        </w:tc>
        <w:tc>
          <w:tcPr>
            <w:tcW w:w="4140" w:type="dxa"/>
            <w:vAlign w:val="bottom"/>
          </w:tcPr>
          <w:p>
            <w:pPr>
              <w:ind w:left="1780"/>
              <w:spacing w:after="0"/>
              <w:rPr>
                <w:sz w:val="20"/>
                <w:szCs w:val="20"/>
                <w:color w:val="auto"/>
              </w:rPr>
            </w:pPr>
            <w:r>
              <w:rPr>
                <w:rFonts w:ascii="Times New Roman" w:cs="Times New Roman" w:eastAsia="Times New Roman" w:hAnsi="Times New Roman"/>
                <w:sz w:val="17"/>
                <w:szCs w:val="17"/>
                <w:b w:val="1"/>
                <w:bCs w:val="1"/>
                <w:color w:val="auto"/>
              </w:rPr>
              <w:t>Position</w:t>
            </w:r>
          </w:p>
        </w:tc>
        <w:tc>
          <w:tcPr>
            <w:tcW w:w="180" w:type="dxa"/>
            <w:vAlign w:val="bottom"/>
          </w:tcPr>
          <w:p>
            <w:pPr>
              <w:spacing w:after="0"/>
              <w:rPr>
                <w:sz w:val="19"/>
                <w:szCs w:val="19"/>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appointment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Executive Officers</w:t>
            </w:r>
          </w:p>
        </w:tc>
        <w:tc>
          <w:tcPr>
            <w:tcW w:w="180" w:type="dxa"/>
            <w:vAlign w:val="bottom"/>
          </w:tcPr>
          <w:p>
            <w:pPr>
              <w:spacing w:after="0"/>
              <w:rPr>
                <w:sz w:val="18"/>
                <w:szCs w:val="18"/>
                <w:color w:val="auto"/>
              </w:rPr>
            </w:pPr>
          </w:p>
        </w:tc>
        <w:tc>
          <w:tcPr>
            <w:tcW w:w="4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Andrea Pfeifer, Ph.D.</w:t>
            </w:r>
          </w:p>
        </w:tc>
        <w:tc>
          <w:tcPr>
            <w:tcW w:w="4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Chief Executive Officer and Director</w:t>
            </w:r>
          </w:p>
        </w:tc>
        <w:tc>
          <w:tcPr>
            <w:tcW w:w="480" w:type="dxa"/>
            <w:vAlign w:val="bottom"/>
            <w:gridSpan w:val="2"/>
            <w:shd w:val="clear" w:color="auto" w:fill="CCEEFF"/>
          </w:tcPr>
          <w:p>
            <w:pPr>
              <w:jc w:val="center"/>
              <w:ind w:left="95"/>
              <w:spacing w:after="0"/>
              <w:rPr>
                <w:sz w:val="20"/>
                <w:szCs w:val="20"/>
                <w:color w:val="auto"/>
              </w:rPr>
            </w:pPr>
            <w:r>
              <w:rPr>
                <w:rFonts w:ascii="Times New Roman" w:cs="Times New Roman" w:eastAsia="Times New Roman" w:hAnsi="Times New Roman"/>
                <w:sz w:val="17"/>
                <w:szCs w:val="17"/>
                <w:color w:val="auto"/>
              </w:rPr>
              <w:t>68</w:t>
            </w:r>
          </w:p>
        </w:tc>
        <w:tc>
          <w:tcPr>
            <w:tcW w:w="1300" w:type="dxa"/>
            <w:vAlign w:val="bottom"/>
            <w:gridSpan w:val="2"/>
            <w:shd w:val="clear" w:color="auto" w:fill="CCEEFF"/>
          </w:tcPr>
          <w:p>
            <w:pPr>
              <w:jc w:val="center"/>
              <w:ind w:left="75"/>
              <w:spacing w:after="0"/>
              <w:rPr>
                <w:sz w:val="20"/>
                <w:szCs w:val="20"/>
                <w:color w:val="auto"/>
              </w:rPr>
            </w:pPr>
            <w:r>
              <w:rPr>
                <w:rFonts w:ascii="Times New Roman" w:cs="Times New Roman" w:eastAsia="Times New Roman" w:hAnsi="Times New Roman"/>
                <w:sz w:val="17"/>
                <w:szCs w:val="17"/>
                <w:color w:val="auto"/>
                <w:w w:val="99"/>
              </w:rPr>
              <w:t>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Christopher Roberts</w:t>
            </w:r>
          </w:p>
        </w:tc>
        <w:tc>
          <w:tcPr>
            <w:tcW w:w="43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Chief Financial Officer</w:t>
            </w:r>
          </w:p>
        </w:tc>
        <w:tc>
          <w:tcPr>
            <w:tcW w:w="480" w:type="dxa"/>
            <w:vAlign w:val="bottom"/>
            <w:gridSpan w:val="2"/>
          </w:tcPr>
          <w:p>
            <w:pPr>
              <w:jc w:val="center"/>
              <w:ind w:left="95"/>
              <w:spacing w:after="0"/>
              <w:rPr>
                <w:sz w:val="20"/>
                <w:szCs w:val="20"/>
                <w:color w:val="auto"/>
              </w:rPr>
            </w:pPr>
            <w:r>
              <w:rPr>
                <w:rFonts w:ascii="Times New Roman" w:cs="Times New Roman" w:eastAsia="Times New Roman" w:hAnsi="Times New Roman"/>
                <w:sz w:val="17"/>
                <w:szCs w:val="17"/>
                <w:color w:val="auto"/>
              </w:rPr>
              <w:t>37</w:t>
            </w:r>
          </w:p>
        </w:tc>
        <w:tc>
          <w:tcPr>
            <w:tcW w:w="1300" w:type="dxa"/>
            <w:vAlign w:val="bottom"/>
            <w:gridSpan w:val="2"/>
          </w:tcPr>
          <w:p>
            <w:pPr>
              <w:jc w:val="center"/>
              <w:ind w:left="75"/>
              <w:spacing w:after="0"/>
              <w:rPr>
                <w:sz w:val="20"/>
                <w:szCs w:val="20"/>
                <w:color w:val="auto"/>
              </w:rPr>
            </w:pPr>
            <w:r>
              <w:rPr>
                <w:rFonts w:ascii="Times New Roman" w:cs="Times New Roman" w:eastAsia="Times New Roman" w:hAnsi="Times New Roman"/>
                <w:sz w:val="17"/>
                <w:szCs w:val="17"/>
                <w:color w:val="auto"/>
                <w:w w:val="99"/>
              </w:rPr>
              <w:t>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Piergiorgio Donati</w:t>
            </w:r>
          </w:p>
        </w:tc>
        <w:tc>
          <w:tcPr>
            <w:tcW w:w="4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Chief Technical Operations Officer</w:t>
            </w:r>
          </w:p>
        </w:tc>
        <w:tc>
          <w:tcPr>
            <w:tcW w:w="480" w:type="dxa"/>
            <w:vAlign w:val="bottom"/>
            <w:gridSpan w:val="2"/>
            <w:shd w:val="clear" w:color="auto" w:fill="CCEEFF"/>
          </w:tcPr>
          <w:p>
            <w:pPr>
              <w:jc w:val="center"/>
              <w:ind w:left="95"/>
              <w:spacing w:after="0"/>
              <w:rPr>
                <w:sz w:val="20"/>
                <w:szCs w:val="20"/>
                <w:color w:val="auto"/>
              </w:rPr>
            </w:pPr>
            <w:r>
              <w:rPr>
                <w:rFonts w:ascii="Times New Roman" w:cs="Times New Roman" w:eastAsia="Times New Roman" w:hAnsi="Times New Roman"/>
                <w:sz w:val="17"/>
                <w:szCs w:val="17"/>
                <w:color w:val="auto"/>
              </w:rPr>
              <w:t>55</w:t>
            </w:r>
          </w:p>
        </w:tc>
        <w:tc>
          <w:tcPr>
            <w:tcW w:w="1300" w:type="dxa"/>
            <w:vAlign w:val="bottom"/>
            <w:gridSpan w:val="2"/>
            <w:shd w:val="clear" w:color="auto" w:fill="CCEEFF"/>
          </w:tcPr>
          <w:p>
            <w:pPr>
              <w:jc w:val="center"/>
              <w:ind w:left="75"/>
              <w:spacing w:after="0"/>
              <w:rPr>
                <w:sz w:val="20"/>
                <w:szCs w:val="20"/>
                <w:color w:val="auto"/>
              </w:rPr>
            </w:pPr>
            <w:r>
              <w:rPr>
                <w:rFonts w:ascii="Times New Roman" w:cs="Times New Roman" w:eastAsia="Times New Roman" w:hAnsi="Times New Roman"/>
                <w:sz w:val="17"/>
                <w:szCs w:val="17"/>
                <w:color w:val="auto"/>
                <w:w w:val="99"/>
              </w:rPr>
              <w:t>2018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 Key Employees</w:t>
            </w:r>
          </w:p>
        </w:tc>
        <w:tc>
          <w:tcPr>
            <w:tcW w:w="18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Mark Danton</w:t>
            </w:r>
          </w:p>
        </w:tc>
        <w:tc>
          <w:tcPr>
            <w:tcW w:w="43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EVP Artificial Intelligence and Information Systems</w:t>
            </w:r>
          </w:p>
        </w:tc>
        <w:tc>
          <w:tcPr>
            <w:tcW w:w="480" w:type="dxa"/>
            <w:vAlign w:val="bottom"/>
            <w:gridSpan w:val="2"/>
          </w:tcPr>
          <w:p>
            <w:pPr>
              <w:jc w:val="center"/>
              <w:ind w:left="95"/>
              <w:spacing w:after="0"/>
              <w:rPr>
                <w:sz w:val="20"/>
                <w:szCs w:val="20"/>
                <w:color w:val="auto"/>
              </w:rPr>
            </w:pPr>
            <w:r>
              <w:rPr>
                <w:rFonts w:ascii="Times New Roman" w:cs="Times New Roman" w:eastAsia="Times New Roman" w:hAnsi="Times New Roman"/>
                <w:sz w:val="17"/>
                <w:szCs w:val="17"/>
                <w:color w:val="auto"/>
              </w:rPr>
              <w:t>62</w:t>
            </w:r>
          </w:p>
        </w:tc>
        <w:tc>
          <w:tcPr>
            <w:tcW w:w="1300" w:type="dxa"/>
            <w:vAlign w:val="bottom"/>
            <w:gridSpan w:val="2"/>
          </w:tcPr>
          <w:p>
            <w:pPr>
              <w:jc w:val="center"/>
              <w:ind w:left="75"/>
              <w:spacing w:after="0"/>
              <w:rPr>
                <w:sz w:val="20"/>
                <w:szCs w:val="20"/>
                <w:color w:val="auto"/>
              </w:rPr>
            </w:pPr>
            <w:r>
              <w:rPr>
                <w:rFonts w:ascii="Times New Roman" w:cs="Times New Roman" w:eastAsia="Times New Roman" w:hAnsi="Times New Roman"/>
                <w:sz w:val="17"/>
                <w:szCs w:val="17"/>
                <w:color w:val="auto"/>
                <w:w w:val="99"/>
              </w:rPr>
              <w:t>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Günther Staffler, Ph.D.</w:t>
            </w:r>
          </w:p>
        </w:tc>
        <w:tc>
          <w:tcPr>
            <w:tcW w:w="180" w:type="dxa"/>
            <w:vAlign w:val="bottom"/>
            <w:shd w:val="clear" w:color="auto" w:fill="CCEEFF"/>
          </w:tcPr>
          <w:p>
            <w:pPr>
              <w:spacing w:after="0"/>
              <w:rPr>
                <w:sz w:val="18"/>
                <w:szCs w:val="18"/>
                <w:color w:val="auto"/>
              </w:rPr>
            </w:pPr>
          </w:p>
        </w:tc>
        <w:tc>
          <w:tcPr>
            <w:tcW w:w="4140" w:type="dxa"/>
            <w:vAlign w:val="bottom"/>
            <w:shd w:val="clear" w:color="auto" w:fill="CCEEFF"/>
          </w:tcPr>
          <w:p>
            <w:pPr>
              <w:ind w:left="40"/>
              <w:spacing w:after="0" w:line="216" w:lineRule="exact"/>
              <w:rPr>
                <w:sz w:val="20"/>
                <w:szCs w:val="20"/>
                <w:color w:val="auto"/>
              </w:rPr>
            </w:pPr>
            <w:r>
              <w:rPr>
                <w:rFonts w:ascii="Times New Roman" w:cs="Times New Roman" w:eastAsia="Times New Roman" w:hAnsi="Times New Roman"/>
                <w:sz w:val="17"/>
                <w:szCs w:val="17"/>
                <w:color w:val="auto"/>
              </w:rPr>
              <w:t>EVP Development</w:t>
            </w:r>
            <w:r>
              <w:rPr>
                <w:rFonts w:ascii="Times New Roman" w:cs="Times New Roman" w:eastAsia="Times New Roman" w:hAnsi="Times New Roman"/>
                <w:sz w:val="25"/>
                <w:szCs w:val="25"/>
                <w:color w:val="auto"/>
                <w:vertAlign w:val="superscript"/>
              </w:rPr>
              <w:t>1</w:t>
            </w:r>
          </w:p>
        </w:tc>
        <w:tc>
          <w:tcPr>
            <w:tcW w:w="480" w:type="dxa"/>
            <w:vAlign w:val="bottom"/>
            <w:gridSpan w:val="2"/>
            <w:shd w:val="clear" w:color="auto" w:fill="CCEEFF"/>
          </w:tcPr>
          <w:p>
            <w:pPr>
              <w:jc w:val="center"/>
              <w:ind w:left="95"/>
              <w:spacing w:after="0"/>
              <w:rPr>
                <w:sz w:val="20"/>
                <w:szCs w:val="20"/>
                <w:color w:val="auto"/>
              </w:rPr>
            </w:pPr>
            <w:r>
              <w:rPr>
                <w:rFonts w:ascii="Times New Roman" w:cs="Times New Roman" w:eastAsia="Times New Roman" w:hAnsi="Times New Roman"/>
                <w:sz w:val="17"/>
                <w:szCs w:val="17"/>
                <w:color w:val="auto"/>
              </w:rPr>
              <w:t>57</w:t>
            </w:r>
          </w:p>
        </w:tc>
        <w:tc>
          <w:tcPr>
            <w:tcW w:w="1300" w:type="dxa"/>
            <w:vAlign w:val="bottom"/>
            <w:gridSpan w:val="2"/>
            <w:shd w:val="clear" w:color="auto" w:fill="CCEEFF"/>
          </w:tcPr>
          <w:p>
            <w:pPr>
              <w:jc w:val="center"/>
              <w:ind w:left="75"/>
              <w:spacing w:after="0"/>
              <w:rPr>
                <w:sz w:val="20"/>
                <w:szCs w:val="20"/>
                <w:color w:val="auto"/>
              </w:rPr>
            </w:pPr>
            <w:r>
              <w:rPr>
                <w:rFonts w:ascii="Times New Roman" w:cs="Times New Roman" w:eastAsia="Times New Roman" w:hAnsi="Times New Roman"/>
                <w:sz w:val="17"/>
                <w:szCs w:val="17"/>
                <w:color w:val="auto"/>
                <w:w w:val="99"/>
              </w:rPr>
              <w:t>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Julien Rongère, Ph.D.</w:t>
            </w:r>
          </w:p>
        </w:tc>
        <w:tc>
          <w:tcPr>
            <w:tcW w:w="43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SVP Regulatory Affairs and Quality Assurance</w:t>
            </w:r>
          </w:p>
        </w:tc>
        <w:tc>
          <w:tcPr>
            <w:tcW w:w="480" w:type="dxa"/>
            <w:vAlign w:val="bottom"/>
            <w:gridSpan w:val="2"/>
          </w:tcPr>
          <w:p>
            <w:pPr>
              <w:jc w:val="center"/>
              <w:ind w:left="95"/>
              <w:spacing w:after="0"/>
              <w:rPr>
                <w:sz w:val="20"/>
                <w:szCs w:val="20"/>
                <w:color w:val="auto"/>
              </w:rPr>
            </w:pPr>
            <w:r>
              <w:rPr>
                <w:rFonts w:ascii="Times New Roman" w:cs="Times New Roman" w:eastAsia="Times New Roman" w:hAnsi="Times New Roman"/>
                <w:sz w:val="17"/>
                <w:szCs w:val="17"/>
                <w:color w:val="auto"/>
              </w:rPr>
              <w:t>48</w:t>
            </w:r>
          </w:p>
        </w:tc>
        <w:tc>
          <w:tcPr>
            <w:tcW w:w="1300" w:type="dxa"/>
            <w:vAlign w:val="bottom"/>
            <w:gridSpan w:val="2"/>
          </w:tcPr>
          <w:p>
            <w:pPr>
              <w:jc w:val="center"/>
              <w:ind w:left="75"/>
              <w:spacing w:after="0"/>
              <w:rPr>
                <w:sz w:val="20"/>
                <w:szCs w:val="20"/>
                <w:color w:val="auto"/>
              </w:rPr>
            </w:pPr>
            <w:r>
              <w:rPr>
                <w:rFonts w:ascii="Times New Roman" w:cs="Times New Roman" w:eastAsia="Times New Roman" w:hAnsi="Times New Roman"/>
                <w:sz w:val="17"/>
                <w:szCs w:val="17"/>
                <w:color w:val="auto"/>
                <w:w w:val="99"/>
              </w:rPr>
              <w:t>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Gary Waanders, Ph.D.</w:t>
            </w:r>
          </w:p>
        </w:tc>
        <w:tc>
          <w:tcPr>
            <w:tcW w:w="4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SVP Investor Relations and Corporate Communications</w:t>
            </w:r>
          </w:p>
        </w:tc>
        <w:tc>
          <w:tcPr>
            <w:tcW w:w="480" w:type="dxa"/>
            <w:vAlign w:val="bottom"/>
            <w:gridSpan w:val="2"/>
            <w:shd w:val="clear" w:color="auto" w:fill="CCEEFF"/>
          </w:tcPr>
          <w:p>
            <w:pPr>
              <w:jc w:val="center"/>
              <w:ind w:left="95"/>
              <w:spacing w:after="0"/>
              <w:rPr>
                <w:sz w:val="20"/>
                <w:szCs w:val="20"/>
                <w:color w:val="auto"/>
              </w:rPr>
            </w:pPr>
            <w:r>
              <w:rPr>
                <w:rFonts w:ascii="Times New Roman" w:cs="Times New Roman" w:eastAsia="Times New Roman" w:hAnsi="Times New Roman"/>
                <w:sz w:val="17"/>
                <w:szCs w:val="17"/>
                <w:color w:val="auto"/>
              </w:rPr>
              <w:t>62</w:t>
            </w:r>
          </w:p>
        </w:tc>
        <w:tc>
          <w:tcPr>
            <w:tcW w:w="1300" w:type="dxa"/>
            <w:vAlign w:val="bottom"/>
            <w:gridSpan w:val="2"/>
            <w:shd w:val="clear" w:color="auto" w:fill="CCEEFF"/>
          </w:tcPr>
          <w:p>
            <w:pPr>
              <w:jc w:val="center"/>
              <w:ind w:left="75"/>
              <w:spacing w:after="0"/>
              <w:rPr>
                <w:sz w:val="20"/>
                <w:szCs w:val="20"/>
                <w:color w:val="auto"/>
              </w:rPr>
            </w:pPr>
            <w:r>
              <w:rPr>
                <w:rFonts w:ascii="Times New Roman" w:cs="Times New Roman" w:eastAsia="Times New Roman" w:hAnsi="Times New Roman"/>
                <w:sz w:val="17"/>
                <w:szCs w:val="17"/>
                <w:color w:val="auto"/>
                <w:w w:val="99"/>
              </w:rPr>
              <w:t>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Matthias Maurer, Ph.D.</w:t>
            </w:r>
          </w:p>
        </w:tc>
        <w:tc>
          <w:tcPr>
            <w:tcW w:w="43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SVP General Counsel</w:t>
            </w:r>
          </w:p>
        </w:tc>
        <w:tc>
          <w:tcPr>
            <w:tcW w:w="480" w:type="dxa"/>
            <w:vAlign w:val="bottom"/>
            <w:gridSpan w:val="2"/>
          </w:tcPr>
          <w:p>
            <w:pPr>
              <w:jc w:val="center"/>
              <w:ind w:left="95"/>
              <w:spacing w:after="0"/>
              <w:rPr>
                <w:sz w:val="20"/>
                <w:szCs w:val="20"/>
                <w:color w:val="auto"/>
              </w:rPr>
            </w:pPr>
            <w:r>
              <w:rPr>
                <w:rFonts w:ascii="Times New Roman" w:cs="Times New Roman" w:eastAsia="Times New Roman" w:hAnsi="Times New Roman"/>
                <w:sz w:val="17"/>
                <w:szCs w:val="17"/>
                <w:color w:val="auto"/>
              </w:rPr>
              <w:t>44</w:t>
            </w:r>
          </w:p>
        </w:tc>
        <w:tc>
          <w:tcPr>
            <w:tcW w:w="1300" w:type="dxa"/>
            <w:vAlign w:val="bottom"/>
            <w:gridSpan w:val="2"/>
          </w:tcPr>
          <w:p>
            <w:pPr>
              <w:jc w:val="center"/>
              <w:ind w:left="75"/>
              <w:spacing w:after="0"/>
              <w:rPr>
                <w:sz w:val="20"/>
                <w:szCs w:val="20"/>
                <w:color w:val="auto"/>
              </w:rPr>
            </w:pPr>
            <w:r>
              <w:rPr>
                <w:rFonts w:ascii="Times New Roman" w:cs="Times New Roman" w:eastAsia="Times New Roman" w:hAnsi="Times New Roman"/>
                <w:sz w:val="17"/>
                <w:szCs w:val="17"/>
                <w:color w:val="auto"/>
                <w:w w:val="99"/>
              </w:rPr>
              <w:t>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Bojana Portmann, Ph.D.</w:t>
            </w:r>
          </w:p>
        </w:tc>
        <w:tc>
          <w:tcPr>
            <w:tcW w:w="4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VP IP and Business Development</w:t>
            </w:r>
          </w:p>
        </w:tc>
        <w:tc>
          <w:tcPr>
            <w:tcW w:w="480" w:type="dxa"/>
            <w:vAlign w:val="bottom"/>
            <w:gridSpan w:val="2"/>
            <w:shd w:val="clear" w:color="auto" w:fill="CCEEFF"/>
          </w:tcPr>
          <w:p>
            <w:pPr>
              <w:jc w:val="center"/>
              <w:ind w:left="95"/>
              <w:spacing w:after="0"/>
              <w:rPr>
                <w:sz w:val="20"/>
                <w:szCs w:val="20"/>
                <w:color w:val="auto"/>
              </w:rPr>
            </w:pPr>
            <w:r>
              <w:rPr>
                <w:rFonts w:ascii="Times New Roman" w:cs="Times New Roman" w:eastAsia="Times New Roman" w:hAnsi="Times New Roman"/>
                <w:sz w:val="17"/>
                <w:szCs w:val="17"/>
                <w:color w:val="auto"/>
              </w:rPr>
              <w:t>46</w:t>
            </w:r>
          </w:p>
        </w:tc>
        <w:tc>
          <w:tcPr>
            <w:tcW w:w="1300" w:type="dxa"/>
            <w:vAlign w:val="bottom"/>
            <w:gridSpan w:val="2"/>
            <w:shd w:val="clear" w:color="auto" w:fill="CCEEFF"/>
          </w:tcPr>
          <w:p>
            <w:pPr>
              <w:jc w:val="center"/>
              <w:ind w:left="95"/>
              <w:spacing w:after="0"/>
              <w:rPr>
                <w:sz w:val="20"/>
                <w:szCs w:val="20"/>
                <w:color w:val="auto"/>
              </w:rPr>
            </w:pPr>
            <w:r>
              <w:rPr>
                <w:rFonts w:ascii="Times New Roman" w:cs="Times New Roman" w:eastAsia="Times New Roman" w:hAnsi="Times New Roman"/>
                <w:sz w:val="17"/>
                <w:szCs w:val="17"/>
                <w:color w:val="auto"/>
                <w:w w:val="93"/>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Olivier Sol, M.D.</w:t>
            </w:r>
          </w:p>
        </w:tc>
        <w:tc>
          <w:tcPr>
            <w:tcW w:w="43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VP Clinical Safety Officer</w:t>
            </w:r>
          </w:p>
        </w:tc>
        <w:tc>
          <w:tcPr>
            <w:tcW w:w="480" w:type="dxa"/>
            <w:vAlign w:val="bottom"/>
            <w:gridSpan w:val="2"/>
          </w:tcPr>
          <w:p>
            <w:pPr>
              <w:jc w:val="center"/>
              <w:ind w:left="95"/>
              <w:spacing w:after="0"/>
              <w:rPr>
                <w:sz w:val="20"/>
                <w:szCs w:val="20"/>
                <w:color w:val="auto"/>
              </w:rPr>
            </w:pPr>
            <w:r>
              <w:rPr>
                <w:rFonts w:ascii="Times New Roman" w:cs="Times New Roman" w:eastAsia="Times New Roman" w:hAnsi="Times New Roman"/>
                <w:sz w:val="17"/>
                <w:szCs w:val="17"/>
                <w:color w:val="auto"/>
              </w:rPr>
              <w:t>59</w:t>
            </w:r>
          </w:p>
        </w:tc>
        <w:tc>
          <w:tcPr>
            <w:tcW w:w="1300" w:type="dxa"/>
            <w:vAlign w:val="bottom"/>
            <w:gridSpan w:val="2"/>
          </w:tcPr>
          <w:p>
            <w:pPr>
              <w:jc w:val="center"/>
              <w:ind w:left="75"/>
              <w:spacing w:after="0"/>
              <w:rPr>
                <w:sz w:val="20"/>
                <w:szCs w:val="20"/>
                <w:color w:val="auto"/>
              </w:rPr>
            </w:pPr>
            <w:r>
              <w:rPr>
                <w:rFonts w:ascii="Times New Roman" w:cs="Times New Roman" w:eastAsia="Times New Roman" w:hAnsi="Times New Roman"/>
                <w:sz w:val="17"/>
                <w:szCs w:val="17"/>
                <w:color w:val="auto"/>
                <w:w w:val="99"/>
              </w:rPr>
              <w:t>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Francesca Capotosti, Ph.D.</w:t>
            </w:r>
          </w:p>
        </w:tc>
        <w:tc>
          <w:tcPr>
            <w:tcW w:w="4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VP Research</w:t>
            </w:r>
          </w:p>
        </w:tc>
        <w:tc>
          <w:tcPr>
            <w:tcW w:w="480" w:type="dxa"/>
            <w:vAlign w:val="bottom"/>
            <w:gridSpan w:val="2"/>
            <w:shd w:val="clear" w:color="auto" w:fill="CCEEFF"/>
          </w:tcPr>
          <w:p>
            <w:pPr>
              <w:jc w:val="center"/>
              <w:ind w:left="95"/>
              <w:spacing w:after="0"/>
              <w:rPr>
                <w:sz w:val="20"/>
                <w:szCs w:val="20"/>
                <w:color w:val="auto"/>
              </w:rPr>
            </w:pPr>
            <w:r>
              <w:rPr>
                <w:rFonts w:ascii="Times New Roman" w:cs="Times New Roman" w:eastAsia="Times New Roman" w:hAnsi="Times New Roman"/>
                <w:sz w:val="17"/>
                <w:szCs w:val="17"/>
                <w:color w:val="auto"/>
              </w:rPr>
              <w:t>45</w:t>
            </w:r>
          </w:p>
        </w:tc>
        <w:tc>
          <w:tcPr>
            <w:tcW w:w="1300" w:type="dxa"/>
            <w:vAlign w:val="bottom"/>
            <w:gridSpan w:val="2"/>
            <w:shd w:val="clear" w:color="auto" w:fill="CCEEFF"/>
          </w:tcPr>
          <w:p>
            <w:pPr>
              <w:jc w:val="center"/>
              <w:ind w:left="75"/>
              <w:spacing w:after="0"/>
              <w:rPr>
                <w:sz w:val="20"/>
                <w:szCs w:val="20"/>
                <w:color w:val="auto"/>
              </w:rPr>
            </w:pPr>
            <w:r>
              <w:rPr>
                <w:rFonts w:ascii="Times New Roman" w:cs="Times New Roman" w:eastAsia="Times New Roman" w:hAnsi="Times New Roman"/>
                <w:sz w:val="17"/>
                <w:szCs w:val="17"/>
                <w:color w:val="auto"/>
                <w:w w:val="99"/>
              </w:rPr>
              <w:t>2013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Non-Executive Directors</w:t>
            </w:r>
          </w:p>
        </w:tc>
        <w:tc>
          <w:tcPr>
            <w:tcW w:w="18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Martin Zuegel, M.D.</w:t>
            </w:r>
          </w:p>
        </w:tc>
        <w:tc>
          <w:tcPr>
            <w:tcW w:w="43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Chair and Director</w:t>
            </w:r>
          </w:p>
        </w:tc>
        <w:tc>
          <w:tcPr>
            <w:tcW w:w="480" w:type="dxa"/>
            <w:vAlign w:val="bottom"/>
            <w:gridSpan w:val="2"/>
          </w:tcPr>
          <w:p>
            <w:pPr>
              <w:jc w:val="center"/>
              <w:ind w:left="95"/>
              <w:spacing w:after="0"/>
              <w:rPr>
                <w:sz w:val="20"/>
                <w:szCs w:val="20"/>
                <w:color w:val="auto"/>
              </w:rPr>
            </w:pPr>
            <w:r>
              <w:rPr>
                <w:rFonts w:ascii="Times New Roman" w:cs="Times New Roman" w:eastAsia="Times New Roman" w:hAnsi="Times New Roman"/>
                <w:sz w:val="17"/>
                <w:szCs w:val="17"/>
                <w:color w:val="auto"/>
              </w:rPr>
              <w:t>63</w:t>
            </w:r>
          </w:p>
        </w:tc>
        <w:tc>
          <w:tcPr>
            <w:tcW w:w="1300" w:type="dxa"/>
            <w:vAlign w:val="bottom"/>
            <w:gridSpan w:val="2"/>
          </w:tcPr>
          <w:p>
            <w:pPr>
              <w:jc w:val="center"/>
              <w:ind w:left="75"/>
              <w:spacing w:after="0"/>
              <w:rPr>
                <w:sz w:val="20"/>
                <w:szCs w:val="20"/>
                <w:color w:val="auto"/>
              </w:rPr>
            </w:pPr>
            <w:r>
              <w:rPr>
                <w:rFonts w:ascii="Times New Roman" w:cs="Times New Roman" w:eastAsia="Times New Roman" w:hAnsi="Times New Roman"/>
                <w:sz w:val="17"/>
                <w:szCs w:val="17"/>
                <w:color w:val="auto"/>
                <w:w w:val="99"/>
              </w:rPr>
              <w:t>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Monika Bütler, Ph.D.</w:t>
            </w:r>
          </w:p>
        </w:tc>
        <w:tc>
          <w:tcPr>
            <w:tcW w:w="4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Vice Chair and Director</w:t>
            </w:r>
          </w:p>
        </w:tc>
        <w:tc>
          <w:tcPr>
            <w:tcW w:w="480" w:type="dxa"/>
            <w:vAlign w:val="bottom"/>
            <w:gridSpan w:val="2"/>
            <w:shd w:val="clear" w:color="auto" w:fill="CCEEFF"/>
          </w:tcPr>
          <w:p>
            <w:pPr>
              <w:jc w:val="center"/>
              <w:ind w:left="95"/>
              <w:spacing w:after="0"/>
              <w:rPr>
                <w:sz w:val="20"/>
                <w:szCs w:val="20"/>
                <w:color w:val="auto"/>
              </w:rPr>
            </w:pPr>
            <w:r>
              <w:rPr>
                <w:rFonts w:ascii="Times New Roman" w:cs="Times New Roman" w:eastAsia="Times New Roman" w:hAnsi="Times New Roman"/>
                <w:sz w:val="17"/>
                <w:szCs w:val="17"/>
                <w:color w:val="auto"/>
              </w:rPr>
              <w:t>64</w:t>
            </w:r>
          </w:p>
        </w:tc>
        <w:tc>
          <w:tcPr>
            <w:tcW w:w="1300" w:type="dxa"/>
            <w:vAlign w:val="bottom"/>
            <w:gridSpan w:val="2"/>
            <w:shd w:val="clear" w:color="auto" w:fill="CCEEFF"/>
          </w:tcPr>
          <w:p>
            <w:pPr>
              <w:jc w:val="center"/>
              <w:ind w:left="75"/>
              <w:spacing w:after="0"/>
              <w:rPr>
                <w:sz w:val="20"/>
                <w:szCs w:val="20"/>
                <w:color w:val="auto"/>
              </w:rPr>
            </w:pPr>
            <w:r>
              <w:rPr>
                <w:rFonts w:ascii="Times New Roman" w:cs="Times New Roman" w:eastAsia="Times New Roman" w:hAnsi="Times New Roman"/>
                <w:sz w:val="17"/>
                <w:szCs w:val="17"/>
                <w:color w:val="auto"/>
                <w:w w:val="99"/>
              </w:rPr>
              <w:t>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Roy Twyman, M.D.</w:t>
            </w:r>
          </w:p>
        </w:tc>
        <w:tc>
          <w:tcPr>
            <w:tcW w:w="43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480" w:type="dxa"/>
            <w:vAlign w:val="bottom"/>
            <w:gridSpan w:val="2"/>
          </w:tcPr>
          <w:p>
            <w:pPr>
              <w:jc w:val="center"/>
              <w:ind w:left="95"/>
              <w:spacing w:after="0"/>
              <w:rPr>
                <w:sz w:val="20"/>
                <w:szCs w:val="20"/>
                <w:color w:val="auto"/>
              </w:rPr>
            </w:pPr>
            <w:r>
              <w:rPr>
                <w:rFonts w:ascii="Times New Roman" w:cs="Times New Roman" w:eastAsia="Times New Roman" w:hAnsi="Times New Roman"/>
                <w:sz w:val="17"/>
                <w:szCs w:val="17"/>
                <w:color w:val="auto"/>
              </w:rPr>
              <w:t>69</w:t>
            </w:r>
          </w:p>
        </w:tc>
        <w:tc>
          <w:tcPr>
            <w:tcW w:w="1300" w:type="dxa"/>
            <w:vAlign w:val="bottom"/>
            <w:gridSpan w:val="2"/>
          </w:tcPr>
          <w:p>
            <w:pPr>
              <w:jc w:val="center"/>
              <w:ind w:left="75"/>
              <w:spacing w:after="0"/>
              <w:rPr>
                <w:sz w:val="20"/>
                <w:szCs w:val="20"/>
                <w:color w:val="auto"/>
              </w:rPr>
            </w:pPr>
            <w:r>
              <w:rPr>
                <w:rFonts w:ascii="Times New Roman" w:cs="Times New Roman" w:eastAsia="Times New Roman" w:hAnsi="Times New Roman"/>
                <w:sz w:val="17"/>
                <w:szCs w:val="17"/>
                <w:color w:val="auto"/>
                <w:w w:val="99"/>
              </w:rPr>
              <w:t>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Carl June, M.D.</w:t>
            </w:r>
          </w:p>
        </w:tc>
        <w:tc>
          <w:tcPr>
            <w:tcW w:w="4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480" w:type="dxa"/>
            <w:vAlign w:val="bottom"/>
            <w:gridSpan w:val="2"/>
            <w:shd w:val="clear" w:color="auto" w:fill="CCEEFF"/>
          </w:tcPr>
          <w:p>
            <w:pPr>
              <w:jc w:val="center"/>
              <w:ind w:left="95"/>
              <w:spacing w:after="0"/>
              <w:rPr>
                <w:sz w:val="20"/>
                <w:szCs w:val="20"/>
                <w:color w:val="auto"/>
              </w:rPr>
            </w:pPr>
            <w:r>
              <w:rPr>
                <w:rFonts w:ascii="Times New Roman" w:cs="Times New Roman" w:eastAsia="Times New Roman" w:hAnsi="Times New Roman"/>
                <w:sz w:val="17"/>
                <w:szCs w:val="17"/>
                <w:color w:val="auto"/>
              </w:rPr>
              <w:t>72</w:t>
            </w:r>
          </w:p>
        </w:tc>
        <w:tc>
          <w:tcPr>
            <w:tcW w:w="1300" w:type="dxa"/>
            <w:vAlign w:val="bottom"/>
            <w:gridSpan w:val="2"/>
            <w:shd w:val="clear" w:color="auto" w:fill="CCEEFF"/>
          </w:tcPr>
          <w:p>
            <w:pPr>
              <w:jc w:val="center"/>
              <w:ind w:left="75"/>
              <w:spacing w:after="0"/>
              <w:rPr>
                <w:sz w:val="20"/>
                <w:szCs w:val="20"/>
                <w:color w:val="auto"/>
              </w:rPr>
            </w:pPr>
            <w:r>
              <w:rPr>
                <w:rFonts w:ascii="Times New Roman" w:cs="Times New Roman" w:eastAsia="Times New Roman" w:hAnsi="Times New Roman"/>
                <w:sz w:val="17"/>
                <w:szCs w:val="17"/>
                <w:color w:val="auto"/>
                <w:w w:val="99"/>
              </w:rPr>
              <w:t>2020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Renée Aguiar-Lucander</w:t>
            </w:r>
          </w:p>
        </w:tc>
        <w:tc>
          <w:tcPr>
            <w:tcW w:w="43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480" w:type="dxa"/>
            <w:vAlign w:val="bottom"/>
            <w:gridSpan w:val="2"/>
          </w:tcPr>
          <w:p>
            <w:pPr>
              <w:jc w:val="center"/>
              <w:ind w:left="95"/>
              <w:spacing w:after="0"/>
              <w:rPr>
                <w:sz w:val="20"/>
                <w:szCs w:val="20"/>
                <w:color w:val="auto"/>
              </w:rPr>
            </w:pPr>
            <w:r>
              <w:rPr>
                <w:rFonts w:ascii="Times New Roman" w:cs="Times New Roman" w:eastAsia="Times New Roman" w:hAnsi="Times New Roman"/>
                <w:sz w:val="17"/>
                <w:szCs w:val="17"/>
                <w:color w:val="auto"/>
              </w:rPr>
              <w:t>63</w:t>
            </w:r>
          </w:p>
        </w:tc>
        <w:tc>
          <w:tcPr>
            <w:tcW w:w="1300" w:type="dxa"/>
            <w:vAlign w:val="bottom"/>
            <w:gridSpan w:val="2"/>
          </w:tcPr>
          <w:p>
            <w:pPr>
              <w:jc w:val="center"/>
              <w:ind w:left="75"/>
              <w:spacing w:after="0"/>
              <w:rPr>
                <w:sz w:val="20"/>
                <w:szCs w:val="20"/>
                <w:color w:val="auto"/>
              </w:rPr>
            </w:pPr>
            <w:r>
              <w:rPr>
                <w:rFonts w:ascii="Times New Roman" w:cs="Times New Roman" w:eastAsia="Times New Roman" w:hAnsi="Times New Roman"/>
                <w:sz w:val="17"/>
                <w:szCs w:val="17"/>
                <w:color w:val="auto"/>
                <w:w w:val="99"/>
              </w:rPr>
              <w:t>2025</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40" w:right="139" w:firstLine="305"/>
        <w:spacing w:after="0" w:line="277" w:lineRule="auto"/>
        <w:rPr>
          <w:sz w:val="20"/>
          <w:szCs w:val="20"/>
          <w:color w:val="auto"/>
        </w:rPr>
      </w:pPr>
      <w:r>
        <w:rPr>
          <w:rFonts w:ascii="Times New Roman" w:cs="Times New Roman" w:eastAsia="Times New Roman" w:hAnsi="Times New Roman"/>
          <w:sz w:val="17"/>
          <w:szCs w:val="17"/>
          <w:color w:val="auto"/>
        </w:rPr>
        <w:t>The current business addresses for our executive officers, other key employees, directors and director nominee is AC Immune SA, EPFL Innovation Park, Building B, 1015 Lausanne, Switzerland.</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Executive Officers</w:t>
      </w:r>
    </w:p>
    <w:p>
      <w:pPr>
        <w:spacing w:after="0" w:line="198" w:lineRule="exact"/>
        <w:rPr>
          <w:sz w:val="20"/>
          <w:szCs w:val="20"/>
          <w:color w:val="auto"/>
        </w:rPr>
      </w:pPr>
    </w:p>
    <w:p>
      <w:pPr>
        <w:ind w:left="40" w:right="199" w:firstLine="305"/>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Andrea Pfeifer, Ph.D., Co-Founder, Chief Executive Officer and Director: </w:t>
      </w:r>
      <w:r>
        <w:rPr>
          <w:rFonts w:ascii="Times New Roman" w:cs="Times New Roman" w:eastAsia="Times New Roman" w:hAnsi="Times New Roman"/>
          <w:sz w:val="17"/>
          <w:szCs w:val="17"/>
          <w:color w:val="auto"/>
        </w:rPr>
        <w:t>Andrea Pfeifer co-founded AC Immune SA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2003, successfully leading it to an IPO in 2016, since when she has served as a Director on the Board. Under her leadership, multiple transformative partnerships have been established with leading pharmaceutical</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33" w:name="page134"/>
    <w:bookmarkEnd w:id="13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59"/>
        <w:spacing w:after="0" w:line="250" w:lineRule="auto"/>
        <w:rPr>
          <w:sz w:val="20"/>
          <w:szCs w:val="20"/>
          <w:color w:val="auto"/>
        </w:rPr>
      </w:pPr>
      <w:r>
        <w:rPr>
          <w:rFonts w:ascii="Times New Roman" w:cs="Times New Roman" w:eastAsia="Times New Roman" w:hAnsi="Times New Roman"/>
          <w:sz w:val="17"/>
          <w:szCs w:val="17"/>
          <w:color w:val="auto"/>
        </w:rPr>
        <w:t>companies, yielding a potential value of up to CHF 4.3 billion plus additional royalties. She has a 30+ years track record in senior R&amp;D and business leadership roles in the life science industry. She was the Head of Nestlé Research Centre in Lausanne, Switzerland where she played a major role in connecting science and business. Whilst at Nestlé she led the scientific development of a number of highly innovative, critically acclaimed products from laboratory to market, established the microbiome as a major cross-category product development platform and co-founded the Life Science focused Nestlé Venture Capital Fund. Prior to this she was a Visiting Fellow at the Human Carcinogenesis Branch of The National Institute of Health, Bethesda, USA. She currently serves as the Chair of Investment Fund BioMedInvest, Basel and AB2 Bio SA, Lausanne. Dr. Pfeifer is a Non-Executive Member of the Board of Directors of E.M.S. Electro Medical Systems SA, Nyon, and is a member of the Supervisory Board of Symrise AG, Holzminden, Germany. She is also a key member of the CEOi initiative on Alzheimer’s Disease and the Davos Alzheimer’s Collaborative (DAC).</w:t>
      </w:r>
    </w:p>
    <w:p>
      <w:pPr>
        <w:spacing w:after="0" w:line="185" w:lineRule="exact"/>
        <w:rPr>
          <w:sz w:val="20"/>
          <w:szCs w:val="20"/>
          <w:color w:val="auto"/>
        </w:rPr>
      </w:pPr>
    </w:p>
    <w:p>
      <w:pPr>
        <w:ind w:left="40" w:right="159" w:firstLine="305"/>
        <w:spacing w:after="0" w:line="263" w:lineRule="auto"/>
        <w:rPr>
          <w:sz w:val="20"/>
          <w:szCs w:val="20"/>
          <w:color w:val="auto"/>
        </w:rPr>
      </w:pPr>
      <w:r>
        <w:rPr>
          <w:rFonts w:ascii="Times New Roman" w:cs="Times New Roman" w:eastAsia="Times New Roman" w:hAnsi="Times New Roman"/>
          <w:sz w:val="17"/>
          <w:szCs w:val="17"/>
          <w:color w:val="auto"/>
        </w:rPr>
        <w:t>Andrea Pfeifer holds a Ph.D. in Toxicology (Cancer Research) from the University of Würzburg, Germany and is a registered Toxicologist and Pharmacist. She received her Habilitation from the University of Lausanne, Switzerland and is an Honorary Professor at the Ecole Polytechnique Fédérale de Lausanne (EPFL).</w:t>
      </w:r>
    </w:p>
    <w:p>
      <w:pPr>
        <w:spacing w:after="0" w:line="1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 xml:space="preserve">Christopher Roberts, Chief Financial Officer: </w:t>
      </w:r>
      <w:r>
        <w:rPr>
          <w:rFonts w:ascii="Times New Roman" w:cs="Times New Roman" w:eastAsia="Times New Roman" w:hAnsi="Times New Roman"/>
          <w:sz w:val="17"/>
          <w:szCs w:val="17"/>
          <w:color w:val="auto"/>
        </w:rPr>
        <w:t>Christopher Roberts joined AC Immune in 2019 serving in various roles</w:t>
      </w:r>
    </w:p>
    <w:p>
      <w:pPr>
        <w:spacing w:after="0" w:line="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within the Company’s finance leadership team prior to his promotion in 2022. Previously, he worked as a Senior Manager for Ernst</w:t>
      </w:r>
    </w:p>
    <w:p>
      <w:pPr>
        <w:spacing w:after="0" w:line="17" w:lineRule="exact"/>
        <w:rPr>
          <w:sz w:val="20"/>
          <w:szCs w:val="20"/>
          <w:color w:val="auto"/>
        </w:rPr>
      </w:pPr>
    </w:p>
    <w:p>
      <w:pPr>
        <w:ind w:left="40" w:right="179" w:firstLine="5"/>
        <w:spacing w:after="0" w:line="251" w:lineRule="auto"/>
        <w:tabs>
          <w:tab w:leader="none" w:pos="214"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Young for more than 10 years and supported the AC Immune IPO. During that time, he served high-growth life science companies in Switzerland, the San Francisco Bay Area, and the UK. Christopher Roberts is a Trustee and Treasurer of Msizi Africa, a charity dedicated to sustainably improving the lives of children in Lesotho. He is a Chartered Accountant with the Institute of Chartered Accountants in Scotland (ICAS) and holds a Bachelor of Science in Accounting, Auditing and Finance with first class honours from Lancaster University.</w:t>
      </w:r>
    </w:p>
    <w:p>
      <w:pPr>
        <w:spacing w:after="0" w:line="177" w:lineRule="exact"/>
        <w:rPr>
          <w:sz w:val="20"/>
          <w:szCs w:val="20"/>
          <w:color w:val="auto"/>
        </w:rPr>
      </w:pPr>
    </w:p>
    <w:p>
      <w:pPr>
        <w:ind w:left="40" w:right="119" w:firstLine="305"/>
        <w:spacing w:after="0" w:line="252" w:lineRule="auto"/>
        <w:rPr>
          <w:sz w:val="20"/>
          <w:szCs w:val="20"/>
          <w:color w:val="auto"/>
        </w:rPr>
      </w:pPr>
      <w:r>
        <w:rPr>
          <w:rFonts w:ascii="Times New Roman" w:cs="Times New Roman" w:eastAsia="Times New Roman" w:hAnsi="Times New Roman"/>
          <w:sz w:val="17"/>
          <w:szCs w:val="17"/>
          <w:b w:val="1"/>
          <w:bCs w:val="1"/>
          <w:color w:val="auto"/>
        </w:rPr>
        <w:t xml:space="preserve">Piergiorgio Donati, Chief Technical Operations Officer: </w:t>
      </w:r>
      <w:r>
        <w:rPr>
          <w:rFonts w:ascii="Times New Roman" w:cs="Times New Roman" w:eastAsia="Times New Roman" w:hAnsi="Times New Roman"/>
          <w:sz w:val="17"/>
          <w:szCs w:val="17"/>
          <w:color w:val="auto"/>
        </w:rPr>
        <w:t>Piergiorgio Donati joined AC Immune in 2018 as Director, Global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Program Management, becoming Chief Technical Operations Officer in 2020. He has extensive experience in R&amp;D project management and CMC process and product development strategies, particularly in leading and planning cross-functional projects, built over a career in senior roles in the pharmaceutical and biotech industries. He has served as Head of CMC program development at Glenmark Pharmaceuticals and Biotech CMC Lead at Merck KGaA and was previously with AC Immune from 2011 to 2015 as Head of Manufacturing and Project Management. He has also held R&amp;D positions at Abiogen, Merck Group and Serono. Piergiorgio Donati holds a degree in Analytical Chemistry from the Technical Institute G.L. Bernini.</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Other key employees</w:t>
      </w:r>
    </w:p>
    <w:p>
      <w:pPr>
        <w:spacing w:after="0" w:line="211" w:lineRule="exact"/>
        <w:rPr>
          <w:sz w:val="20"/>
          <w:szCs w:val="20"/>
          <w:color w:val="auto"/>
        </w:rPr>
      </w:pPr>
    </w:p>
    <w:p>
      <w:pPr>
        <w:ind w:left="40" w:right="99" w:firstLine="305"/>
        <w:spacing w:after="0" w:line="251" w:lineRule="auto"/>
        <w:rPr>
          <w:sz w:val="20"/>
          <w:szCs w:val="20"/>
          <w:color w:val="auto"/>
        </w:rPr>
      </w:pPr>
      <w:r>
        <w:rPr>
          <w:rFonts w:ascii="Times New Roman" w:cs="Times New Roman" w:eastAsia="Times New Roman" w:hAnsi="Times New Roman"/>
          <w:sz w:val="17"/>
          <w:szCs w:val="17"/>
          <w:b w:val="1"/>
          <w:bCs w:val="1"/>
          <w:color w:val="auto"/>
        </w:rPr>
        <w:t>Mark Danton, EVP Artificial Intelligence and Information Systems</w:t>
      </w:r>
      <w:r>
        <w:rPr>
          <w:rFonts w:ascii="Times New Roman" w:cs="Times New Roman" w:eastAsia="Times New Roman" w:hAnsi="Times New Roman"/>
          <w:sz w:val="17"/>
          <w:szCs w:val="17"/>
          <w:color w:val="auto"/>
        </w:rPr>
        <w:t>: Mark Danton is a globally recognized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experienced executive in Information Systems/Information Technology (IS/IT) with extensive experience in developing, launching and managing business-relevant IS, cybersecurity and digital technology solutions and services. He has a proven track-record of combining sound business acumen, consulting experience, strong product management, service management and business process knowledge to bring complexity to its simplest elements. Prior to joining AC Immune, he served as IS/IT Global Manager at Nestlé, driving excellence in security, risk and compliance at all locations within the multinational organization, and held a number of global roles at BT Global Services and in Dimension Data PLC. Mark Danton holds an Executive MBA from the Business School Lausanne, graduating cum laude and as the Executive MBA Student of the Year.</w:t>
      </w:r>
    </w:p>
    <w:p>
      <w:pPr>
        <w:spacing w:after="0" w:line="167" w:lineRule="exact"/>
        <w:rPr>
          <w:sz w:val="20"/>
          <w:szCs w:val="20"/>
          <w:color w:val="auto"/>
        </w:rPr>
      </w:pPr>
    </w:p>
    <w:p>
      <w:pPr>
        <w:ind w:left="40" w:right="59" w:firstLine="305"/>
        <w:spacing w:after="0" w:line="251" w:lineRule="auto"/>
        <w:rPr>
          <w:sz w:val="20"/>
          <w:szCs w:val="20"/>
          <w:color w:val="auto"/>
        </w:rPr>
      </w:pPr>
      <w:r>
        <w:rPr>
          <w:rFonts w:ascii="Times New Roman" w:cs="Times New Roman" w:eastAsia="Times New Roman" w:hAnsi="Times New Roman"/>
          <w:sz w:val="17"/>
          <w:szCs w:val="17"/>
          <w:b w:val="1"/>
          <w:bCs w:val="1"/>
          <w:color w:val="auto"/>
        </w:rPr>
        <w:t>Günther Staffler, Ph.D., EVP Development</w:t>
      </w:r>
      <w:r>
        <w:rPr>
          <w:rFonts w:ascii="Times New Roman" w:cs="Times New Roman" w:eastAsia="Times New Roman" w:hAnsi="Times New Roman"/>
          <w:sz w:val="17"/>
          <w:szCs w:val="17"/>
          <w:color w:val="auto"/>
        </w:rPr>
        <w:t>: Günther Staffler joined AC Immune in 2021, bringing more than 25 years’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experience in immunology and biochemical research and establishing and managing drug development programs. He served in various roles within the Company’s R&amp;D leadership team prior to his promotion to EVP Development in 2025. He is a skilled manager of translational research with extensive knowledge and understanding of global product development in the biotech industry, with in-depth leadership, mentorship, and strategic oversight experience in drug development phases from early discovery to clinical Phase 2 with strong involvement in manufacturing operations, as well as in project and program management. Dr. Staffler joined AC Immune from Affiris, where he held increasingly senior roles and was most recently Chief Technical Officer. He previously worked at a number of biotech companies in Vienna including Biovertis and Intercell (now Valneva). Dr. Staffler holds a PhD in Biochemistry with focus on Immunology from the Medical University of Vienna.</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34" w:name="page135"/>
    <w:bookmarkEnd w:id="13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right="219" w:firstLine="305"/>
        <w:spacing w:after="0" w:line="251" w:lineRule="auto"/>
        <w:rPr>
          <w:sz w:val="20"/>
          <w:szCs w:val="20"/>
          <w:color w:val="auto"/>
        </w:rPr>
      </w:pPr>
      <w:r>
        <w:rPr>
          <w:rFonts w:ascii="Times New Roman" w:cs="Times New Roman" w:eastAsia="Times New Roman" w:hAnsi="Times New Roman"/>
          <w:sz w:val="17"/>
          <w:szCs w:val="17"/>
          <w:b w:val="1"/>
          <w:bCs w:val="1"/>
          <w:color w:val="auto"/>
        </w:rPr>
        <w:t>Francesca Capotosti, Ph.D., VP Research</w:t>
      </w:r>
      <w:r>
        <w:rPr>
          <w:rFonts w:ascii="Times New Roman" w:cs="Times New Roman" w:eastAsia="Times New Roman" w:hAnsi="Times New Roman"/>
          <w:sz w:val="17"/>
          <w:szCs w:val="17"/>
          <w:color w:val="auto"/>
        </w:rPr>
        <w:t>: Francesca Capotosti joined AC Immune in 2013 and has established significant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expertise in the development of innovative diagnostics and therapeutic approaches to address neurodegenerative diseases. She served in various roles within the Company’s R&amp;D leadership team prior to her promotion to VP Research in 2025. She is responsible for AC Immune’s discovery and preclinical pipeline with a major focus on small-molecular weight compounds as therapeutic and diagnostic agents. She joined as a research scientist and has since been Team Leader, Global Project Leader, and now Vice President, playing key roles in development of small molecules targeting Tau and a-syn, as well as AC Immune’s a-syn PET tracer program. Dr. Capotosti completed postdoctoral studies at the École Polytechnique Fédérale de Lausanne (EPFL), and obtained a Ph.D. in Life Sciences from the University of Lausanne in 2010.</w:t>
      </w:r>
    </w:p>
    <w:p>
      <w:pPr>
        <w:spacing w:after="0" w:line="179" w:lineRule="exact"/>
        <w:rPr>
          <w:sz w:val="20"/>
          <w:szCs w:val="20"/>
          <w:color w:val="auto"/>
        </w:rPr>
      </w:pPr>
    </w:p>
    <w:p>
      <w:pPr>
        <w:ind w:left="40" w:right="59" w:firstLine="305"/>
        <w:spacing w:after="0" w:line="251" w:lineRule="auto"/>
        <w:rPr>
          <w:sz w:val="20"/>
          <w:szCs w:val="20"/>
          <w:color w:val="auto"/>
        </w:rPr>
      </w:pPr>
      <w:r>
        <w:rPr>
          <w:rFonts w:ascii="Times New Roman" w:cs="Times New Roman" w:eastAsia="Times New Roman" w:hAnsi="Times New Roman"/>
          <w:sz w:val="17"/>
          <w:szCs w:val="17"/>
          <w:b w:val="1"/>
          <w:bCs w:val="1"/>
          <w:color w:val="auto"/>
        </w:rPr>
        <w:t>Julien Rongère, Ph.D., SVP Regulatory Affairs and Quality Assurance</w:t>
      </w:r>
      <w:r>
        <w:rPr>
          <w:rFonts w:ascii="Times New Roman" w:cs="Times New Roman" w:eastAsia="Times New Roman" w:hAnsi="Times New Roman"/>
          <w:sz w:val="17"/>
          <w:szCs w:val="17"/>
          <w:color w:val="auto"/>
        </w:rPr>
        <w:t>: Julien Rongère joined AC Immune in July 2017,</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during his career has gained specific expertise in the development of regulatory strategies for taking products from Phase 1 through to commercialization in the field of hematology/oncology and immunology/inflammation, including fast-to-market approaches, orphan drugs and pediatric development. Prior to joining AC Immune, Dr. Rongère held positions of increasing responsibility at Celgene in Switzerland, most recently as Director, Regulatory Affairs, leading the development of regulatory strategies for small molecules and CAR-T cell therapies and contributed to the development and approval of Revlimid in multiple myeloma and mantle cell lymphoma. Prior to Celgene, he served as a Regulatory Expert at Apoxis, SA in Switzerland. Dr. Rongère gained his Master’s Degree in Medical Genetics from the University of Aberdeen, UK, and holds a Ph.D. in Molecular Biology from the University of Lausanne, Switzerland.</w:t>
      </w:r>
    </w:p>
    <w:p>
      <w:pPr>
        <w:spacing w:after="0" w:line="178" w:lineRule="exact"/>
        <w:rPr>
          <w:sz w:val="20"/>
          <w:szCs w:val="20"/>
          <w:color w:val="auto"/>
        </w:rPr>
      </w:pPr>
    </w:p>
    <w:p>
      <w:pPr>
        <w:ind w:left="40" w:right="119" w:firstLine="305"/>
        <w:spacing w:after="0" w:line="251" w:lineRule="auto"/>
        <w:rPr>
          <w:sz w:val="20"/>
          <w:szCs w:val="20"/>
          <w:color w:val="auto"/>
        </w:rPr>
      </w:pPr>
      <w:r>
        <w:rPr>
          <w:rFonts w:ascii="Times New Roman" w:cs="Times New Roman" w:eastAsia="Times New Roman" w:hAnsi="Times New Roman"/>
          <w:sz w:val="17"/>
          <w:szCs w:val="17"/>
          <w:b w:val="1"/>
          <w:bCs w:val="1"/>
          <w:color w:val="auto"/>
        </w:rPr>
        <w:t>Gary Waanders, Ph.D., SVP Investor Relations and Corporate Communications</w:t>
      </w:r>
      <w:r>
        <w:rPr>
          <w:rFonts w:ascii="Times New Roman" w:cs="Times New Roman" w:eastAsia="Times New Roman" w:hAnsi="Times New Roman"/>
          <w:sz w:val="17"/>
          <w:szCs w:val="17"/>
          <w:color w:val="auto"/>
        </w:rPr>
        <w:t>: Gary Waanders joined AC Immune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November 2021 as the Head of Investor Relations and Corporate Communications, bringing extensive international experience in investor relations and finance, with a focus in life sciences. Prior to AC Immune he was Head of Investor Relations at Medigene (Munich, Germany) from mid-2019. Before these roles, he worked from 2001 until 2019 as a Life Sciences Equity analyst for several investment banks based in London, UK, including Nomura Code Securities, KBC Peel Hunt, and Bryan, Garnier &amp; Co. He obtained a Ph.D. in Immunology from Monash University in Melbourne, Australia, and worked as a postdoctoral fellow at the Ludwig Institute for Cancer Research in Lausanne, Switzerland. He gained an MBA with distinction from the University of Durham Business School in the UK.</w:t>
      </w:r>
    </w:p>
    <w:p>
      <w:pPr>
        <w:spacing w:after="0" w:line="179" w:lineRule="exact"/>
        <w:rPr>
          <w:sz w:val="20"/>
          <w:szCs w:val="20"/>
          <w:color w:val="auto"/>
        </w:rPr>
      </w:pPr>
    </w:p>
    <w:p>
      <w:pPr>
        <w:ind w:left="40" w:right="159" w:firstLine="305"/>
        <w:spacing w:after="0" w:line="252" w:lineRule="auto"/>
        <w:rPr>
          <w:sz w:val="20"/>
          <w:szCs w:val="20"/>
          <w:color w:val="auto"/>
        </w:rPr>
      </w:pPr>
      <w:r>
        <w:rPr>
          <w:rFonts w:ascii="Times New Roman" w:cs="Times New Roman" w:eastAsia="Times New Roman" w:hAnsi="Times New Roman"/>
          <w:sz w:val="17"/>
          <w:szCs w:val="17"/>
          <w:b w:val="1"/>
          <w:bCs w:val="1"/>
          <w:color w:val="auto"/>
        </w:rPr>
        <w:t xml:space="preserve">Matthias Maurer, Ph.D., SVP General Counsel: </w:t>
      </w:r>
      <w:r>
        <w:rPr>
          <w:rFonts w:ascii="Times New Roman" w:cs="Times New Roman" w:eastAsia="Times New Roman" w:hAnsi="Times New Roman"/>
          <w:sz w:val="17"/>
          <w:szCs w:val="17"/>
          <w:color w:val="auto"/>
        </w:rPr>
        <w:t>Matthias Maurer is a Swiss qualified attorney with 15 years of experience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private practice and multinational companies. He is an experienced international life sciences lawyer with a track record in leading global cross-functional teams to plan, negotiate and successfully complete major strategic projects in private and public companies. He started his career working as an associate at Baker McKenzie and Homburger before specializing in healthcare. He held senior legal positions at Roche and Lonza focusing on M&amp;A, licensing transactions, corporate matters, and venture investments, as well as research and development collaborations. Matthias Maurer holds a Doctor in Law degree from the University of Zurich, an MBA from INSEAD and is admitted to the Bar of Zurich, Switzerland.</w:t>
      </w:r>
    </w:p>
    <w:p>
      <w:pPr>
        <w:spacing w:after="0" w:line="175" w:lineRule="exact"/>
        <w:rPr>
          <w:sz w:val="20"/>
          <w:szCs w:val="20"/>
          <w:color w:val="auto"/>
        </w:rPr>
      </w:pPr>
    </w:p>
    <w:p>
      <w:pPr>
        <w:ind w:left="40" w:right="99" w:firstLine="305"/>
        <w:spacing w:after="0" w:line="269" w:lineRule="auto"/>
        <w:rPr>
          <w:sz w:val="20"/>
          <w:szCs w:val="20"/>
          <w:color w:val="auto"/>
        </w:rPr>
      </w:pPr>
      <w:r>
        <w:rPr>
          <w:rFonts w:ascii="Times New Roman" w:cs="Times New Roman" w:eastAsia="Times New Roman" w:hAnsi="Times New Roman"/>
          <w:sz w:val="16"/>
          <w:szCs w:val="16"/>
          <w:b w:val="1"/>
          <w:bCs w:val="1"/>
          <w:color w:val="auto"/>
        </w:rPr>
        <w:t>Bojana Portmann, Ph.D., VP IP and Business Development</w:t>
      </w:r>
      <w:r>
        <w:rPr>
          <w:rFonts w:ascii="Times New Roman" w:cs="Times New Roman" w:eastAsia="Times New Roman" w:hAnsi="Times New Roman"/>
          <w:sz w:val="16"/>
          <w:szCs w:val="16"/>
          <w:color w:val="auto"/>
        </w:rPr>
        <w:t>: Bojana Portmann joined AC Immune in 2011 as Intellectual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Property Manager and has held multiple roles within the IP department with increasing responsibility over the past years. During this time, she has developed significant experience in intellectual property law and management and project management, with her work at AC Immune mainly focused on creating and strengthening patent portfolios for biologicals, small molecules and liposomal technology. Since 2019, she has also led Business Development and Alliance Management, maximizing partnership opportunities and managing industry and academic partnerships. Bojana Portmann holds a Ph.D. degree from the EPFL University in Switzerland, and a LL.M. degree, Master of Intellectual Property Law and Management (MIPLM), from the CEIPI in France. She also received a M.Sc. (Dipl. Ing.) degree in Polymer and Chemical Engineering from the University of Belgrade in Serbia.</w:t>
      </w:r>
    </w:p>
    <w:p>
      <w:pPr>
        <w:spacing w:after="0" w:line="165" w:lineRule="exact"/>
        <w:rPr>
          <w:sz w:val="20"/>
          <w:szCs w:val="20"/>
          <w:color w:val="auto"/>
        </w:rPr>
      </w:pPr>
    </w:p>
    <w:p>
      <w:pPr>
        <w:ind w:left="40" w:right="139" w:firstLine="305"/>
        <w:spacing w:after="0" w:line="253" w:lineRule="auto"/>
        <w:rPr>
          <w:sz w:val="20"/>
          <w:szCs w:val="20"/>
          <w:color w:val="auto"/>
        </w:rPr>
      </w:pPr>
      <w:r>
        <w:rPr>
          <w:rFonts w:ascii="Times New Roman" w:cs="Times New Roman" w:eastAsia="Times New Roman" w:hAnsi="Times New Roman"/>
          <w:sz w:val="17"/>
          <w:szCs w:val="17"/>
          <w:b w:val="1"/>
          <w:bCs w:val="1"/>
          <w:color w:val="auto"/>
        </w:rPr>
        <w:t>Olivier Sol, M.D., VP, Clinical Safety Officer</w:t>
      </w:r>
      <w:r>
        <w:rPr>
          <w:rFonts w:ascii="Times New Roman" w:cs="Times New Roman" w:eastAsia="Times New Roman" w:hAnsi="Times New Roman"/>
          <w:sz w:val="17"/>
          <w:szCs w:val="17"/>
          <w:color w:val="auto"/>
        </w:rPr>
        <w:t>: Prior to joining AC Immune, Olivier Sol was Clinical Director of Exonhit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(Paris) and thereafter Medical &amp; Regulatory Affairs Director for Diaxonhit, where he was responsible for the development and medical validation of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diagnostic products in cancer, infectious diseases and Alzheimer’s disease. Olivier Sol spent his over 20 year career as a Medical Expert in several therapeutic areas with a strong focus on central nervous system diseases, within pharmaceutical companies as Janssen, UCB-Pharma, GlaxoSmithKline and</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35" w:name="page136"/>
    <w:bookmarkEnd w:id="13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40" w:right="359"/>
        <w:spacing w:after="0" w:line="263" w:lineRule="auto"/>
        <w:rPr>
          <w:sz w:val="20"/>
          <w:szCs w:val="20"/>
          <w:color w:val="auto"/>
        </w:rPr>
      </w:pPr>
      <w:r>
        <w:rPr>
          <w:rFonts w:ascii="Times New Roman" w:cs="Times New Roman" w:eastAsia="Times New Roman" w:hAnsi="Times New Roman"/>
          <w:sz w:val="17"/>
          <w:szCs w:val="17"/>
          <w:color w:val="auto"/>
        </w:rPr>
        <w:t>Sanofi. He contributed to the clinical development of currently marketed drugs in epilepsy (topiramate and levetiracetam) and galantamine in Alzheimer’s disease. He has also gained significant experience in the field of biological biomarkers. Olivier Sol holds an M.D. from the Paris-Sud University (Paris-Saclay) with a specialization in Medical Biology.</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Non-Executive Directors</w:t>
      </w:r>
    </w:p>
    <w:p>
      <w:pPr>
        <w:spacing w:after="0" w:line="211" w:lineRule="exact"/>
        <w:rPr>
          <w:sz w:val="20"/>
          <w:szCs w:val="20"/>
          <w:color w:val="auto"/>
        </w:rPr>
      </w:pPr>
    </w:p>
    <w:p>
      <w:pPr>
        <w:ind w:left="40" w:right="199" w:firstLine="305"/>
        <w:spacing w:after="0" w:line="249" w:lineRule="auto"/>
        <w:rPr>
          <w:sz w:val="20"/>
          <w:szCs w:val="20"/>
          <w:color w:val="auto"/>
        </w:rPr>
      </w:pPr>
      <w:r>
        <w:rPr>
          <w:rFonts w:ascii="Times New Roman" w:cs="Times New Roman" w:eastAsia="Times New Roman" w:hAnsi="Times New Roman"/>
          <w:sz w:val="17"/>
          <w:szCs w:val="17"/>
          <w:b w:val="1"/>
          <w:bCs w:val="1"/>
          <w:color w:val="auto"/>
        </w:rPr>
        <w:t xml:space="preserve">Martin Zügel, M.D., Chair and Director: </w:t>
      </w:r>
      <w:r>
        <w:rPr>
          <w:rFonts w:ascii="Times New Roman" w:cs="Times New Roman" w:eastAsia="Times New Roman" w:hAnsi="Times New Roman"/>
          <w:sz w:val="17"/>
          <w:szCs w:val="17"/>
          <w:color w:val="auto"/>
        </w:rPr>
        <w:t>Martin Zügel MD is an experienced executive with 30 years at executive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board level in multinational healthcare companies. Dr. Zügel is a board member at Grünenthal, an international company specializing in the neuropharmacology of pain control, where he also chairs the audit committee. In addition, he is currently chairman of the board of AMW GmbH and MESI Ltd. Previously, Dr. Zügel served as chairman, director, executive or advisor with several biotech companies addressing a variety of target medical indications and has also acted as advisor to biotech/pharma investors. Earlier in his career, Dr. Zügel was CEO of Merz Pharma GmbH. During his tenure at Merz, he was instrumental in building Memantine to a blockbuster Alzheimer Drug worldwide in close collaboration with Forest Labs, Daiichi Sankyo and Lundbeck A/S. He established, with specialty Neurology and Aesthetics, two new global franchises at Merz. He was an executive board member of B. Braun Melsungen AG in charge of their global hospital supply business and held various roles at Roche in their pharmaceuticals and diagnostics division. Dr. Zügel holds a Doctorate in Medicine from the University of Tübingen, and a Master Degree in Molecular Biology from the University of Massachusetts at Amherst.</w:t>
      </w:r>
    </w:p>
    <w:p>
      <w:pPr>
        <w:spacing w:after="0" w:line="180" w:lineRule="exact"/>
        <w:rPr>
          <w:sz w:val="20"/>
          <w:szCs w:val="20"/>
          <w:color w:val="auto"/>
        </w:rPr>
      </w:pPr>
    </w:p>
    <w:p>
      <w:pPr>
        <w:ind w:left="40" w:right="219" w:firstLine="305"/>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Monika Bütler, Ph.D., Vice Chair and Director: </w:t>
      </w:r>
      <w:r>
        <w:rPr>
          <w:rFonts w:ascii="Times New Roman" w:cs="Times New Roman" w:eastAsia="Times New Roman" w:hAnsi="Times New Roman"/>
          <w:sz w:val="17"/>
          <w:szCs w:val="17"/>
          <w:color w:val="auto"/>
        </w:rPr>
        <w:t>Monika Bütler is a leading Swiss economist and former Vice President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independent Swiss Covid-19 Science Taskforce. She is a member of the Board of Directors and of the audit committees of Swiss Life Holding AG and Schindler Holding AG, where she also chairs the compensation committee. Dr. Bütler is also a member of the Board of Directors of Huber+Suhner Ltd, where she chairs the nomination and remuneration committee. Her international economic expertise is in public policy and managerial economics, including an advisory role to the World Bank and visiting appointments in the U.S., Australia and Europe. Dr. Bütler is a Vice President of the Foundation Board of the Gebert Rüf Foundation, a science and innovation foundation that supports entrepreneurial projects which are committed to achieving an impact. Monika Bütler holds a Doctorate in Economics from the University of St. Gallen, a Doctorate Honoris Causa from the University of Lucerne, and a Diploma in Mathematics/Physics from the University of Zurich.</w:t>
      </w:r>
    </w:p>
    <w:p>
      <w:pPr>
        <w:spacing w:after="0" w:line="178" w:lineRule="exact"/>
        <w:rPr>
          <w:sz w:val="20"/>
          <w:szCs w:val="20"/>
          <w:color w:val="auto"/>
        </w:rPr>
      </w:pPr>
    </w:p>
    <w:p>
      <w:pPr>
        <w:ind w:left="40" w:right="79" w:firstLine="305"/>
        <w:spacing w:after="0" w:line="252" w:lineRule="auto"/>
        <w:rPr>
          <w:sz w:val="20"/>
          <w:szCs w:val="20"/>
          <w:color w:val="auto"/>
        </w:rPr>
      </w:pPr>
      <w:r>
        <w:rPr>
          <w:rFonts w:ascii="Times New Roman" w:cs="Times New Roman" w:eastAsia="Times New Roman" w:hAnsi="Times New Roman"/>
          <w:sz w:val="17"/>
          <w:szCs w:val="17"/>
          <w:b w:val="1"/>
          <w:bCs w:val="1"/>
          <w:color w:val="auto"/>
        </w:rPr>
        <w:t>Roy Twyman, M.D., Director</w:t>
      </w:r>
      <w:r>
        <w:rPr>
          <w:rFonts w:ascii="Times New Roman" w:cs="Times New Roman" w:eastAsia="Times New Roman" w:hAnsi="Times New Roman"/>
          <w:sz w:val="17"/>
          <w:szCs w:val="17"/>
          <w:color w:val="auto"/>
        </w:rPr>
        <w:t>: Roy Twyman is a Neurologist and is founder and current CEO of Amron Neuroscience, LLC,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 private consulting company focused on neuroscience drug development. Prior to this, Dr. Twyman spent almost 20 years at Janssen Research &amp; Development, LLC (a Johnson &amp; Johnson company) and was a member of the Neuroscience Therapeutic Area Leadership team responsible for clinical R&amp;D and strategic planning of CNS neurology and psychiatry pipeline products. From 2012 to March 2018, Dr. Twyman was a Senior Vice President in the Neuroscience Therapeutic Area overseeing the Alzheimer’s Disease Area. He currently participates as an independent Board Member or as a Scientific Advisory Board Member for a number of small biotech or pharmaceutical companies.</w:t>
      </w:r>
    </w:p>
    <w:p>
      <w:pPr>
        <w:spacing w:after="0" w:line="175" w:lineRule="exact"/>
        <w:rPr>
          <w:sz w:val="20"/>
          <w:szCs w:val="20"/>
          <w:color w:val="auto"/>
        </w:rPr>
      </w:pPr>
    </w:p>
    <w:p>
      <w:pPr>
        <w:ind w:left="40" w:right="79" w:firstLine="305"/>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Carl June, M.D., Director: </w:t>
      </w:r>
      <w:r>
        <w:rPr>
          <w:rFonts w:ascii="Times New Roman" w:cs="Times New Roman" w:eastAsia="Times New Roman" w:hAnsi="Times New Roman"/>
          <w:sz w:val="17"/>
          <w:szCs w:val="17"/>
          <w:color w:val="auto"/>
        </w:rPr>
        <w:t>Carl June is Richard W. Vague Professor in Immunotherapy, Director of the Center for Cellular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Immunotherapies and Director of the Parker Institute for Cancer Immunotherapy at the Perelman School of Medicine at the University of Pennsylvania. Due to his lifelong work on lymphocyte activation, Dr. June is considered a world authority on mechanisms related to immune tolerance and adoptive immunotherapy in the fields of chronic inflammation and cancer. He and his team pioneered the groundbreaking work in immunotherapy in which patients with refractory and relapsed chronic lymphocytic leukemia are treated with genetically engineered versions of their own T cells. This CAR-T therapy approach, which trains the immune system to attack and destroy cancer cells, has opened a new era of innovative treatments and personalized medicine for cancer patients. Dr. June is a graduate of the Naval Academy in Annapolis, USA, and Baylor College of Medicine in Houston, USA, where he received his medical degree. Dr. June also completed graduate training in immunology and malaria with Dr. Paul-Henri Lambert at the World Health Organization, Geneva, Switzerland, and post-doctoral training in transplantation biology with E. Donnell Thomas and John Hansen at the Fred Hutchinson Cancer Research Center in Seattle, USA. He has published more than 500 manuscripts and is the recipient of numerous honors and prizes.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36" w:name="page137"/>
    <w:bookmarkEnd w:id="13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right="59" w:firstLine="305"/>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Renée Aguiar-Lucander, Director: </w:t>
      </w:r>
      <w:r>
        <w:rPr>
          <w:rFonts w:ascii="Times New Roman" w:cs="Times New Roman" w:eastAsia="Times New Roman" w:hAnsi="Times New Roman"/>
          <w:sz w:val="17"/>
          <w:szCs w:val="17"/>
          <w:color w:val="auto"/>
        </w:rPr>
        <w:t>Renée Aguiar-Lucander is an experienced health-care executive with a strong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background in company management, financing and business development. She has extensive Board experience across private and public enterprises in Europe and the US, and successfully raised over USD 325M through public listings in Europe and US, out-licensings and debt financings. She is CEO of Hansa Biopharma, a Swedish company listed on OMX Stockholm. Previously, she was CEO of Calliditas Therapeutics AB, a Swedish NASDAQ traded company. Beginning in 2017, Ms. Aguiar-Lucander led that company’s development of a targeted release formulation of budesonide to full FDA approval in Dec 2023. Ms. Aguiar-Lucander grew Calliditas to a fully integrated life science company headquartered in Europe with a complete US commercial footprint. In Q3 2024, Calliditas was acquired by the Japanese Company Asahi Kasei for 1.1B USD and is now fully integrated into Asahi Kasei, with revenues in excess of USD 150 million and operational profitability at time of exit. Prior to joining Calliditas, Ms. Aguiar-Lucander spent more than twenty years in US and European private and public direct investment, gaining experience with Omega Fund, 3i Group plc, and at several large US based investment banks. Ms. Aguiar-Lucander holds a BA in Accounting from the Stockholm School of Economics and Finance, and an MBA from INSEAD.</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Family Relationships</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None of our directors or executive officers has a family relationship as defined in Item 401 of Regulation S-K.</w:t>
      </w:r>
    </w:p>
    <w:p>
      <w:pPr>
        <w:spacing w:after="0" w:line="194"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B.</w:t>
        <w:tab/>
        <w:t>Compensation</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Compensation of directors and executive officers</w:t>
      </w:r>
    </w:p>
    <w:p>
      <w:pPr>
        <w:spacing w:after="0" w:line="215" w:lineRule="exact"/>
        <w:rPr>
          <w:sz w:val="20"/>
          <w:szCs w:val="20"/>
          <w:color w:val="auto"/>
        </w:rPr>
      </w:pPr>
    </w:p>
    <w:p>
      <w:pPr>
        <w:ind w:left="40" w:right="199" w:firstLine="305"/>
        <w:spacing w:after="0" w:line="277" w:lineRule="auto"/>
        <w:rPr>
          <w:sz w:val="20"/>
          <w:szCs w:val="20"/>
          <w:color w:val="auto"/>
        </w:rPr>
      </w:pPr>
      <w:r>
        <w:rPr>
          <w:rFonts w:ascii="Times New Roman" w:cs="Times New Roman" w:eastAsia="Times New Roman" w:hAnsi="Times New Roman"/>
          <w:sz w:val="17"/>
          <w:szCs w:val="17"/>
          <w:color w:val="auto"/>
        </w:rPr>
        <w:t>For the year ended December 31, 2025, the aggregate compensation accrued or paid to the members of our board of directors and our executive officers for services in all capacities was CHF 7.0 million.</w:t>
      </w:r>
    </w:p>
    <w:p>
      <w:pPr>
        <w:spacing w:after="0" w:line="158" w:lineRule="exact"/>
        <w:rPr>
          <w:sz w:val="20"/>
          <w:szCs w:val="20"/>
          <w:color w:val="auto"/>
        </w:rPr>
      </w:pPr>
    </w:p>
    <w:p>
      <w:pPr>
        <w:ind w:left="40" w:right="99" w:firstLine="305"/>
        <w:spacing w:after="0" w:line="277" w:lineRule="auto"/>
        <w:rPr>
          <w:sz w:val="20"/>
          <w:szCs w:val="20"/>
          <w:color w:val="auto"/>
        </w:rPr>
      </w:pPr>
      <w:r>
        <w:rPr>
          <w:rFonts w:ascii="Times New Roman" w:cs="Times New Roman" w:eastAsia="Times New Roman" w:hAnsi="Times New Roman"/>
          <w:sz w:val="17"/>
          <w:szCs w:val="17"/>
          <w:color w:val="auto"/>
        </w:rPr>
        <w:t>During the year ended December 31, 2025, the total fair value of equity awards granted to directors and executive officers was CHF 3.1 million.</w:t>
      </w:r>
    </w:p>
    <w:p>
      <w:pPr>
        <w:spacing w:after="0" w:line="158" w:lineRule="exact"/>
        <w:rPr>
          <w:sz w:val="20"/>
          <w:szCs w:val="20"/>
          <w:color w:val="auto"/>
        </w:rPr>
      </w:pPr>
    </w:p>
    <w:p>
      <w:pPr>
        <w:ind w:left="40" w:right="199" w:firstLine="305"/>
        <w:spacing w:after="0" w:line="277" w:lineRule="auto"/>
        <w:rPr>
          <w:sz w:val="20"/>
          <w:szCs w:val="20"/>
          <w:color w:val="auto"/>
        </w:rPr>
      </w:pPr>
      <w:r>
        <w:rPr>
          <w:rFonts w:ascii="Times New Roman" w:cs="Times New Roman" w:eastAsia="Times New Roman" w:hAnsi="Times New Roman"/>
          <w:sz w:val="17"/>
          <w:szCs w:val="17"/>
          <w:color w:val="auto"/>
        </w:rPr>
        <w:t>The amount set aside or accrued by us to provide pension, retirement or similar benefits to members of our board of directors and executive officers amounted to a total of CHF 0.4 million in the year ended December 31, 2025.</w:t>
      </w:r>
    </w:p>
    <w:p>
      <w:pPr>
        <w:spacing w:after="0" w:line="145" w:lineRule="exact"/>
        <w:rPr>
          <w:sz w:val="20"/>
          <w:szCs w:val="20"/>
          <w:color w:val="auto"/>
        </w:rPr>
      </w:pPr>
    </w:p>
    <w:p>
      <w:pPr>
        <w:ind w:left="40" w:right="219" w:firstLine="305"/>
        <w:spacing w:after="0" w:line="256" w:lineRule="auto"/>
        <w:rPr>
          <w:sz w:val="20"/>
          <w:szCs w:val="20"/>
          <w:color w:val="auto"/>
        </w:rPr>
      </w:pPr>
      <w:r>
        <w:rPr>
          <w:rFonts w:ascii="Times New Roman" w:cs="Times New Roman" w:eastAsia="Times New Roman" w:hAnsi="Times New Roman"/>
          <w:sz w:val="17"/>
          <w:szCs w:val="17"/>
          <w:color w:val="auto"/>
        </w:rPr>
        <w:t>We incorporate by reference into this Annual Report the information contained in the section “Directors and Executive Management Compensation Report” under “Item 2. C—2025 and 2024 Board Compensation” and “Item 3. C—2025 and 2024 Executive Compensation” of Exhibit 99.4 to our report on Form 6-K filed with the SEC on March 13, 2026. For the avoidance of doubt the Statutory Auditor's Report on the audit of the compensation report included in the aforementioned Form 6-K is not incorporated by reference or otherwise included in this Form 20-F.</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Equity incentive plans</w:t>
      </w:r>
    </w:p>
    <w:p>
      <w:pPr>
        <w:spacing w:after="0" w:line="215" w:lineRule="exact"/>
        <w:rPr>
          <w:sz w:val="20"/>
          <w:szCs w:val="20"/>
          <w:color w:val="auto"/>
        </w:rPr>
      </w:pPr>
    </w:p>
    <w:p>
      <w:pPr>
        <w:ind w:left="40" w:right="79" w:firstLine="305"/>
        <w:spacing w:after="0" w:line="255" w:lineRule="auto"/>
        <w:rPr>
          <w:sz w:val="20"/>
          <w:szCs w:val="20"/>
          <w:color w:val="auto"/>
        </w:rPr>
      </w:pPr>
      <w:r>
        <w:rPr>
          <w:rFonts w:ascii="Times New Roman" w:cs="Times New Roman" w:eastAsia="Times New Roman" w:hAnsi="Times New Roman"/>
          <w:sz w:val="17"/>
          <w:szCs w:val="17"/>
          <w:color w:val="auto"/>
        </w:rPr>
        <w:t>In 2016, we ceased issuing new grants under our prior equity incentive plans, which we refer to as the Prior Plans, and adopted a new omnibus equity incentive plan under which we have the discretion to grant a broad range of equity-based awards to eligible participants.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Prior plan: C1</w:t>
      </w:r>
    </w:p>
    <w:p>
      <w:pPr>
        <w:spacing w:after="0" w:line="215" w:lineRule="exact"/>
        <w:rPr>
          <w:sz w:val="20"/>
          <w:szCs w:val="20"/>
          <w:color w:val="auto"/>
        </w:rPr>
      </w:pPr>
    </w:p>
    <w:p>
      <w:pPr>
        <w:ind w:left="40" w:right="199" w:firstLine="305"/>
        <w:spacing w:after="0" w:line="263" w:lineRule="auto"/>
        <w:rPr>
          <w:sz w:val="20"/>
          <w:szCs w:val="20"/>
          <w:color w:val="auto"/>
        </w:rPr>
      </w:pPr>
      <w:r>
        <w:rPr>
          <w:rFonts w:ascii="Times New Roman" w:cs="Times New Roman" w:eastAsia="Times New Roman" w:hAnsi="Times New Roman"/>
          <w:sz w:val="17"/>
          <w:szCs w:val="17"/>
          <w:color w:val="auto"/>
        </w:rPr>
        <w:t>Since our inception in 2003, we have had four separate Prior Plans under which stock options were granted (Prior Plans A, B and C2 have terminated): Options granted under Plan C1 from 2013 through the adoption of the current 2016 Stock Option and Incentive Plan (SOIP) were taxed upon exercise instead of at grant due to a change in taxation rules.</w:t>
      </w:r>
    </w:p>
    <w:p>
      <w:pPr>
        <w:spacing w:after="0" w:line="166" w:lineRule="exact"/>
        <w:rPr>
          <w:sz w:val="20"/>
          <w:szCs w:val="20"/>
          <w:color w:val="auto"/>
        </w:rPr>
      </w:pPr>
    </w:p>
    <w:p>
      <w:pPr>
        <w:jc w:val="both"/>
        <w:ind w:left="40" w:right="439" w:firstLine="305"/>
        <w:spacing w:after="0" w:line="258" w:lineRule="auto"/>
        <w:rPr>
          <w:sz w:val="20"/>
          <w:szCs w:val="20"/>
          <w:color w:val="auto"/>
        </w:rPr>
      </w:pPr>
      <w:r>
        <w:rPr>
          <w:rFonts w:ascii="Times New Roman" w:cs="Times New Roman" w:eastAsia="Times New Roman" w:hAnsi="Times New Roman"/>
          <w:sz w:val="17"/>
          <w:szCs w:val="17"/>
          <w:i w:val="1"/>
          <w:iCs w:val="1"/>
          <w:color w:val="auto"/>
        </w:rPr>
        <w:t>Plan administration</w:t>
      </w:r>
      <w:r>
        <w:rPr>
          <w:rFonts w:ascii="Times New Roman" w:cs="Times New Roman" w:eastAsia="Times New Roman" w:hAnsi="Times New Roman"/>
          <w:sz w:val="17"/>
          <w:szCs w:val="17"/>
          <w:color w:val="auto"/>
        </w:rPr>
        <w:t>. Under Plan C1, an option, which can only be granted with the approval of our board of directors,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evidenced by an option agreement signed by the participant to indicate his or her acceptance of the option and is subject to the terms and conditions of the applicable Prior Plan.</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Eligibility</w:t>
      </w:r>
      <w:r>
        <w:rPr>
          <w:rFonts w:ascii="Times New Roman" w:cs="Times New Roman" w:eastAsia="Times New Roman" w:hAnsi="Times New Roman"/>
          <w:sz w:val="17"/>
          <w:szCs w:val="17"/>
          <w:color w:val="auto"/>
        </w:rPr>
        <w:t>. Under Plan C1, options were granted to our directors, employees, advisors and agents.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37" w:name="page138"/>
    <w:bookmarkEnd w:id="13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Options exercise price</w:t>
      </w:r>
      <w:r>
        <w:rPr>
          <w:rFonts w:ascii="Times New Roman" w:cs="Times New Roman" w:eastAsia="Times New Roman" w:hAnsi="Times New Roman"/>
          <w:sz w:val="17"/>
          <w:szCs w:val="17"/>
          <w:color w:val="auto"/>
        </w:rPr>
        <w:t>. The exercise price of all options issued under the Prior Plan is CHF 0.15.</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Vesting period</w:t>
      </w:r>
      <w:r>
        <w:rPr>
          <w:rFonts w:ascii="Times New Roman" w:cs="Times New Roman" w:eastAsia="Times New Roman" w:hAnsi="Times New Roman"/>
          <w:sz w:val="17"/>
          <w:szCs w:val="17"/>
          <w:color w:val="auto"/>
        </w:rPr>
        <w:t>. Under Plan C1, the options vesting period was 4 years with 25% of the options vesting each year.</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 xml:space="preserve">Expiration period. </w:t>
      </w:r>
      <w:r>
        <w:rPr>
          <w:rFonts w:ascii="Times New Roman" w:cs="Times New Roman" w:eastAsia="Times New Roman" w:hAnsi="Times New Roman"/>
          <w:sz w:val="17"/>
          <w:szCs w:val="17"/>
          <w:color w:val="auto"/>
        </w:rPr>
        <w:t>The expiry dates for each plan are as follows:</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Plan C1: 10 years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Amendment</w:t>
      </w:r>
      <w:r>
        <w:rPr>
          <w:rFonts w:ascii="Times New Roman" w:cs="Times New Roman" w:eastAsia="Times New Roman" w:hAnsi="Times New Roman"/>
          <w:sz w:val="17"/>
          <w:szCs w:val="17"/>
          <w:color w:val="auto"/>
        </w:rPr>
        <w:t>. Our board of directors has the authority to amend each of the Prior Plans.</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2016 SOIP</w:t>
      </w:r>
    </w:p>
    <w:p>
      <w:pPr>
        <w:spacing w:after="0" w:line="215" w:lineRule="exact"/>
        <w:rPr>
          <w:sz w:val="20"/>
          <w:szCs w:val="20"/>
          <w:color w:val="auto"/>
        </w:rPr>
      </w:pPr>
    </w:p>
    <w:p>
      <w:pPr>
        <w:ind w:left="40" w:right="139" w:firstLine="305"/>
        <w:spacing w:after="0" w:line="248" w:lineRule="auto"/>
        <w:rPr>
          <w:sz w:val="20"/>
          <w:szCs w:val="20"/>
          <w:color w:val="auto"/>
        </w:rPr>
      </w:pPr>
      <w:r>
        <w:rPr>
          <w:rFonts w:ascii="Times New Roman" w:cs="Times New Roman" w:eastAsia="Times New Roman" w:hAnsi="Times New Roman"/>
          <w:sz w:val="17"/>
          <w:szCs w:val="17"/>
          <w:color w:val="auto"/>
        </w:rPr>
        <w:t>At the November 15, 2016 AGM of the Company, our board of directors approved the 2016 SOIP (as amended and restated the “2016 SOIP”). In June 2019, the Board authorized, and the shareholders approved, an amendment and restatement of the 2016 SOIP to increase the maximum number of shares reserved for issuance under the 2016 SOIP. In October 2019, the Board authorized a second amendment and restatement of the 2016 SOIP (which did not require shareholder approval). As of December 31, 2025, the maximum number of shares available for issuance under the 2016 SOIP is 4,502,867 common shares. The shares available for issuance under the 2016 SOIP were initially registered with the SEC on a Form S-8 on March 8, 2017, and additional shares were registered on a Form S-8 on August 5, 2019. As of December 31, 2025, there were a total of 4,815,928 shares underlying options that were exercisable and 5,518,564 shares underlying outstanding options and 763,816 shares underlying outstanding restricted share units issued from both our Prior Plans and the 2016 SOIP.</w:t>
      </w:r>
    </w:p>
    <w:p>
      <w:pPr>
        <w:spacing w:after="0" w:line="183" w:lineRule="exact"/>
        <w:rPr>
          <w:sz w:val="20"/>
          <w:szCs w:val="20"/>
          <w:color w:val="auto"/>
        </w:rPr>
      </w:pPr>
    </w:p>
    <w:p>
      <w:pPr>
        <w:ind w:left="40" w:right="199" w:firstLine="305"/>
        <w:spacing w:after="0" w:line="260" w:lineRule="auto"/>
        <w:rPr>
          <w:sz w:val="20"/>
          <w:szCs w:val="20"/>
          <w:color w:val="auto"/>
        </w:rPr>
      </w:pPr>
      <w:r>
        <w:rPr>
          <w:rFonts w:ascii="Times New Roman" w:cs="Times New Roman" w:eastAsia="Times New Roman" w:hAnsi="Times New Roman"/>
          <w:sz w:val="17"/>
          <w:szCs w:val="17"/>
          <w:i w:val="1"/>
          <w:iCs w:val="1"/>
          <w:color w:val="auto"/>
        </w:rPr>
        <w:t>Plan Administration</w:t>
      </w:r>
      <w:r>
        <w:rPr>
          <w:rFonts w:ascii="Times New Roman" w:cs="Times New Roman" w:eastAsia="Times New Roman" w:hAnsi="Times New Roman"/>
          <w:sz w:val="17"/>
          <w:szCs w:val="17"/>
          <w:color w:val="auto"/>
        </w:rPr>
        <w:t>. The 2016 SOIP is administered by either our board of directors or the compensation committee, or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similar committee performing the functions of the compensation committee. Approval of the plan administrator is required for all grants of awards under the 2016 SOIP, but the administrator may delegate to our CEO the authority to grant awards, subject to certain limitations set forth on the plan.</w:t>
      </w:r>
    </w:p>
    <w:p>
      <w:pPr>
        <w:spacing w:after="0" w:line="168" w:lineRule="exact"/>
        <w:rPr>
          <w:sz w:val="20"/>
          <w:szCs w:val="20"/>
          <w:color w:val="auto"/>
        </w:rPr>
      </w:pPr>
    </w:p>
    <w:p>
      <w:pPr>
        <w:jc w:val="both"/>
        <w:ind w:left="40" w:right="139" w:firstLine="305"/>
        <w:spacing w:after="0" w:line="315" w:lineRule="auto"/>
        <w:rPr>
          <w:sz w:val="20"/>
          <w:szCs w:val="20"/>
          <w:color w:val="auto"/>
        </w:rPr>
      </w:pPr>
      <w:r>
        <w:rPr>
          <w:rFonts w:ascii="Times New Roman" w:cs="Times New Roman" w:eastAsia="Times New Roman" w:hAnsi="Times New Roman"/>
          <w:sz w:val="16"/>
          <w:szCs w:val="16"/>
          <w:i w:val="1"/>
          <w:iCs w:val="1"/>
          <w:color w:val="auto"/>
        </w:rPr>
        <w:t xml:space="preserve">Awards. </w:t>
      </w:r>
      <w:r>
        <w:rPr>
          <w:rFonts w:ascii="Times New Roman" w:cs="Times New Roman" w:eastAsia="Times New Roman" w:hAnsi="Times New Roman"/>
          <w:sz w:val="16"/>
          <w:szCs w:val="16"/>
          <w:color w:val="auto"/>
        </w:rPr>
        <w:t>Awards may be granted in the form of incentive stock options, non-qualified stock options, stock appreciation rights,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restricted share units, restricted share awards, unrestricted share awards, performance share awards and dividend equivalent rights.</w:t>
      </w:r>
    </w:p>
    <w:p>
      <w:pPr>
        <w:spacing w:after="0" w:line="126" w:lineRule="exact"/>
        <w:rPr>
          <w:sz w:val="20"/>
          <w:szCs w:val="20"/>
          <w:color w:val="auto"/>
        </w:rPr>
      </w:pPr>
    </w:p>
    <w:p>
      <w:pPr>
        <w:ind w:left="40" w:right="99" w:firstLine="305"/>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Eligibility. </w:t>
      </w:r>
      <w:r>
        <w:rPr>
          <w:rFonts w:ascii="Times New Roman" w:cs="Times New Roman" w:eastAsia="Times New Roman" w:hAnsi="Times New Roman"/>
          <w:sz w:val="17"/>
          <w:szCs w:val="17"/>
          <w:color w:val="auto"/>
        </w:rPr>
        <w:t>Under the 2016 SOIP, full or part-time officers and other employees, non-employee directors and consultants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and its subsidiaries who are selected by the administrator are eligible to participate in the plan.</w:t>
      </w:r>
    </w:p>
    <w:p>
      <w:pPr>
        <w:spacing w:after="0" w:line="162" w:lineRule="exact"/>
        <w:rPr>
          <w:sz w:val="20"/>
          <w:szCs w:val="20"/>
          <w:color w:val="auto"/>
        </w:rPr>
      </w:pPr>
    </w:p>
    <w:p>
      <w:pPr>
        <w:jc w:val="both"/>
        <w:ind w:left="40" w:right="239" w:firstLine="305"/>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Options exercise price. </w:t>
      </w:r>
      <w:r>
        <w:rPr>
          <w:rFonts w:ascii="Times New Roman" w:cs="Times New Roman" w:eastAsia="Times New Roman" w:hAnsi="Times New Roman"/>
          <w:sz w:val="17"/>
          <w:szCs w:val="17"/>
          <w:color w:val="auto"/>
        </w:rPr>
        <w:t>Under the 2016 SOIP, the option exercise price is determined by the plan administrator at the time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grant, but will not be less than fair market value (as defined in the 2016 SOIP) on the grant date, and for incentive stock options granted to any employee who is a 10 percent owner in the Company, will not be less than 110 percent of the fair market value on the grant date.</w:t>
      </w:r>
    </w:p>
    <w:p>
      <w:pPr>
        <w:spacing w:after="0" w:line="168" w:lineRule="exact"/>
        <w:rPr>
          <w:sz w:val="20"/>
          <w:szCs w:val="20"/>
          <w:color w:val="auto"/>
        </w:rPr>
      </w:pPr>
    </w:p>
    <w:p>
      <w:pPr>
        <w:ind w:left="40" w:right="219" w:firstLine="305"/>
        <w:spacing w:after="0" w:line="282" w:lineRule="auto"/>
        <w:rPr>
          <w:sz w:val="20"/>
          <w:szCs w:val="20"/>
          <w:color w:val="auto"/>
        </w:rPr>
      </w:pPr>
      <w:r>
        <w:rPr>
          <w:rFonts w:ascii="Times New Roman" w:cs="Times New Roman" w:eastAsia="Times New Roman" w:hAnsi="Times New Roman"/>
          <w:sz w:val="17"/>
          <w:szCs w:val="17"/>
          <w:i w:val="1"/>
          <w:iCs w:val="1"/>
          <w:color w:val="auto"/>
        </w:rPr>
        <w:t xml:space="preserve">Vesting period. </w:t>
      </w:r>
      <w:r>
        <w:rPr>
          <w:rFonts w:ascii="Times New Roman" w:cs="Times New Roman" w:eastAsia="Times New Roman" w:hAnsi="Times New Roman"/>
          <w:sz w:val="17"/>
          <w:szCs w:val="17"/>
          <w:color w:val="auto"/>
        </w:rPr>
        <w:t>Vesting conditions are determined by the administrator at the time of grant and are specified in the applicable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award certificate.</w:t>
      </w:r>
    </w:p>
    <w:p>
      <w:pPr>
        <w:spacing w:after="0" w:line="137" w:lineRule="exact"/>
        <w:rPr>
          <w:sz w:val="20"/>
          <w:szCs w:val="20"/>
          <w:color w:val="auto"/>
        </w:rPr>
      </w:pPr>
    </w:p>
    <w:p>
      <w:pPr>
        <w:ind w:left="40" w:right="579" w:firstLine="305"/>
        <w:spacing w:after="0" w:line="282" w:lineRule="auto"/>
        <w:rPr>
          <w:sz w:val="20"/>
          <w:szCs w:val="20"/>
          <w:color w:val="auto"/>
        </w:rPr>
      </w:pPr>
      <w:r>
        <w:rPr>
          <w:rFonts w:ascii="Times New Roman" w:cs="Times New Roman" w:eastAsia="Times New Roman" w:hAnsi="Times New Roman"/>
          <w:sz w:val="17"/>
          <w:szCs w:val="17"/>
          <w:i w:val="1"/>
          <w:iCs w:val="1"/>
          <w:color w:val="auto"/>
        </w:rPr>
        <w:t xml:space="preserve">Accelerated vesting. </w:t>
      </w:r>
      <w:r>
        <w:rPr>
          <w:rFonts w:ascii="Times New Roman" w:cs="Times New Roman" w:eastAsia="Times New Roman" w:hAnsi="Times New Roman"/>
          <w:sz w:val="17"/>
          <w:szCs w:val="17"/>
          <w:color w:val="auto"/>
        </w:rPr>
        <w:t>The administrator may accelerate the exercisability or vesting of all or any portion of any award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circumstances involving the grantee’s death, disability, retirement or termination of employment, or a change in control.</w:t>
      </w:r>
    </w:p>
    <w:p>
      <w:pPr>
        <w:spacing w:after="0" w:line="1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Amendment</w:t>
      </w:r>
      <w:r>
        <w:rPr>
          <w:rFonts w:ascii="Times New Roman" w:cs="Times New Roman" w:eastAsia="Times New Roman" w:hAnsi="Times New Roman"/>
          <w:sz w:val="17"/>
          <w:szCs w:val="17"/>
          <w:color w:val="auto"/>
        </w:rPr>
        <w:t>. Our board of directors has the authority to amend the 2016 SOIP.</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Equity compensation</w:t>
      </w:r>
    </w:p>
    <w:p>
      <w:pPr>
        <w:spacing w:after="0" w:line="215" w:lineRule="exact"/>
        <w:rPr>
          <w:sz w:val="20"/>
          <w:szCs w:val="20"/>
          <w:color w:val="auto"/>
        </w:rPr>
      </w:pPr>
    </w:p>
    <w:p>
      <w:pPr>
        <w:ind w:left="40" w:right="179" w:firstLine="305"/>
        <w:spacing w:after="0" w:line="277" w:lineRule="auto"/>
        <w:rPr>
          <w:sz w:val="20"/>
          <w:szCs w:val="20"/>
          <w:color w:val="auto"/>
        </w:rPr>
      </w:pPr>
      <w:r>
        <w:rPr>
          <w:rFonts w:ascii="Times New Roman" w:cs="Times New Roman" w:eastAsia="Times New Roman" w:hAnsi="Times New Roman"/>
          <w:sz w:val="17"/>
          <w:szCs w:val="17"/>
          <w:color w:val="auto"/>
        </w:rPr>
        <w:t>For the fiscal year ended December 31, 2025, the Company has granted our directors and executive officers, in the aggregate, options for the right to acquire 708,021 shares at an exercise price ranging from USD 1.84 to USD 2.91 per</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329565</wp:posOffset>
            </wp:positionV>
            <wp:extent cx="5657850" cy="241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38" w:name="page139"/>
    <w:bookmarkEnd w:id="13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139"/>
        <w:spacing w:after="0" w:line="255" w:lineRule="auto"/>
        <w:rPr>
          <w:sz w:val="20"/>
          <w:szCs w:val="20"/>
          <w:color w:val="auto"/>
        </w:rPr>
      </w:pPr>
      <w:r>
        <w:rPr>
          <w:rFonts w:ascii="Times New Roman" w:cs="Times New Roman" w:eastAsia="Times New Roman" w:hAnsi="Times New Roman"/>
          <w:sz w:val="17"/>
          <w:szCs w:val="17"/>
          <w:color w:val="auto"/>
        </w:rPr>
        <w:t>share, which vest either over a 1 year or 3 year period with vesting to occur quarterly or annually depending on the nature of the award. The expiration date for these options granted in 2025 is 2035. The Company also granted to our directors and executive officers a total of 900,516 restricted share units in 2025. Restricted share units granted to directors vest over a 1 year period with vesting to occur annually, depending on the nature of the award. Restricted share units granted to executive officers vest over a 1 year or 3 year period with vesting to occur quarterly or semi-annually. Please see “Note 18. Share-based compensation” for further detail.</w:t>
      </w:r>
    </w:p>
    <w:p>
      <w:pPr>
        <w:spacing w:after="0" w:line="171" w:lineRule="exact"/>
        <w:rPr>
          <w:sz w:val="20"/>
          <w:szCs w:val="20"/>
          <w:color w:val="auto"/>
        </w:rPr>
      </w:pPr>
    </w:p>
    <w:p>
      <w:pPr>
        <w:ind w:left="40" w:right="6519" w:firstLine="5"/>
        <w:spacing w:after="0" w:line="493" w:lineRule="auto"/>
        <w:tabs>
          <w:tab w:leader="none" w:pos="345" w:val="left"/>
        </w:tabs>
        <w:numPr>
          <w:ilvl w:val="0"/>
          <w:numId w:val="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Board practices Composition of board of directors</w:t>
      </w:r>
    </w:p>
    <w:p>
      <w:pPr>
        <w:ind w:left="40" w:right="99" w:firstLine="305"/>
        <w:spacing w:after="0" w:line="258" w:lineRule="auto"/>
        <w:rPr>
          <w:sz w:val="20"/>
          <w:szCs w:val="20"/>
          <w:color w:val="auto"/>
        </w:rPr>
      </w:pPr>
      <w:r>
        <w:rPr>
          <w:rFonts w:ascii="Times New Roman" w:cs="Times New Roman" w:eastAsia="Times New Roman" w:hAnsi="Times New Roman"/>
          <w:sz w:val="17"/>
          <w:szCs w:val="17"/>
          <w:color w:val="auto"/>
        </w:rPr>
        <w:t>Our board of directors is composed of seven directors. Each director is elected for a 1-year renewable term until the next Annual General Meeting (AGM). The current members of our board of directors were appointed at the AGM held on June 19, 2025 to serve until the 2026 AGM to be held in June 2026. There are currently no service contracts in effect between us and any of our directors regarding their board responsibilities.</w:t>
      </w:r>
    </w:p>
    <w:p>
      <w:pPr>
        <w:spacing w:after="0" w:line="175" w:lineRule="exact"/>
        <w:rPr>
          <w:sz w:val="20"/>
          <w:szCs w:val="20"/>
          <w:color w:val="auto"/>
        </w:rPr>
      </w:pPr>
    </w:p>
    <w:p>
      <w:pPr>
        <w:jc w:val="both"/>
        <w:ind w:left="40" w:right="379" w:firstLine="305"/>
        <w:spacing w:after="0" w:line="279" w:lineRule="auto"/>
        <w:rPr>
          <w:sz w:val="20"/>
          <w:szCs w:val="20"/>
          <w:color w:val="auto"/>
        </w:rPr>
      </w:pPr>
      <w:r>
        <w:rPr>
          <w:rFonts w:ascii="Times New Roman" w:cs="Times New Roman" w:eastAsia="Times New Roman" w:hAnsi="Times New Roman"/>
          <w:sz w:val="16"/>
          <w:szCs w:val="16"/>
          <w:color w:val="auto"/>
        </w:rPr>
        <w:t>We are a foreign private issuer. As a result, in accordance with the Nasdaq stock exchange listing requirements, we rely on home country governance requirements and certain exemptions thereunder rather than relying on the stock exchange corporate governance requirements. For an overview of our corporate governance principles, see “Item 16G. Corporate governance.”</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Board meetings</w:t>
      </w:r>
    </w:p>
    <w:p>
      <w:pPr>
        <w:spacing w:after="0" w:line="215" w:lineRule="exact"/>
        <w:rPr>
          <w:sz w:val="20"/>
          <w:szCs w:val="20"/>
          <w:color w:val="auto"/>
        </w:rPr>
      </w:pPr>
    </w:p>
    <w:p>
      <w:pPr>
        <w:ind w:left="40" w:right="239" w:firstLine="305"/>
        <w:spacing w:after="0" w:line="258" w:lineRule="auto"/>
        <w:rPr>
          <w:sz w:val="20"/>
          <w:szCs w:val="20"/>
          <w:color w:val="auto"/>
        </w:rPr>
      </w:pPr>
      <w:r>
        <w:rPr>
          <w:rFonts w:ascii="Times New Roman" w:cs="Times New Roman" w:eastAsia="Times New Roman" w:hAnsi="Times New Roman"/>
          <w:sz w:val="17"/>
          <w:szCs w:val="17"/>
          <w:color w:val="auto"/>
        </w:rPr>
        <w:t>Our Board of Directors met in accordance with their respective mandate both physically, by video-conference and telephonically throughout 2025. The Board members analyzed the scientific, business, financial, organizational and legal risks of the Company based on the external factors and internal changes that could potentially impact the risks for the Company in the future.</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215" w:lineRule="exact"/>
        <w:rPr>
          <w:sz w:val="20"/>
          <w:szCs w:val="20"/>
          <w:color w:val="auto"/>
        </w:rPr>
      </w:pPr>
    </w:p>
    <w:p>
      <w:pPr>
        <w:ind w:left="40" w:right="119" w:firstLine="305"/>
        <w:spacing w:after="0" w:line="269" w:lineRule="auto"/>
        <w:rPr>
          <w:sz w:val="20"/>
          <w:szCs w:val="20"/>
          <w:color w:val="auto"/>
        </w:rPr>
      </w:pPr>
      <w:r>
        <w:rPr>
          <w:rFonts w:ascii="Times New Roman" w:cs="Times New Roman" w:eastAsia="Times New Roman" w:hAnsi="Times New Roman"/>
          <w:sz w:val="16"/>
          <w:szCs w:val="16"/>
          <w:color w:val="auto"/>
        </w:rPr>
        <w:t>As a foreign private issuer, under the listing requirements and rules of Nasdaq, we are not required to have independent directors on our board of directors, except to the extent that our audit and finance committee is required to comply with independence requirements, subject to certain phase-in schedules. However, our board of directors has determined that, under current listing requirements and rules of Nasdaq (which we are not subject to) and considering any applicable committee independence standards, Douglas Williams, Werner Lanthaler, Roy Twyman, Carl June, Monika Bütler and Monica Shaw are “independent directors.” In making such determination, our board of directors considered the relationships that each non-employee director has with us and all other facts and circumstances our board of directors deemed relevant in determining the director’s independence, including the number of common shares beneficially owned by the director and his or her affiliated entities, if any.</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Committees of the board of directors</w:t>
      </w:r>
    </w:p>
    <w:p>
      <w:pPr>
        <w:spacing w:after="0" w:line="215" w:lineRule="exact"/>
        <w:rPr>
          <w:sz w:val="20"/>
          <w:szCs w:val="20"/>
          <w:color w:val="auto"/>
        </w:rPr>
      </w:pPr>
    </w:p>
    <w:p>
      <w:pPr>
        <w:ind w:left="40" w:right="259" w:firstLine="305"/>
        <w:spacing w:after="0" w:line="277" w:lineRule="auto"/>
        <w:rPr>
          <w:sz w:val="20"/>
          <w:szCs w:val="20"/>
          <w:color w:val="auto"/>
        </w:rPr>
      </w:pPr>
      <w:r>
        <w:rPr>
          <w:rFonts w:ascii="Times New Roman" w:cs="Times New Roman" w:eastAsia="Times New Roman" w:hAnsi="Times New Roman"/>
          <w:sz w:val="17"/>
          <w:szCs w:val="17"/>
          <w:color w:val="auto"/>
        </w:rPr>
        <w:t>Our board of directors established two separate permanent committees: an audit and finance committee and a compensation, nomination and corporate governance committee.</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Audit and finance committee</w:t>
      </w:r>
    </w:p>
    <w:p>
      <w:pPr>
        <w:spacing w:after="0" w:line="215" w:lineRule="exact"/>
        <w:rPr>
          <w:sz w:val="20"/>
          <w:szCs w:val="20"/>
          <w:color w:val="auto"/>
        </w:rPr>
      </w:pPr>
    </w:p>
    <w:p>
      <w:pPr>
        <w:ind w:left="40" w:right="159" w:firstLine="305"/>
        <w:spacing w:after="0" w:line="251" w:lineRule="auto"/>
        <w:rPr>
          <w:sz w:val="20"/>
          <w:szCs w:val="20"/>
          <w:color w:val="auto"/>
        </w:rPr>
      </w:pPr>
      <w:r>
        <w:rPr>
          <w:rFonts w:ascii="Times New Roman" w:cs="Times New Roman" w:eastAsia="Times New Roman" w:hAnsi="Times New Roman"/>
          <w:sz w:val="17"/>
          <w:szCs w:val="17"/>
          <w:color w:val="auto"/>
        </w:rPr>
        <w:t>The audit and finance committee, which consists of Monika Bütler (Chair), Monica Shaw (Member), and Douglas Williams (Member), assists our board of directors in overseeing our accounting and financial reporting processes and the audits of our consolidated financial statements. In addition, the audit and finance committee is directly responsible for the appointment, compensation, retention and oversight of the work of our independent registered public accounting firm. The audit and finance committee consists exclusively of members of our board who are financially literate, and Monika Bütler is considered to be “audit committee financial expert” as defined by the SEC. Our board of directors has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39" w:name="page140"/>
    <w:bookmarkEnd w:id="13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759"/>
        <w:spacing w:after="0" w:line="277" w:lineRule="auto"/>
        <w:rPr>
          <w:sz w:val="20"/>
          <w:szCs w:val="20"/>
          <w:color w:val="auto"/>
        </w:rPr>
      </w:pPr>
      <w:r>
        <w:rPr>
          <w:rFonts w:ascii="Times New Roman" w:cs="Times New Roman" w:eastAsia="Times New Roman" w:hAnsi="Times New Roman"/>
          <w:sz w:val="17"/>
          <w:szCs w:val="17"/>
          <w:color w:val="auto"/>
        </w:rPr>
        <w:t>determined that Monika Bütler, Monica Shaw and Douglas Williams satisfy the “independence” requirements set forth in Rule 10A-3 under the Exchange Act.</w:t>
      </w:r>
    </w:p>
    <w:p>
      <w:pPr>
        <w:spacing w:after="0" w:line="158" w:lineRule="exact"/>
        <w:rPr>
          <w:sz w:val="20"/>
          <w:szCs w:val="20"/>
          <w:color w:val="auto"/>
        </w:rPr>
      </w:pPr>
    </w:p>
    <w:p>
      <w:pPr>
        <w:ind w:left="40" w:right="259" w:firstLine="305"/>
        <w:spacing w:after="0" w:line="277" w:lineRule="auto"/>
        <w:rPr>
          <w:sz w:val="20"/>
          <w:szCs w:val="20"/>
          <w:color w:val="auto"/>
        </w:rPr>
      </w:pPr>
      <w:r>
        <w:rPr>
          <w:rFonts w:ascii="Times New Roman" w:cs="Times New Roman" w:eastAsia="Times New Roman" w:hAnsi="Times New Roman"/>
          <w:sz w:val="17"/>
          <w:szCs w:val="17"/>
          <w:color w:val="auto"/>
        </w:rPr>
        <w:t>The audit and finance committee is governed by a charter that complies with Nasdaq rules. The audit and finance committee has the responsibility to, among other things:</w:t>
      </w:r>
    </w:p>
    <w:p>
      <w:pPr>
        <w:spacing w:after="0" w:line="158" w:lineRule="exact"/>
        <w:rPr>
          <w:sz w:val="20"/>
          <w:szCs w:val="20"/>
          <w:color w:val="auto"/>
        </w:rPr>
      </w:pPr>
    </w:p>
    <w:p>
      <w:pPr>
        <w:ind w:left="680" w:hanging="305"/>
        <w:spacing w:after="0"/>
        <w:tabs>
          <w:tab w:leader="none" w:pos="68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assess the qualifications, independence, performance and effectiveness of the independent auditor;</w:t>
      </w:r>
    </w:p>
    <w:p>
      <w:pPr>
        <w:spacing w:after="0" w:line="210" w:lineRule="exact"/>
        <w:rPr>
          <w:rFonts w:ascii="Times New Roman" w:cs="Times New Roman" w:eastAsia="Times New Roman" w:hAnsi="Times New Roman"/>
          <w:sz w:val="17"/>
          <w:szCs w:val="17"/>
          <w:color w:val="auto"/>
        </w:rPr>
      </w:pPr>
    </w:p>
    <w:p>
      <w:pPr>
        <w:ind w:left="680" w:right="159" w:hanging="305"/>
        <w:spacing w:after="0" w:line="277" w:lineRule="auto"/>
        <w:tabs>
          <w:tab w:leader="none" w:pos="68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the scope of the prospective audit by the independent auditor, the estimated fees, and any other matters pertaining to the audit;</w:t>
      </w:r>
    </w:p>
    <w:p>
      <w:pPr>
        <w:spacing w:after="0" w:line="157" w:lineRule="exact"/>
        <w:rPr>
          <w:rFonts w:ascii="Times New Roman" w:cs="Times New Roman" w:eastAsia="Times New Roman" w:hAnsi="Times New Roman"/>
          <w:sz w:val="17"/>
          <w:szCs w:val="17"/>
          <w:color w:val="auto"/>
        </w:rPr>
      </w:pPr>
    </w:p>
    <w:p>
      <w:pPr>
        <w:ind w:left="680" w:right="499" w:hanging="305"/>
        <w:spacing w:after="0" w:line="277" w:lineRule="auto"/>
        <w:tabs>
          <w:tab w:leader="none" w:pos="68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any audit and non-audit services proposed to be provided by the independent auditor to ensure independent auditor independence;</w:t>
      </w:r>
    </w:p>
    <w:p>
      <w:pPr>
        <w:spacing w:after="0" w:line="157" w:lineRule="exact"/>
        <w:rPr>
          <w:rFonts w:ascii="Times New Roman" w:cs="Times New Roman" w:eastAsia="Times New Roman" w:hAnsi="Times New Roman"/>
          <w:sz w:val="17"/>
          <w:szCs w:val="17"/>
          <w:color w:val="auto"/>
        </w:rPr>
      </w:pPr>
    </w:p>
    <w:p>
      <w:pPr>
        <w:ind w:left="680" w:right="199" w:hanging="305"/>
        <w:spacing w:after="0" w:line="263" w:lineRule="auto"/>
        <w:tabs>
          <w:tab w:leader="none" w:pos="68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assess the independent auditor’s report and management letters and take notice of all comments of the independent auditor on accounting procedures and systems of control, and review the independent auditor’s reports with management;</w:t>
      </w:r>
    </w:p>
    <w:p>
      <w:pPr>
        <w:spacing w:after="0" w:line="169"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responsible for the resolution of disagreements between the management and the independent auditor;</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evaluate the lead audit partner of the independent audit team and confirm and evaluate their rotation;</w:t>
      </w:r>
    </w:p>
    <w:p>
      <w:pPr>
        <w:spacing w:after="0" w:line="210" w:lineRule="exact"/>
        <w:rPr>
          <w:rFonts w:ascii="Times New Roman" w:cs="Times New Roman" w:eastAsia="Times New Roman" w:hAnsi="Times New Roman"/>
          <w:sz w:val="17"/>
          <w:szCs w:val="17"/>
          <w:color w:val="auto"/>
        </w:rPr>
      </w:pPr>
    </w:p>
    <w:p>
      <w:pPr>
        <w:ind w:left="680" w:right="419" w:hanging="305"/>
        <w:spacing w:after="0" w:line="253" w:lineRule="auto"/>
        <w:tabs>
          <w:tab w:leader="none" w:pos="68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discuss all (i) consolidated financial statements, (ii) reports intended for publication and (iii) any other financial statements intended for publication to consider significant financial reporting issues and judgments made in connection with the preparation of our consolidated financial statements, including any significant changes in our selection or application of accounting principles;</w:t>
      </w:r>
    </w:p>
    <w:p>
      <w:pPr>
        <w:spacing w:after="0" w:line="178"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the quarterly condensed consolidated financial statements;</w:t>
      </w:r>
    </w:p>
    <w:p>
      <w:pPr>
        <w:spacing w:after="0" w:line="210" w:lineRule="exact"/>
        <w:rPr>
          <w:rFonts w:ascii="Times New Roman" w:cs="Times New Roman" w:eastAsia="Times New Roman" w:hAnsi="Times New Roman"/>
          <w:sz w:val="17"/>
          <w:szCs w:val="17"/>
          <w:color w:val="auto"/>
        </w:rPr>
      </w:pPr>
    </w:p>
    <w:p>
      <w:pPr>
        <w:ind w:left="680" w:right="99" w:hanging="305"/>
        <w:spacing w:after="0" w:line="252" w:lineRule="auto"/>
        <w:tabs>
          <w:tab w:leader="none" w:pos="68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with the management, personnel responsible for the design and implementation of the internal audit function, and the independent auditor in separate meetings any analysis or other written communication prepared by the management and/or the independent auditor setting forth significant financial reporting issues and judgments made in connection with the preparation of the consolidated financial statements, including critical accounting policies, the effect of regulatory and accounting initiatives, and off-balance sheet transactions and structures on our consolidated financial statements;</w:t>
      </w:r>
    </w:p>
    <w:p>
      <w:pPr>
        <w:spacing w:after="0" w:line="179" w:lineRule="exact"/>
        <w:rPr>
          <w:rFonts w:ascii="Times New Roman" w:cs="Times New Roman" w:eastAsia="Times New Roman" w:hAnsi="Times New Roman"/>
          <w:sz w:val="17"/>
          <w:szCs w:val="17"/>
          <w:color w:val="auto"/>
        </w:rPr>
      </w:pPr>
    </w:p>
    <w:p>
      <w:pPr>
        <w:ind w:left="680" w:right="319" w:hanging="305"/>
        <w:spacing w:after="0" w:line="277" w:lineRule="auto"/>
        <w:tabs>
          <w:tab w:leader="none" w:pos="68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in cooperation with the independent auditor and the management whether the accounting principles applied are appropriate in view of our size and complexity;</w:t>
      </w:r>
    </w:p>
    <w:p>
      <w:pPr>
        <w:spacing w:after="0" w:line="157" w:lineRule="exact"/>
        <w:rPr>
          <w:rFonts w:ascii="Times New Roman" w:cs="Times New Roman" w:eastAsia="Times New Roman" w:hAnsi="Times New Roman"/>
          <w:sz w:val="17"/>
          <w:szCs w:val="17"/>
          <w:color w:val="auto"/>
        </w:rPr>
      </w:pPr>
    </w:p>
    <w:p>
      <w:pPr>
        <w:ind w:left="680" w:right="119" w:hanging="305"/>
        <w:spacing w:after="0" w:line="263" w:lineRule="auto"/>
        <w:tabs>
          <w:tab w:leader="none" w:pos="68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periodically review our policies and procedures for risk management and assess the effectiveness thereof, including discussing with management our major financial risk exposures and the steps that have been taken to monitor and control such exposure;</w:t>
      </w:r>
    </w:p>
    <w:p>
      <w:pPr>
        <w:spacing w:after="0" w:line="169" w:lineRule="exact"/>
        <w:rPr>
          <w:rFonts w:ascii="Times New Roman" w:cs="Times New Roman" w:eastAsia="Times New Roman" w:hAnsi="Times New Roman"/>
          <w:sz w:val="17"/>
          <w:szCs w:val="17"/>
          <w:color w:val="auto"/>
        </w:rPr>
      </w:pPr>
    </w:p>
    <w:p>
      <w:pPr>
        <w:ind w:left="680" w:right="159" w:hanging="305"/>
        <w:spacing w:after="0" w:line="263" w:lineRule="auto"/>
        <w:tabs>
          <w:tab w:leader="none" w:pos="68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 with management and external advisors any legal matters that may have a material impact on our consolidated financial statements and any material reports or inquiries from regulatory or governmental agencies that could materially impact our contingent liabilities and risks;</w:t>
      </w:r>
    </w:p>
    <w:p>
      <w:pPr>
        <w:spacing w:after="0" w:line="169" w:lineRule="exact"/>
        <w:rPr>
          <w:rFonts w:ascii="Times New Roman" w:cs="Times New Roman" w:eastAsia="Times New Roman" w:hAnsi="Times New Roman"/>
          <w:sz w:val="17"/>
          <w:szCs w:val="17"/>
          <w:color w:val="auto"/>
        </w:rPr>
      </w:pPr>
    </w:p>
    <w:p>
      <w:pPr>
        <w:ind w:left="680" w:right="739" w:hanging="305"/>
        <w:spacing w:after="0" w:line="310" w:lineRule="auto"/>
        <w:tabs>
          <w:tab w:leader="none" w:pos="68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our disclosure controls and procedures and internal control over financial reporting, including significant deficiencies and material weaknesses in the design or operation of internal controls over financial reporting;</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40" w:name="page141"/>
    <w:bookmarkEnd w:id="14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80" w:right="99" w:hanging="305"/>
        <w:spacing w:after="0" w:line="263" w:lineRule="auto"/>
        <w:tabs>
          <w:tab w:leader="none" w:pos="68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procedures for the receipt, retention and treatment of complaints received regarding accounting, internal accounting controls or auditing matters, and the confidential, anonymous submission by employees of concerns regarding questionable accounting or auditing matters; and</w:t>
      </w:r>
    </w:p>
    <w:p>
      <w:pPr>
        <w:spacing w:after="0" w:line="169"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approve or ratify any related-person transaction in accordance with our related-person transaction policy.</w:t>
      </w:r>
    </w:p>
    <w:p>
      <w:pPr>
        <w:spacing w:after="0" w:line="211" w:lineRule="exact"/>
        <w:rPr>
          <w:sz w:val="20"/>
          <w:szCs w:val="20"/>
          <w:color w:val="auto"/>
        </w:rPr>
      </w:pPr>
    </w:p>
    <w:p>
      <w:pPr>
        <w:ind w:left="40" w:right="279" w:firstLine="305"/>
        <w:spacing w:after="0" w:line="277" w:lineRule="auto"/>
        <w:rPr>
          <w:sz w:val="20"/>
          <w:szCs w:val="20"/>
          <w:color w:val="auto"/>
        </w:rPr>
      </w:pPr>
      <w:r>
        <w:rPr>
          <w:rFonts w:ascii="Times New Roman" w:cs="Times New Roman" w:eastAsia="Times New Roman" w:hAnsi="Times New Roman"/>
          <w:sz w:val="17"/>
          <w:szCs w:val="17"/>
          <w:color w:val="auto"/>
        </w:rPr>
        <w:t>The audit and finance committee will meet as often as it determines is appropriate to carry out its responsibilities, but in any event will meet at least four times per year.</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Compensation, nomination and corporate governance committee</w:t>
      </w:r>
    </w:p>
    <w:p>
      <w:pPr>
        <w:spacing w:after="0" w:line="215" w:lineRule="exact"/>
        <w:rPr>
          <w:sz w:val="20"/>
          <w:szCs w:val="20"/>
          <w:color w:val="auto"/>
        </w:rPr>
      </w:pPr>
    </w:p>
    <w:p>
      <w:pPr>
        <w:ind w:left="40" w:right="359" w:firstLine="305"/>
        <w:spacing w:after="0" w:line="277" w:lineRule="auto"/>
        <w:rPr>
          <w:sz w:val="20"/>
          <w:szCs w:val="20"/>
          <w:color w:val="auto"/>
        </w:rPr>
      </w:pPr>
      <w:r>
        <w:rPr>
          <w:rFonts w:ascii="Times New Roman" w:cs="Times New Roman" w:eastAsia="Times New Roman" w:hAnsi="Times New Roman"/>
          <w:sz w:val="17"/>
          <w:szCs w:val="17"/>
          <w:color w:val="auto"/>
        </w:rPr>
        <w:t>The compensation, nomination and corporate governance committee, consists of Monika Bütler (Chair), Douglas Williams (Member) and Roy Twyman (Member).</w:t>
      </w:r>
    </w:p>
    <w:p>
      <w:pPr>
        <w:spacing w:after="0" w:line="158" w:lineRule="exact"/>
        <w:rPr>
          <w:sz w:val="20"/>
          <w:szCs w:val="20"/>
          <w:color w:val="auto"/>
        </w:rPr>
      </w:pPr>
    </w:p>
    <w:p>
      <w:pPr>
        <w:jc w:val="both"/>
        <w:ind w:left="40" w:right="419" w:firstLine="305"/>
        <w:spacing w:after="0" w:line="255" w:lineRule="auto"/>
        <w:rPr>
          <w:sz w:val="20"/>
          <w:szCs w:val="20"/>
          <w:color w:val="auto"/>
        </w:rPr>
      </w:pPr>
      <w:r>
        <w:rPr>
          <w:rFonts w:ascii="Times New Roman" w:cs="Times New Roman" w:eastAsia="Times New Roman" w:hAnsi="Times New Roman"/>
          <w:sz w:val="17"/>
          <w:szCs w:val="17"/>
          <w:color w:val="auto"/>
        </w:rPr>
        <w:t>The compensation, nomination and corporate governance committee is governed by a charter that complies with SEC and home country governance rules. The compensation, nomination and corporate governance committee has the responsibility to, among other things:</w:t>
      </w:r>
    </w:p>
    <w:p>
      <w:pPr>
        <w:spacing w:after="0" w:line="176" w:lineRule="exact"/>
        <w:rPr>
          <w:sz w:val="20"/>
          <w:szCs w:val="20"/>
          <w:color w:val="auto"/>
        </w:rPr>
      </w:pPr>
    </w:p>
    <w:p>
      <w:pPr>
        <w:ind w:left="680" w:right="419" w:hanging="305"/>
        <w:spacing w:after="0" w:line="277" w:lineRule="auto"/>
        <w:tabs>
          <w:tab w:leader="none" w:pos="68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 to the board the guidelines for the overall compensation and equity awards for the board of directors and executive officers along with the rationale for such recommendations;</w:t>
      </w:r>
    </w:p>
    <w:p>
      <w:pPr>
        <w:spacing w:after="0" w:line="157"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 to the board the compensation of executive officers;</w:t>
      </w:r>
    </w:p>
    <w:p>
      <w:pPr>
        <w:spacing w:after="0" w:line="210" w:lineRule="exact"/>
        <w:rPr>
          <w:rFonts w:ascii="Times New Roman" w:cs="Times New Roman" w:eastAsia="Times New Roman" w:hAnsi="Times New Roman"/>
          <w:sz w:val="17"/>
          <w:szCs w:val="17"/>
          <w:color w:val="auto"/>
        </w:rPr>
      </w:pPr>
    </w:p>
    <w:p>
      <w:pPr>
        <w:ind w:left="680" w:right="459" w:hanging="305"/>
        <w:spacing w:after="0" w:line="277" w:lineRule="auto"/>
        <w:tabs>
          <w:tab w:leader="none" w:pos="68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propose the maximum total compensation of the board of directors and executive officers for approval at the Annual General Meeting;</w:t>
      </w:r>
    </w:p>
    <w:p>
      <w:pPr>
        <w:spacing w:after="0" w:line="157"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periodically review policies and principles for the Company’s corporate governance;</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the process for assessment of the performance of members of the board, its committees and individual members;</w:t>
      </w:r>
    </w:p>
    <w:p>
      <w:pPr>
        <w:spacing w:after="0" w:line="222" w:lineRule="exact"/>
        <w:rPr>
          <w:rFonts w:ascii="Times New Roman" w:cs="Times New Roman" w:eastAsia="Times New Roman" w:hAnsi="Times New Roman"/>
          <w:sz w:val="16"/>
          <w:szCs w:val="16"/>
          <w:color w:val="auto"/>
        </w:rPr>
      </w:pPr>
    </w:p>
    <w:p>
      <w:pPr>
        <w:ind w:left="680" w:hanging="305"/>
        <w:spacing w:after="0"/>
        <w:tabs>
          <w:tab w:leader="none" w:pos="68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and review the Company’s succession plan for members of the board and the executive committee;</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periodically review the Company’s code of conduct and recommends changes as needed;</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 for presentation to our shareholders the compensation report for shareholder vote; and</w:t>
      </w:r>
    </w:p>
    <w:p>
      <w:pPr>
        <w:spacing w:after="0" w:line="210" w:lineRule="exact"/>
        <w:rPr>
          <w:rFonts w:ascii="Times New Roman" w:cs="Times New Roman" w:eastAsia="Times New Roman" w:hAnsi="Times New Roman"/>
          <w:sz w:val="17"/>
          <w:szCs w:val="17"/>
          <w:color w:val="auto"/>
        </w:rPr>
      </w:pPr>
    </w:p>
    <w:p>
      <w:pPr>
        <w:ind w:left="680" w:right="399" w:hanging="305"/>
        <w:spacing w:after="0" w:line="277" w:lineRule="auto"/>
        <w:tabs>
          <w:tab w:leader="none" w:pos="68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define guidelines for the selection of candidates for election or re-election as members of the board and our executive officers.</w:t>
      </w:r>
    </w:p>
    <w:p>
      <w:pPr>
        <w:spacing w:after="0" w:line="157"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administer the Compensation Recoupment Policy.</w:t>
      </w:r>
    </w:p>
    <w:p>
      <w:pPr>
        <w:spacing w:after="0" w:line="211" w:lineRule="exact"/>
        <w:rPr>
          <w:sz w:val="20"/>
          <w:szCs w:val="20"/>
          <w:color w:val="auto"/>
        </w:rPr>
      </w:pPr>
    </w:p>
    <w:p>
      <w:pPr>
        <w:ind w:left="40" w:right="119" w:firstLine="305"/>
        <w:spacing w:after="0" w:line="251" w:lineRule="auto"/>
        <w:rPr>
          <w:sz w:val="20"/>
          <w:szCs w:val="20"/>
          <w:color w:val="auto"/>
        </w:rPr>
      </w:pPr>
      <w:r>
        <w:rPr>
          <w:rFonts w:ascii="Times New Roman" w:cs="Times New Roman" w:eastAsia="Times New Roman" w:hAnsi="Times New Roman"/>
          <w:sz w:val="17"/>
          <w:szCs w:val="17"/>
          <w:color w:val="auto"/>
        </w:rPr>
        <w:t>Swiss law requires that we adopt a compensation committee, so in accordance with Nasdaq Listing Rule 5615(a)(3), we will follow home country requirements with respect to the compensation, nomination and corporate governance committee. As a result, our practice will vary from the requirements of Nasdaq Listing Rule 5605(d), which sets forth certain requirements as to the responsibilities, composition and independence of compensation committees, and from the independent director oversight of director nomination requirements of Nasdaq Listing Rule 5605(e). We are subject to the Swiss Executive Compensation (Say on Pay) Rule as enforced in the Code of Obligations. In addition, this committee will also be responsible for director and board committee nominations as well as reviewing and amending, if required, our corporate governance framework and guidelines.</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41" w:name="page142"/>
    <w:bookmarkEnd w:id="14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D.</w:t>
      </w:r>
      <w:r>
        <w:rPr>
          <w:sz w:val="20"/>
          <w:szCs w:val="20"/>
          <w:color w:val="auto"/>
        </w:rPr>
        <w:tab/>
      </w:r>
      <w:r>
        <w:rPr>
          <w:rFonts w:ascii="Times New Roman" w:cs="Times New Roman" w:eastAsia="Times New Roman" w:hAnsi="Times New Roman"/>
          <w:sz w:val="16"/>
          <w:szCs w:val="16"/>
          <w:b w:val="1"/>
          <w:bCs w:val="1"/>
          <w:color w:val="auto"/>
        </w:rPr>
        <w:t>Employees</w:t>
      </w:r>
    </w:p>
    <w:p>
      <w:pPr>
        <w:spacing w:after="0" w:line="215" w:lineRule="exact"/>
        <w:rPr>
          <w:sz w:val="20"/>
          <w:szCs w:val="20"/>
          <w:color w:val="auto"/>
        </w:rPr>
      </w:pPr>
    </w:p>
    <w:p>
      <w:pPr>
        <w:ind w:left="40" w:right="319" w:firstLine="305"/>
        <w:spacing w:after="0" w:line="255" w:lineRule="auto"/>
        <w:rPr>
          <w:sz w:val="20"/>
          <w:szCs w:val="20"/>
          <w:color w:val="auto"/>
        </w:rPr>
      </w:pPr>
      <w:r>
        <w:rPr>
          <w:rFonts w:ascii="Times New Roman" w:cs="Times New Roman" w:eastAsia="Times New Roman" w:hAnsi="Times New Roman"/>
          <w:sz w:val="17"/>
          <w:szCs w:val="17"/>
          <w:color w:val="auto"/>
        </w:rPr>
        <w:t>As of December 31, 2025, we employed 122 employees, 32 of whom were part-time employees. All of our employees are based in Switzerland. 62 of our employees hold Ph.D. degrees and 45 hold M.Sc. degrees. Our 122 employees are from 20 countries. The average number of employees (calculated on full-time equivalents) in 2025 was 147.9. As of December 31, 2024 and 2023 we had 172 and 161 employees, respectively. We have never had a work stoppage, and none of our employees is represented by a labor organization or under any collective-bargaining arrangements. We consider our employee relations to be good.</w:t>
      </w:r>
    </w:p>
    <w:p>
      <w:pPr>
        <w:spacing w:after="0" w:line="159" w:lineRule="exact"/>
        <w:rPr>
          <w:sz w:val="20"/>
          <w:szCs w:val="20"/>
          <w:color w:val="auto"/>
        </w:rPr>
      </w:pPr>
    </w:p>
    <w:p>
      <w:pPr>
        <w:ind w:left="340" w:hanging="295"/>
        <w:spacing w:after="0"/>
        <w:tabs>
          <w:tab w:leader="none" w:pos="340" w:val="left"/>
        </w:tabs>
        <w:numPr>
          <w:ilvl w:val="0"/>
          <w:numId w:val="10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 ownership</w:t>
      </w:r>
    </w:p>
    <w:p>
      <w:pPr>
        <w:spacing w:after="0" w:line="214"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See “Item 7. Major shareholders and related-party transactions—A. Major shareholders.”</w:t>
      </w:r>
    </w:p>
    <w:p>
      <w:pPr>
        <w:spacing w:after="0" w:line="206" w:lineRule="exact"/>
        <w:rPr>
          <w:rFonts w:ascii="Times New Roman" w:cs="Times New Roman" w:eastAsia="Times New Roman" w:hAnsi="Times New Roman"/>
          <w:sz w:val="17"/>
          <w:szCs w:val="17"/>
          <w:b w:val="1"/>
          <w:bCs w:val="1"/>
          <w:color w:val="auto"/>
        </w:rPr>
      </w:pPr>
    </w:p>
    <w:p>
      <w:pPr>
        <w:ind w:left="340" w:hanging="295"/>
        <w:spacing w:after="0"/>
        <w:tabs>
          <w:tab w:leader="none" w:pos="340" w:val="left"/>
        </w:tabs>
        <w:numPr>
          <w:ilvl w:val="0"/>
          <w:numId w:val="10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Disclosure of a Registrant’s Action to Recover Erroneously Awarded Compensation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Not applicable.</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7. MAJOR SHAREHOLDERS AND RELATED-PARTY TRANSACTIONS</w:t>
      </w:r>
    </w:p>
    <w:p>
      <w:pPr>
        <w:spacing w:after="0" w:line="173"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A.</w:t>
      </w:r>
      <w:r>
        <w:rPr>
          <w:sz w:val="20"/>
          <w:szCs w:val="20"/>
          <w:color w:val="auto"/>
        </w:rPr>
        <w:tab/>
      </w:r>
      <w:r>
        <w:rPr>
          <w:rFonts w:ascii="Times New Roman" w:cs="Times New Roman" w:eastAsia="Times New Roman" w:hAnsi="Times New Roman"/>
          <w:sz w:val="16"/>
          <w:szCs w:val="16"/>
          <w:b w:val="1"/>
          <w:bCs w:val="1"/>
          <w:color w:val="auto"/>
        </w:rPr>
        <w:t>Major shareholders</w:t>
      </w:r>
    </w:p>
    <w:p>
      <w:pPr>
        <w:spacing w:after="0" w:line="177" w:lineRule="exact"/>
        <w:rPr>
          <w:sz w:val="20"/>
          <w:szCs w:val="20"/>
          <w:color w:val="auto"/>
        </w:rPr>
      </w:pPr>
    </w:p>
    <w:p>
      <w:pPr>
        <w:ind w:left="40" w:right="259"/>
        <w:spacing w:after="0" w:line="277" w:lineRule="auto"/>
        <w:rPr>
          <w:sz w:val="20"/>
          <w:szCs w:val="20"/>
          <w:color w:val="auto"/>
        </w:rPr>
      </w:pPr>
      <w:r>
        <w:rPr>
          <w:rFonts w:ascii="Times New Roman" w:cs="Times New Roman" w:eastAsia="Times New Roman" w:hAnsi="Times New Roman"/>
          <w:sz w:val="17"/>
          <w:szCs w:val="17"/>
          <w:color w:val="auto"/>
        </w:rPr>
        <w:t>The following table presents information relating to the beneficial ownership of our common shares as of the date of this Annual Report by:</w:t>
      </w:r>
    </w:p>
    <w:p>
      <w:pPr>
        <w:spacing w:after="0" w:line="120" w:lineRule="exact"/>
        <w:rPr>
          <w:sz w:val="20"/>
          <w:szCs w:val="20"/>
          <w:color w:val="auto"/>
        </w:rPr>
      </w:pPr>
    </w:p>
    <w:p>
      <w:pPr>
        <w:ind w:left="680" w:right="419" w:hanging="305"/>
        <w:spacing w:after="0" w:line="277" w:lineRule="auto"/>
        <w:tabs>
          <w:tab w:leader="none" w:pos="68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or group of affiliated persons, known by us to own beneficially 5% or more of our outstanding common shares;</w:t>
      </w:r>
    </w:p>
    <w:p>
      <w:pPr>
        <w:spacing w:after="0" w:line="132"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executive officers and directors; and</w:t>
      </w:r>
    </w:p>
    <w:p>
      <w:pPr>
        <w:spacing w:after="0" w:line="172"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executive officers and directors as a group.</w:t>
      </w:r>
    </w:p>
    <w:p>
      <w:pPr>
        <w:spacing w:after="0" w:line="173" w:lineRule="exact"/>
        <w:rPr>
          <w:sz w:val="20"/>
          <w:szCs w:val="20"/>
          <w:color w:val="auto"/>
        </w:rPr>
      </w:pPr>
    </w:p>
    <w:p>
      <w:pPr>
        <w:ind w:left="40" w:right="79" w:firstLine="305"/>
        <w:spacing w:after="0" w:line="251" w:lineRule="auto"/>
        <w:rPr>
          <w:sz w:val="20"/>
          <w:szCs w:val="20"/>
          <w:color w:val="auto"/>
        </w:rPr>
      </w:pPr>
      <w:r>
        <w:rPr>
          <w:rFonts w:ascii="Times New Roman" w:cs="Times New Roman" w:eastAsia="Times New Roman" w:hAnsi="Times New Roman"/>
          <w:sz w:val="17"/>
          <w:szCs w:val="17"/>
          <w:color w:val="auto"/>
        </w:rPr>
        <w:t>All of our common shares have the same voting rights. The number of common shares beneficially owned by each entity, person, executive officer or director is determined in accordance with the rules of the SEC, and the information is not necessarily indicative of beneficial ownership for any other purpose. Under such rules, beneficial ownership includes any common shares over which the individual has sole or shared voting power or investment power as well as any common shares that the individual has the right to acquire within 60 days of March 1, 2026 through the exercise of any option, warrant or other right. Except as otherwise indicated, and subject to applicable community property laws, the persons named in the table have sole voting and investment power with respect to all common shares held by that person.</w:t>
      </w:r>
    </w:p>
    <w:p>
      <w:pPr>
        <w:spacing w:after="0" w:line="155" w:lineRule="exact"/>
        <w:rPr>
          <w:sz w:val="20"/>
          <w:szCs w:val="20"/>
          <w:color w:val="auto"/>
        </w:rPr>
      </w:pPr>
    </w:p>
    <w:p>
      <w:pPr>
        <w:ind w:left="40" w:right="119" w:firstLine="302"/>
        <w:spacing w:after="0" w:line="253" w:lineRule="auto"/>
        <w:rPr>
          <w:sz w:val="20"/>
          <w:szCs w:val="20"/>
          <w:color w:val="auto"/>
        </w:rPr>
      </w:pPr>
      <w:r>
        <w:rPr>
          <w:rFonts w:ascii="Times New Roman" w:cs="Times New Roman" w:eastAsia="Times New Roman" w:hAnsi="Times New Roman"/>
          <w:sz w:val="17"/>
          <w:szCs w:val="17"/>
          <w:color w:val="auto"/>
        </w:rPr>
        <w:t>The percentage of outstanding common shares is computed on the basis of 101,773,573 common shares outstanding as of March 1, 2026. Common shares that a person has the right to acquire within 60 days of March 1, 2026 are deemed outstanding for purposes of computing the percentage ownership of the person holding such rights, but are not deemed outstanding for purposes of computing the percentage ownership of any other person, except with respect to</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42" w:name="page143"/>
    <w:bookmarkEnd w:id="14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159"/>
        <w:spacing w:after="0" w:line="277" w:lineRule="auto"/>
        <w:rPr>
          <w:sz w:val="20"/>
          <w:szCs w:val="20"/>
          <w:color w:val="auto"/>
        </w:rPr>
      </w:pPr>
      <w:r>
        <w:rPr>
          <w:rFonts w:ascii="Times New Roman" w:cs="Times New Roman" w:eastAsia="Times New Roman" w:hAnsi="Times New Roman"/>
          <w:sz w:val="17"/>
          <w:szCs w:val="17"/>
          <w:color w:val="auto"/>
        </w:rPr>
        <w:t>the percentage ownership of all executive officers and directors as a group. Unless otherwise indicated below, the address for each beneficial owner is AC Immune, EPFL Innovation Park, Building B, 1015 Lausanne, Switzerland.</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6200" w:type="dxa"/>
            <w:vAlign w:val="bottom"/>
          </w:tcPr>
          <w:p>
            <w:pPr>
              <w:spacing w:after="0"/>
              <w:rPr>
                <w:sz w:val="15"/>
                <w:szCs w:val="15"/>
                <w:color w:val="auto"/>
              </w:rPr>
            </w:pP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Shares beneficially</w:t>
            </w:r>
          </w:p>
        </w:tc>
        <w:tc>
          <w:tcPr>
            <w:tcW w:w="200" w:type="dxa"/>
            <w:vAlign w:val="bottom"/>
          </w:tcPr>
          <w:p>
            <w:pPr>
              <w:spacing w:after="0"/>
              <w:rPr>
                <w:sz w:val="15"/>
                <w:szCs w:val="15"/>
                <w:color w:val="auto"/>
              </w:rPr>
            </w:pPr>
          </w:p>
        </w:tc>
      </w:tr>
      <w:tr>
        <w:trPr>
          <w:trHeight w:val="182"/>
        </w:trPr>
        <w:tc>
          <w:tcPr>
            <w:tcW w:w="6460" w:type="dxa"/>
            <w:vAlign w:val="bottom"/>
            <w:gridSpan w:val="3"/>
          </w:tcPr>
          <w:p>
            <w:pPr>
              <w:ind w:left="2760"/>
              <w:spacing w:after="0"/>
              <w:rPr>
                <w:sz w:val="20"/>
                <w:szCs w:val="20"/>
                <w:color w:val="auto"/>
              </w:rPr>
            </w:pPr>
            <w:r>
              <w:rPr>
                <w:rFonts w:ascii="Times New Roman" w:cs="Times New Roman" w:eastAsia="Times New Roman" w:hAnsi="Times New Roman"/>
                <w:sz w:val="14"/>
                <w:szCs w:val="14"/>
                <w:b w:val="1"/>
                <w:bCs w:val="1"/>
                <w:color w:val="auto"/>
              </w:rPr>
              <w:t>Shareholder</w:t>
            </w: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11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owned (%)</w:t>
            </w:r>
          </w:p>
        </w:tc>
        <w:tc>
          <w:tcPr>
            <w:tcW w:w="200" w:type="dxa"/>
            <w:vAlign w:val="bottom"/>
          </w:tcPr>
          <w:p>
            <w:pPr>
              <w:spacing w:after="0"/>
              <w:rPr>
                <w:sz w:val="15"/>
                <w:szCs w:val="15"/>
                <w:color w:val="auto"/>
              </w:rPr>
            </w:pPr>
          </w:p>
        </w:tc>
      </w:tr>
      <w:tr>
        <w:trPr>
          <w:trHeight w:val="216"/>
        </w:trPr>
        <w:tc>
          <w:tcPr>
            <w:tcW w:w="6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5% Shareholders</w:t>
            </w:r>
          </w:p>
        </w:tc>
        <w:tc>
          <w:tcPr>
            <w:tcW w:w="2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64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Biotechnology Value Fund (BVF) Inc.</w:t>
            </w:r>
            <w:r>
              <w:rPr>
                <w:rFonts w:ascii="Times New Roman" w:cs="Times New Roman" w:eastAsia="Times New Roman" w:hAnsi="Times New Roman"/>
                <w:sz w:val="25"/>
                <w:szCs w:val="25"/>
                <w:color w:val="auto"/>
                <w:vertAlign w:val="superscript"/>
              </w:rPr>
              <w:t>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19,822,436</w:t>
            </w: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64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dievini Hopp BioTech holding GmbH &amp; Co KG</w:t>
            </w:r>
            <w:r>
              <w:rPr>
                <w:rFonts w:ascii="Times New Roman" w:cs="Times New Roman" w:eastAsia="Times New Roman" w:hAnsi="Times New Roman"/>
                <w:sz w:val="25"/>
                <w:szCs w:val="25"/>
                <w:color w:val="auto"/>
                <w:vertAlign w:val="superscript"/>
              </w:rPr>
              <w:t>2</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16,316,742</w:t>
            </w:r>
          </w:p>
        </w:tc>
        <w:tc>
          <w:tcPr>
            <w:tcW w:w="6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16.0 %</w:t>
            </w:r>
          </w:p>
        </w:tc>
      </w:tr>
      <w:tr>
        <w:trPr>
          <w:trHeight w:val="216"/>
        </w:trPr>
        <w:tc>
          <w:tcPr>
            <w:tcW w:w="64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Varuma AG</w:t>
            </w:r>
            <w:r>
              <w:rPr>
                <w:rFonts w:ascii="Times New Roman" w:cs="Times New Roman" w:eastAsia="Times New Roman" w:hAnsi="Times New Roman"/>
                <w:sz w:val="25"/>
                <w:szCs w:val="25"/>
                <w:color w:val="auto"/>
                <w:vertAlign w:val="superscript"/>
              </w:rPr>
              <w:t>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11,999,999</w:t>
            </w:r>
          </w:p>
        </w:tc>
        <w:tc>
          <w:tcPr>
            <w:tcW w:w="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11.8 %</w:t>
            </w:r>
          </w:p>
        </w:tc>
      </w:tr>
      <w:tr>
        <w:trPr>
          <w:trHeight w:val="216"/>
        </w:trPr>
        <w:tc>
          <w:tcPr>
            <w:tcW w:w="64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Affiris AG</w:t>
            </w:r>
            <w:r>
              <w:rPr>
                <w:rFonts w:ascii="Times New Roman" w:cs="Times New Roman" w:eastAsia="Times New Roman" w:hAnsi="Times New Roman"/>
                <w:sz w:val="25"/>
                <w:szCs w:val="25"/>
                <w:color w:val="auto"/>
                <w:vertAlign w:val="superscript"/>
              </w:rPr>
              <w:t>4</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6,428,100</w:t>
            </w:r>
          </w:p>
        </w:tc>
        <w:tc>
          <w:tcPr>
            <w:tcW w:w="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6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Executive Officers and Directors</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6460" w:type="dxa"/>
            <w:vAlign w:val="bottom"/>
            <w:gridSpan w:val="3"/>
          </w:tcPr>
          <w:p>
            <w:pPr>
              <w:ind w:left="120"/>
              <w:spacing w:after="0" w:line="216" w:lineRule="exact"/>
              <w:rPr>
                <w:sz w:val="20"/>
                <w:szCs w:val="20"/>
                <w:color w:val="auto"/>
              </w:rPr>
            </w:pPr>
            <w:r>
              <w:rPr>
                <w:rFonts w:ascii="Times New Roman" w:cs="Times New Roman" w:eastAsia="Times New Roman" w:hAnsi="Times New Roman"/>
                <w:sz w:val="17"/>
                <w:szCs w:val="17"/>
                <w:color w:val="auto"/>
              </w:rPr>
              <w:t>Andrea Pfeifer</w:t>
            </w:r>
            <w:r>
              <w:rPr>
                <w:rFonts w:ascii="Times New Roman" w:cs="Times New Roman" w:eastAsia="Times New Roman" w:hAnsi="Times New Roman"/>
                <w:sz w:val="25"/>
                <w:szCs w:val="25"/>
                <w:color w:val="auto"/>
                <w:vertAlign w:val="superscript"/>
              </w:rPr>
              <w:t>5</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5,010,675</w:t>
            </w:r>
          </w:p>
        </w:tc>
        <w:tc>
          <w:tcPr>
            <w:tcW w:w="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6460" w:type="dxa"/>
            <w:vAlign w:val="bottom"/>
            <w:gridSpan w:val="3"/>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Anke Post</w:t>
            </w:r>
            <w:r>
              <w:rPr>
                <w:rFonts w:ascii="Times New Roman" w:cs="Times New Roman" w:eastAsia="Times New Roman" w:hAnsi="Times New Roman"/>
                <w:sz w:val="25"/>
                <w:szCs w:val="25"/>
                <w:color w:val="auto"/>
                <w:vertAlign w:val="superscript"/>
              </w:rPr>
              <w:t>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r>
      <w:tr>
        <w:trPr>
          <w:trHeight w:val="216"/>
        </w:trPr>
        <w:tc>
          <w:tcPr>
            <w:tcW w:w="6460" w:type="dxa"/>
            <w:vAlign w:val="bottom"/>
            <w:gridSpan w:val="3"/>
          </w:tcPr>
          <w:p>
            <w:pPr>
              <w:ind w:left="120"/>
              <w:spacing w:after="0" w:line="216" w:lineRule="exact"/>
              <w:rPr>
                <w:sz w:val="20"/>
                <w:szCs w:val="20"/>
                <w:color w:val="auto"/>
              </w:rPr>
            </w:pPr>
            <w:r>
              <w:rPr>
                <w:rFonts w:ascii="Times New Roman" w:cs="Times New Roman" w:eastAsia="Times New Roman" w:hAnsi="Times New Roman"/>
                <w:sz w:val="17"/>
                <w:szCs w:val="17"/>
                <w:color w:val="auto"/>
              </w:rPr>
              <w:t>Piergiorgio Donati</w:t>
            </w:r>
            <w:r>
              <w:rPr>
                <w:rFonts w:ascii="Times New Roman" w:cs="Times New Roman" w:eastAsia="Times New Roman" w:hAnsi="Times New Roman"/>
                <w:sz w:val="25"/>
                <w:szCs w:val="25"/>
                <w:color w:val="auto"/>
                <w:vertAlign w:val="superscript"/>
              </w:rPr>
              <w:t>7</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r>
      <w:tr>
        <w:trPr>
          <w:trHeight w:val="216"/>
        </w:trPr>
        <w:tc>
          <w:tcPr>
            <w:tcW w:w="6460" w:type="dxa"/>
            <w:vAlign w:val="bottom"/>
            <w:gridSpan w:val="3"/>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Christopher Roberts</w:t>
            </w:r>
            <w:r>
              <w:rPr>
                <w:rFonts w:ascii="Times New Roman" w:cs="Times New Roman" w:eastAsia="Times New Roman" w:hAnsi="Times New Roman"/>
                <w:sz w:val="25"/>
                <w:szCs w:val="25"/>
                <w:color w:val="auto"/>
                <w:vertAlign w:val="superscript"/>
              </w:rPr>
              <w:t>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r>
      <w:tr>
        <w:trPr>
          <w:trHeight w:val="216"/>
        </w:trPr>
        <w:tc>
          <w:tcPr>
            <w:tcW w:w="6460" w:type="dxa"/>
            <w:vAlign w:val="bottom"/>
            <w:gridSpan w:val="3"/>
          </w:tcPr>
          <w:p>
            <w:pPr>
              <w:ind w:left="120"/>
              <w:spacing w:after="0" w:line="216" w:lineRule="exact"/>
              <w:rPr>
                <w:sz w:val="20"/>
                <w:szCs w:val="20"/>
                <w:color w:val="auto"/>
              </w:rPr>
            </w:pPr>
            <w:r>
              <w:rPr>
                <w:rFonts w:ascii="Times New Roman" w:cs="Times New Roman" w:eastAsia="Times New Roman" w:hAnsi="Times New Roman"/>
                <w:sz w:val="17"/>
                <w:szCs w:val="17"/>
                <w:color w:val="auto"/>
              </w:rPr>
              <w:t>Howard Donovan</w:t>
            </w:r>
            <w:r>
              <w:rPr>
                <w:rFonts w:ascii="Times New Roman" w:cs="Times New Roman" w:eastAsia="Times New Roman" w:hAnsi="Times New Roman"/>
                <w:sz w:val="25"/>
                <w:szCs w:val="25"/>
                <w:color w:val="auto"/>
                <w:vertAlign w:val="superscript"/>
              </w:rPr>
              <w:t>9</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r>
      <w:tr>
        <w:trPr>
          <w:trHeight w:val="216"/>
        </w:trPr>
        <w:tc>
          <w:tcPr>
            <w:tcW w:w="6460" w:type="dxa"/>
            <w:vAlign w:val="bottom"/>
            <w:gridSpan w:val="3"/>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Martin Zügel</w:t>
            </w:r>
            <w:r>
              <w:rPr>
                <w:rFonts w:ascii="Times New Roman" w:cs="Times New Roman" w:eastAsia="Times New Roman" w:hAnsi="Times New Roman"/>
                <w:sz w:val="25"/>
                <w:szCs w:val="25"/>
                <w:color w:val="auto"/>
                <w:vertAlign w:val="superscript"/>
              </w:rPr>
              <w:t>10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r>
      <w:tr>
        <w:trPr>
          <w:trHeight w:val="216"/>
        </w:trPr>
        <w:tc>
          <w:tcPr>
            <w:tcW w:w="6460" w:type="dxa"/>
            <w:vAlign w:val="bottom"/>
            <w:gridSpan w:val="3"/>
          </w:tcPr>
          <w:p>
            <w:pPr>
              <w:ind w:left="120"/>
              <w:spacing w:after="0" w:line="216" w:lineRule="exact"/>
              <w:rPr>
                <w:sz w:val="20"/>
                <w:szCs w:val="20"/>
                <w:color w:val="auto"/>
              </w:rPr>
            </w:pPr>
            <w:r>
              <w:rPr>
                <w:rFonts w:ascii="Times New Roman" w:cs="Times New Roman" w:eastAsia="Times New Roman" w:hAnsi="Times New Roman"/>
                <w:sz w:val="17"/>
                <w:szCs w:val="17"/>
                <w:color w:val="auto"/>
              </w:rPr>
              <w:t>Monika Bütler</w:t>
            </w:r>
            <w:r>
              <w:rPr>
                <w:rFonts w:ascii="Times New Roman" w:cs="Times New Roman" w:eastAsia="Times New Roman" w:hAnsi="Times New Roman"/>
                <w:sz w:val="25"/>
                <w:szCs w:val="25"/>
                <w:color w:val="auto"/>
                <w:vertAlign w:val="superscript"/>
              </w:rPr>
              <w:t>11</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r>
      <w:tr>
        <w:trPr>
          <w:trHeight w:val="216"/>
        </w:trPr>
        <w:tc>
          <w:tcPr>
            <w:tcW w:w="6460" w:type="dxa"/>
            <w:vAlign w:val="bottom"/>
            <w:gridSpan w:val="3"/>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Renée Aguiar-Lucander</w:t>
            </w:r>
            <w:r>
              <w:rPr>
                <w:rFonts w:ascii="Times New Roman" w:cs="Times New Roman" w:eastAsia="Times New Roman" w:hAnsi="Times New Roman"/>
                <w:sz w:val="25"/>
                <w:szCs w:val="25"/>
                <w:color w:val="auto"/>
                <w:vertAlign w:val="superscript"/>
              </w:rPr>
              <w:t>12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r>
      <w:tr>
        <w:trPr>
          <w:trHeight w:val="216"/>
        </w:trPr>
        <w:tc>
          <w:tcPr>
            <w:tcW w:w="6460" w:type="dxa"/>
            <w:vAlign w:val="bottom"/>
            <w:gridSpan w:val="3"/>
          </w:tcPr>
          <w:p>
            <w:pPr>
              <w:ind w:left="120"/>
              <w:spacing w:after="0" w:line="216" w:lineRule="exact"/>
              <w:rPr>
                <w:sz w:val="20"/>
                <w:szCs w:val="20"/>
                <w:color w:val="auto"/>
              </w:rPr>
            </w:pPr>
            <w:r>
              <w:rPr>
                <w:rFonts w:ascii="Times New Roman" w:cs="Times New Roman" w:eastAsia="Times New Roman" w:hAnsi="Times New Roman"/>
                <w:sz w:val="17"/>
                <w:szCs w:val="17"/>
                <w:color w:val="auto"/>
              </w:rPr>
              <w:t>Roy Twyman</w:t>
            </w:r>
            <w:r>
              <w:rPr>
                <w:rFonts w:ascii="Times New Roman" w:cs="Times New Roman" w:eastAsia="Times New Roman" w:hAnsi="Times New Roman"/>
                <w:sz w:val="25"/>
                <w:szCs w:val="25"/>
                <w:color w:val="auto"/>
                <w:vertAlign w:val="superscript"/>
              </w:rPr>
              <w:t>13</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r>
      <w:tr>
        <w:trPr>
          <w:trHeight w:val="216"/>
        </w:trPr>
        <w:tc>
          <w:tcPr>
            <w:tcW w:w="6460" w:type="dxa"/>
            <w:vAlign w:val="bottom"/>
            <w:gridSpan w:val="3"/>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Carl June</w:t>
            </w:r>
            <w:r>
              <w:rPr>
                <w:rFonts w:ascii="Times New Roman" w:cs="Times New Roman" w:eastAsia="Times New Roman" w:hAnsi="Times New Roman"/>
                <w:sz w:val="25"/>
                <w:szCs w:val="25"/>
                <w:color w:val="auto"/>
                <w:vertAlign w:val="superscript"/>
              </w:rPr>
              <w:t>14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r>
      <w:tr>
        <w:trPr>
          <w:trHeight w:val="219"/>
        </w:trPr>
        <w:tc>
          <w:tcPr>
            <w:tcW w:w="64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All executive officers and directors as a group (10 persons)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6,404,603</w:t>
            </w:r>
          </w:p>
        </w:tc>
        <w:tc>
          <w:tcPr>
            <w:tcW w:w="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62865</wp:posOffset>
            </wp:positionV>
            <wp:extent cx="1410335" cy="158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410335" cy="15875"/>
                    </a:xfrm>
                    <a:prstGeom prst="rect">
                      <a:avLst/>
                    </a:prstGeom>
                    <a:noFill/>
                  </pic:spPr>
                </pic:pic>
              </a:graphicData>
            </a:graphic>
          </wp:anchor>
        </w:drawing>
      </w:r>
    </w:p>
    <w:p>
      <w:pPr>
        <w:spacing w:after="0" w:line="164" w:lineRule="exact"/>
        <w:rPr>
          <w:sz w:val="20"/>
          <w:szCs w:val="20"/>
          <w:color w:val="auto"/>
        </w:rPr>
      </w:pPr>
    </w:p>
    <w:p>
      <w:pPr>
        <w:ind w:left="340" w:hanging="295"/>
        <w:spacing w:after="0"/>
        <w:tabs>
          <w:tab w:leader="none" w:pos="34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beneficial ownership of less than 1% of the total issued and outstanding common shares.</w:t>
      </w:r>
    </w:p>
    <w:p>
      <w:pPr>
        <w:spacing w:after="0" w:line="202" w:lineRule="exact"/>
        <w:rPr>
          <w:sz w:val="20"/>
          <w:szCs w:val="20"/>
          <w:color w:val="auto"/>
        </w:rPr>
      </w:pPr>
    </w:p>
    <w:p>
      <w:pPr>
        <w:ind w:left="40" w:right="619"/>
        <w:spacing w:after="0" w:line="224" w:lineRule="auto"/>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Based on information set forth in a Schedule 13F filed with the SEC by BVF on February 17, 2026, these shares consist of 19,822,436 shares held of record by BVF Inc. The address of BVF Inc. is 44 Montgomery St., 40th Floor, San Francisco, California 94104.</w:t>
      </w:r>
    </w:p>
    <w:p>
      <w:pPr>
        <w:spacing w:after="0" w:line="179" w:lineRule="exact"/>
        <w:rPr>
          <w:sz w:val="20"/>
          <w:szCs w:val="20"/>
          <w:color w:val="auto"/>
        </w:rPr>
      </w:pPr>
    </w:p>
    <w:p>
      <w:pPr>
        <w:ind w:left="40" w:right="579"/>
        <w:spacing w:after="0" w:line="214" w:lineRule="auto"/>
        <w:rPr>
          <w:sz w:val="20"/>
          <w:szCs w:val="20"/>
          <w:color w:val="auto"/>
        </w:rPr>
      </w:pP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Based on information set forth in a Schedule 13G/A filed with the SEC by dievini Hopp BioTech holding GmbH &amp; Co KG (“dievini”) on February 10, 2023. These shares consist of 16,316,742 shares held by dievini.</w:t>
      </w:r>
    </w:p>
    <w:p>
      <w:pPr>
        <w:spacing w:after="0" w:line="188" w:lineRule="exact"/>
        <w:rPr>
          <w:sz w:val="20"/>
          <w:szCs w:val="20"/>
          <w:color w:val="auto"/>
        </w:rPr>
      </w:pPr>
    </w:p>
    <w:p>
      <w:pPr>
        <w:ind w:left="40" w:right="159"/>
        <w:spacing w:after="0" w:line="273" w:lineRule="auto"/>
        <w:rPr>
          <w:sz w:val="20"/>
          <w:szCs w:val="20"/>
          <w:color w:val="auto"/>
        </w:rPr>
      </w:pPr>
      <w:r>
        <w:rPr>
          <w:rFonts w:ascii="Times New Roman" w:cs="Times New Roman" w:eastAsia="Times New Roman" w:hAnsi="Times New Roman"/>
          <w:sz w:val="17"/>
          <w:szCs w:val="17"/>
          <w:color w:val="auto"/>
        </w:rPr>
        <w:t>DH-Capital GmbH &amp; Co. KG (“DH-Capital”) and OH Beteiligungen GmbH &amp; Co. KG (“OH Beteiligungen”) are collectively the holders of 100% of the limited partner interest in dievini and therefore, control the voting and dispositive decisions of dievini together and may be deemed to beneficially own the shares held by dievini. Dietmar Hopp, Oliver Hopp and Daniel Hopp are the ultimate controlling persons of dievini, DH-Capital and OH Beteiligungen, and control the voting and investment decisions of the ultimate parent company of dievini and therefore, may be deemed to beneficially own the shares held by dievini by virtue of their status as controlling persons of dievini.</w:t>
      </w:r>
    </w:p>
    <w:p>
      <w:pPr>
        <w:spacing w:after="0" w:line="100" w:lineRule="exact"/>
        <w:rPr>
          <w:sz w:val="20"/>
          <w:szCs w:val="20"/>
          <w:color w:val="auto"/>
        </w:rPr>
      </w:pPr>
    </w:p>
    <w:p>
      <w:pPr>
        <w:ind w:left="40" w:right="59"/>
        <w:spacing w:after="0" w:line="274" w:lineRule="auto"/>
        <w:rPr>
          <w:sz w:val="20"/>
          <w:szCs w:val="20"/>
          <w:color w:val="auto"/>
        </w:rPr>
      </w:pPr>
      <w:r>
        <w:rPr>
          <w:rFonts w:ascii="Times New Roman" w:cs="Times New Roman" w:eastAsia="Times New Roman" w:hAnsi="Times New Roman"/>
          <w:sz w:val="17"/>
          <w:szCs w:val="17"/>
          <w:color w:val="auto"/>
        </w:rPr>
        <w:t>The address of the principal business office of dievini and Dietmar Hopp is c/o dievini Hopp BioTech holding GmbH &amp; Co. KG, Johann-Jakob-Astor Straße 57, 69190 Walldorf, Germany. The address of the principal business office of DH-Capital GmbH &amp; Co. KG and OH Beteiligungen GmbH &amp; Co. KG is Opelstraße 28, 68789 St. Leon-Rot, Germany. The address of the principal business office of Oliver Hopp is Johann-Jakob-Astor-Straße 59, 69190 Walldorf, Germany.</w:t>
      </w:r>
    </w:p>
    <w:p>
      <w:pPr>
        <w:spacing w:after="0" w:line="88" w:lineRule="exact"/>
        <w:rPr>
          <w:sz w:val="20"/>
          <w:szCs w:val="20"/>
          <w:color w:val="auto"/>
        </w:rPr>
      </w:pPr>
    </w:p>
    <w:p>
      <w:pPr>
        <w:ind w:left="40" w:right="299"/>
        <w:spacing w:after="0" w:line="224" w:lineRule="auto"/>
        <w:rPr>
          <w:sz w:val="20"/>
          <w:szCs w:val="20"/>
          <w:color w:val="auto"/>
        </w:rPr>
      </w:pP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7"/>
          <w:szCs w:val="17"/>
          <w:color w:val="auto"/>
        </w:rPr>
        <w:t>Represents 11,999,999 shares held by Varuma AG set forth in a Schedule 13G/A filed with the SEC on February 12, 2019. The address for Varuma AG is Aeschenvorstadt 55, CH-4051 Basel, Switzerland. Rudolf Maag controls the voting and investment decisions of Varuma AG.</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17"/>
          <w:szCs w:val="17"/>
          <w:color w:val="auto"/>
        </w:rPr>
        <w:t>Based on information set forth in a Schedule 13G/A filed with the SEC by Affiris AG December 13, 2024, these shares consist of</w:t>
      </w:r>
    </w:p>
    <w:p>
      <w:pPr>
        <w:ind w:left="40"/>
        <w:spacing w:after="0"/>
        <w:rPr>
          <w:sz w:val="20"/>
          <w:szCs w:val="20"/>
          <w:color w:val="auto"/>
        </w:rPr>
      </w:pPr>
      <w:r>
        <w:rPr>
          <w:rFonts w:ascii="Times New Roman" w:cs="Times New Roman" w:eastAsia="Times New Roman" w:hAnsi="Times New Roman"/>
          <w:sz w:val="17"/>
          <w:szCs w:val="17"/>
          <w:color w:val="auto"/>
        </w:rPr>
        <w:t>6,428,100 shares held of record by Affiris AG. The address of Affiris AG is Karl-Farkas-Gasse 22, 1030 Vienna, Austria.</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43" w:name="page144"/>
    <w:bookmarkEnd w:id="14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right="139"/>
        <w:spacing w:after="0" w:line="214" w:lineRule="auto"/>
        <w:rPr>
          <w:sz w:val="20"/>
          <w:szCs w:val="20"/>
          <w:color w:val="auto"/>
        </w:rPr>
      </w:pP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17"/>
          <w:szCs w:val="17"/>
          <w:color w:val="auto"/>
        </w:rPr>
        <w:t>Consists of 3,433,541 of our common shares and options to purchase 1,577,134 of our common shares exercisable within 60 days of March 1, 2026.</w:t>
      </w:r>
    </w:p>
    <w:p>
      <w:pPr>
        <w:spacing w:after="0" w:line="179" w:lineRule="exact"/>
        <w:rPr>
          <w:sz w:val="20"/>
          <w:szCs w:val="20"/>
          <w:color w:val="auto"/>
        </w:rPr>
      </w:pPr>
    </w:p>
    <w:p>
      <w:pPr>
        <w:ind w:left="40" w:right="379"/>
        <w:spacing w:after="0" w:line="214" w:lineRule="auto"/>
        <w:rPr>
          <w:sz w:val="20"/>
          <w:szCs w:val="20"/>
          <w:color w:val="auto"/>
        </w:rPr>
      </w:pP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7"/>
          <w:szCs w:val="17"/>
          <w:color w:val="auto"/>
        </w:rPr>
        <w:t>Consists of 41,706 of our common shares and options to purchase 79,565 of our common shares exercisable within 60 days of March 1, 2026.</w:t>
      </w:r>
    </w:p>
    <w:p>
      <w:pPr>
        <w:spacing w:after="0" w:line="179" w:lineRule="exact"/>
        <w:rPr>
          <w:sz w:val="20"/>
          <w:szCs w:val="20"/>
          <w:color w:val="auto"/>
        </w:rPr>
      </w:pPr>
    </w:p>
    <w:p>
      <w:pPr>
        <w:ind w:left="40" w:right="279"/>
        <w:spacing w:after="0" w:line="214" w:lineRule="auto"/>
        <w:rPr>
          <w:sz w:val="20"/>
          <w:szCs w:val="20"/>
          <w:color w:val="auto"/>
        </w:rPr>
      </w:pP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17"/>
          <w:szCs w:val="17"/>
          <w:color w:val="auto"/>
        </w:rPr>
        <w:t>Consists of 74,244 of our common shares and options to purchase 261,534 of our common shares exercisable within 60 days of March 1, 2026.</w:t>
      </w:r>
    </w:p>
    <w:p>
      <w:pPr>
        <w:spacing w:after="0" w:line="179" w:lineRule="exact"/>
        <w:rPr>
          <w:sz w:val="20"/>
          <w:szCs w:val="20"/>
          <w:color w:val="auto"/>
        </w:rPr>
      </w:pPr>
    </w:p>
    <w:p>
      <w:pPr>
        <w:ind w:left="40" w:right="279"/>
        <w:spacing w:after="0" w:line="207" w:lineRule="auto"/>
        <w:rPr>
          <w:sz w:val="20"/>
          <w:szCs w:val="20"/>
          <w:color w:val="auto"/>
        </w:rPr>
      </w:pPr>
      <w:r>
        <w:rPr>
          <w:rFonts w:ascii="Times New Roman" w:cs="Times New Roman" w:eastAsia="Times New Roman" w:hAnsi="Times New Roman"/>
          <w:sz w:val="25"/>
          <w:szCs w:val="25"/>
          <w:color w:val="auto"/>
          <w:vertAlign w:val="superscript"/>
        </w:rPr>
        <w:t>8</w:t>
      </w:r>
      <w:r>
        <w:rPr>
          <w:rFonts w:ascii="Times New Roman" w:cs="Times New Roman" w:eastAsia="Times New Roman" w:hAnsi="Times New Roman"/>
          <w:sz w:val="17"/>
          <w:szCs w:val="17"/>
          <w:color w:val="auto"/>
        </w:rPr>
        <w:t>Consists of 75,372 of our common shares and options to purchase 150,922 of our common shares exercisable within 60 days of March 1, 2026.</w:t>
      </w:r>
    </w:p>
    <w:p>
      <w:pPr>
        <w:spacing w:after="0" w:line="180" w:lineRule="exact"/>
        <w:rPr>
          <w:sz w:val="20"/>
          <w:szCs w:val="20"/>
          <w:color w:val="auto"/>
        </w:rPr>
      </w:pPr>
    </w:p>
    <w:p>
      <w:pPr>
        <w:ind w:left="40" w:right="279"/>
        <w:spacing w:after="0" w:line="214" w:lineRule="auto"/>
        <w:rPr>
          <w:sz w:val="20"/>
          <w:szCs w:val="20"/>
          <w:color w:val="auto"/>
        </w:rPr>
      </w:pPr>
      <w:r>
        <w:rPr>
          <w:rFonts w:ascii="Times New Roman" w:cs="Times New Roman" w:eastAsia="Times New Roman" w:hAnsi="Times New Roman"/>
          <w:sz w:val="25"/>
          <w:szCs w:val="25"/>
          <w:color w:val="auto"/>
          <w:vertAlign w:val="superscript"/>
        </w:rPr>
        <w:t>9</w:t>
      </w:r>
      <w:r>
        <w:rPr>
          <w:rFonts w:ascii="Times New Roman" w:cs="Times New Roman" w:eastAsia="Times New Roman" w:hAnsi="Times New Roman"/>
          <w:sz w:val="17"/>
          <w:szCs w:val="17"/>
          <w:color w:val="auto"/>
        </w:rPr>
        <w:t>Consists of 64,517 of our common shares and options to purchase 134,078 of our common shares exercisable within 60 days of March 1, 2026.</w:t>
      </w:r>
    </w:p>
    <w:p>
      <w:pPr>
        <w:spacing w:after="0" w:line="179" w:lineRule="exact"/>
        <w:rPr>
          <w:sz w:val="20"/>
          <w:szCs w:val="20"/>
          <w:color w:val="auto"/>
        </w:rPr>
      </w:pPr>
    </w:p>
    <w:p>
      <w:pPr>
        <w:ind w:left="40" w:right="199"/>
        <w:spacing w:after="0" w:line="214" w:lineRule="auto"/>
        <w:rPr>
          <w:sz w:val="20"/>
          <w:szCs w:val="20"/>
          <w:color w:val="auto"/>
        </w:rPr>
      </w:pPr>
      <w:r>
        <w:rPr>
          <w:rFonts w:ascii="Times New Roman" w:cs="Times New Roman" w:eastAsia="Times New Roman" w:hAnsi="Times New Roman"/>
          <w:sz w:val="25"/>
          <w:szCs w:val="25"/>
          <w:color w:val="auto"/>
          <w:vertAlign w:val="superscript"/>
        </w:rPr>
        <w:t>10</w:t>
      </w:r>
      <w:r>
        <w:rPr>
          <w:rFonts w:ascii="Times New Roman" w:cs="Times New Roman" w:eastAsia="Times New Roman" w:hAnsi="Times New Roman"/>
          <w:sz w:val="17"/>
          <w:szCs w:val="17"/>
          <w:color w:val="auto"/>
        </w:rPr>
        <w:t>New board member, holding no shares as of March 1, 2026. No grants have been vested nor are expected to vest within 60 days of March 1, 2026</w:t>
      </w:r>
    </w:p>
    <w:p>
      <w:pPr>
        <w:spacing w:after="0" w:line="179" w:lineRule="exact"/>
        <w:rPr>
          <w:sz w:val="20"/>
          <w:szCs w:val="20"/>
          <w:color w:val="auto"/>
        </w:rPr>
      </w:pPr>
    </w:p>
    <w:p>
      <w:pPr>
        <w:ind w:left="40" w:right="219"/>
        <w:spacing w:after="0" w:line="214" w:lineRule="auto"/>
        <w:rPr>
          <w:sz w:val="20"/>
          <w:szCs w:val="20"/>
          <w:color w:val="auto"/>
        </w:rPr>
      </w:pPr>
      <w:r>
        <w:rPr>
          <w:rFonts w:ascii="Times New Roman" w:cs="Times New Roman" w:eastAsia="Times New Roman" w:hAnsi="Times New Roman"/>
          <w:sz w:val="25"/>
          <w:szCs w:val="25"/>
          <w:color w:val="auto"/>
          <w:vertAlign w:val="superscript"/>
        </w:rPr>
        <w:t>11</w:t>
      </w:r>
      <w:r>
        <w:rPr>
          <w:rFonts w:ascii="Times New Roman" w:cs="Times New Roman" w:eastAsia="Times New Roman" w:hAnsi="Times New Roman"/>
          <w:sz w:val="17"/>
          <w:szCs w:val="17"/>
          <w:color w:val="auto"/>
        </w:rPr>
        <w:t>Consists of 35,386 of our common shares and options to purchase 125,438 of our common shares exercisable within 60 days of March 1, 2026.</w:t>
      </w:r>
    </w:p>
    <w:p>
      <w:pPr>
        <w:spacing w:after="0" w:line="166" w:lineRule="exact"/>
        <w:rPr>
          <w:sz w:val="20"/>
          <w:szCs w:val="20"/>
          <w:color w:val="auto"/>
        </w:rPr>
      </w:pPr>
    </w:p>
    <w:p>
      <w:pPr>
        <w:ind w:left="40" w:right="199"/>
        <w:spacing w:after="0" w:line="214" w:lineRule="auto"/>
        <w:rPr>
          <w:sz w:val="20"/>
          <w:szCs w:val="20"/>
          <w:color w:val="auto"/>
        </w:rPr>
      </w:pPr>
      <w:r>
        <w:rPr>
          <w:rFonts w:ascii="Times New Roman" w:cs="Times New Roman" w:eastAsia="Times New Roman" w:hAnsi="Times New Roman"/>
          <w:sz w:val="25"/>
          <w:szCs w:val="25"/>
          <w:color w:val="auto"/>
          <w:vertAlign w:val="superscript"/>
        </w:rPr>
        <w:t>12</w:t>
      </w:r>
      <w:r>
        <w:rPr>
          <w:rFonts w:ascii="Times New Roman" w:cs="Times New Roman" w:eastAsia="Times New Roman" w:hAnsi="Times New Roman"/>
          <w:sz w:val="17"/>
          <w:szCs w:val="17"/>
          <w:color w:val="auto"/>
        </w:rPr>
        <w:t>New board member, holding no shares as of March 1, 2026. No grants have been vested nor are expected to vest within 60 days of March 1, 2026</w:t>
      </w:r>
    </w:p>
    <w:p>
      <w:pPr>
        <w:spacing w:after="0" w:line="179" w:lineRule="exact"/>
        <w:rPr>
          <w:sz w:val="20"/>
          <w:szCs w:val="20"/>
          <w:color w:val="auto"/>
        </w:rPr>
      </w:pPr>
    </w:p>
    <w:p>
      <w:pPr>
        <w:ind w:left="40" w:right="219"/>
        <w:spacing w:after="0" w:line="214" w:lineRule="auto"/>
        <w:rPr>
          <w:sz w:val="20"/>
          <w:szCs w:val="20"/>
          <w:color w:val="auto"/>
        </w:rPr>
      </w:pPr>
      <w:r>
        <w:rPr>
          <w:rFonts w:ascii="Times New Roman" w:cs="Times New Roman" w:eastAsia="Times New Roman" w:hAnsi="Times New Roman"/>
          <w:sz w:val="25"/>
          <w:szCs w:val="25"/>
          <w:color w:val="auto"/>
          <w:vertAlign w:val="superscript"/>
        </w:rPr>
        <w:t>13</w:t>
      </w:r>
      <w:r>
        <w:rPr>
          <w:rFonts w:ascii="Times New Roman" w:cs="Times New Roman" w:eastAsia="Times New Roman" w:hAnsi="Times New Roman"/>
          <w:sz w:val="17"/>
          <w:szCs w:val="17"/>
          <w:color w:val="auto"/>
        </w:rPr>
        <w:t>Consists of 33,704 of our common shares and options to purchase 139,977 of our common shares exercisable within 60 days of March 1, 2026.</w:t>
      </w:r>
    </w:p>
    <w:p>
      <w:pPr>
        <w:spacing w:after="0" w:line="179" w:lineRule="exact"/>
        <w:rPr>
          <w:sz w:val="20"/>
          <w:szCs w:val="20"/>
          <w:color w:val="auto"/>
        </w:rPr>
      </w:pPr>
    </w:p>
    <w:p>
      <w:pPr>
        <w:ind w:left="40" w:right="219"/>
        <w:spacing w:after="0" w:line="214" w:lineRule="auto"/>
        <w:rPr>
          <w:sz w:val="20"/>
          <w:szCs w:val="20"/>
          <w:color w:val="auto"/>
        </w:rPr>
      </w:pPr>
      <w:r>
        <w:rPr>
          <w:rFonts w:ascii="Times New Roman" w:cs="Times New Roman" w:eastAsia="Times New Roman" w:hAnsi="Times New Roman"/>
          <w:sz w:val="25"/>
          <w:szCs w:val="25"/>
          <w:color w:val="auto"/>
          <w:vertAlign w:val="superscript"/>
        </w:rPr>
        <w:t>14</w:t>
      </w:r>
      <w:r>
        <w:rPr>
          <w:rFonts w:ascii="Times New Roman" w:cs="Times New Roman" w:eastAsia="Times New Roman" w:hAnsi="Times New Roman"/>
          <w:sz w:val="17"/>
          <w:szCs w:val="17"/>
          <w:color w:val="auto"/>
        </w:rPr>
        <w:t>Consists of 58,704 of our common shares and options to purchase 118,782 of our common shares exercisable within 60 days of March 1, 2026.</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Holders</w:t>
      </w:r>
    </w:p>
    <w:p>
      <w:pPr>
        <w:spacing w:after="0" w:line="215" w:lineRule="exact"/>
        <w:rPr>
          <w:sz w:val="20"/>
          <w:szCs w:val="20"/>
          <w:color w:val="auto"/>
        </w:rPr>
      </w:pPr>
    </w:p>
    <w:p>
      <w:pPr>
        <w:ind w:left="40" w:right="159" w:firstLine="305"/>
        <w:spacing w:after="0" w:line="253" w:lineRule="auto"/>
        <w:rPr>
          <w:sz w:val="20"/>
          <w:szCs w:val="20"/>
          <w:color w:val="auto"/>
        </w:rPr>
      </w:pPr>
      <w:r>
        <w:rPr>
          <w:rFonts w:ascii="Times New Roman" w:cs="Times New Roman" w:eastAsia="Times New Roman" w:hAnsi="Times New Roman"/>
          <w:sz w:val="17"/>
          <w:szCs w:val="17"/>
          <w:color w:val="auto"/>
        </w:rPr>
        <w:t>As of March 1, 2026, we had over 250 shareholders of record of our common shares.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or by other entities.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Significant changes in ownership by major shareholders</w:t>
      </w:r>
    </w:p>
    <w:p>
      <w:pPr>
        <w:spacing w:after="0" w:line="215" w:lineRule="exact"/>
        <w:rPr>
          <w:sz w:val="20"/>
          <w:szCs w:val="20"/>
          <w:color w:val="auto"/>
        </w:rPr>
      </w:pPr>
    </w:p>
    <w:p>
      <w:pPr>
        <w:jc w:val="both"/>
        <w:ind w:left="40" w:right="159" w:firstLine="305"/>
        <w:spacing w:after="0" w:line="263" w:lineRule="auto"/>
        <w:rPr>
          <w:sz w:val="20"/>
          <w:szCs w:val="20"/>
          <w:color w:val="auto"/>
        </w:rPr>
      </w:pPr>
      <w:r>
        <w:rPr>
          <w:rFonts w:ascii="Times New Roman" w:cs="Times New Roman" w:eastAsia="Times New Roman" w:hAnsi="Times New Roman"/>
          <w:sz w:val="17"/>
          <w:szCs w:val="17"/>
          <w:color w:val="auto"/>
        </w:rPr>
        <w:t>We have experienced significant changes in the percentage ownership held by major shareholders as a result of our IPO. Prior to our IPO in September 2016, our principal shareholders were dievini Hopp BioTech holding GmbH &amp; Co KG and Varuma AG, which held shares representing 36.5% and 23.1%, respectively.</w:t>
      </w:r>
    </w:p>
    <w:p>
      <w:pPr>
        <w:spacing w:after="0" w:line="157" w:lineRule="exact"/>
        <w:rPr>
          <w:sz w:val="20"/>
          <w:szCs w:val="20"/>
          <w:color w:val="auto"/>
        </w:rPr>
      </w:pPr>
    </w:p>
    <w:p>
      <w:pPr>
        <w:ind w:left="40" w:right="119" w:firstLine="305"/>
        <w:spacing w:after="0" w:line="258" w:lineRule="auto"/>
        <w:rPr>
          <w:sz w:val="20"/>
          <w:szCs w:val="20"/>
          <w:color w:val="auto"/>
        </w:rPr>
      </w:pPr>
      <w:r>
        <w:rPr>
          <w:rFonts w:ascii="Times New Roman" w:cs="Times New Roman" w:eastAsia="Times New Roman" w:hAnsi="Times New Roman"/>
          <w:sz w:val="17"/>
          <w:szCs w:val="17"/>
          <w:color w:val="auto"/>
        </w:rPr>
        <w:t>In September 2016, we completed our IPO and listed our common shares on the Nasdaq Global Market. In the IPO, we issued and sold 6,900,000 common shares, including 900,000 common shares sold to the underwriters pursuant to the underwriters’ over-allotment option. While none of our existing shareholders sold common shares in the IPO, the percentage ownership held by certain shareholders decreased as a result of the issuance of the common shares sold by us in the IPO.</w:t>
      </w:r>
    </w:p>
    <w:p>
      <w:pPr>
        <w:spacing w:after="0" w:line="175" w:lineRule="exact"/>
        <w:rPr>
          <w:sz w:val="20"/>
          <w:szCs w:val="20"/>
          <w:color w:val="auto"/>
        </w:rPr>
      </w:pPr>
    </w:p>
    <w:p>
      <w:pPr>
        <w:jc w:val="both"/>
        <w:ind w:left="40" w:right="79" w:firstLine="305"/>
        <w:spacing w:after="0" w:line="263" w:lineRule="auto"/>
        <w:rPr>
          <w:sz w:val="20"/>
          <w:szCs w:val="20"/>
          <w:color w:val="auto"/>
        </w:rPr>
      </w:pPr>
      <w:r>
        <w:rPr>
          <w:rFonts w:ascii="Times New Roman" w:cs="Times New Roman" w:eastAsia="Times New Roman" w:hAnsi="Times New Roman"/>
          <w:sz w:val="17"/>
          <w:szCs w:val="17"/>
          <w:color w:val="auto"/>
        </w:rPr>
        <w:t>In July 2018, we completed three offerings of our common shares. In these offerings, we issued and sold 10,000,000 common shares, including 1,108,695 sold to the underwriters pursuant to the underwriters’ over-allotment option. The percentage ownership held by certain shareholders decreased as a result of the issuance of the common shares sold by us in these offerings.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44" w:name="page145"/>
    <w:bookmarkEnd w:id="14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159" w:firstLine="305"/>
        <w:spacing w:after="0" w:line="263" w:lineRule="auto"/>
        <w:rPr>
          <w:sz w:val="20"/>
          <w:szCs w:val="20"/>
          <w:color w:val="auto"/>
        </w:rPr>
      </w:pPr>
      <w:r>
        <w:rPr>
          <w:rFonts w:ascii="Times New Roman" w:cs="Times New Roman" w:eastAsia="Times New Roman" w:hAnsi="Times New Roman"/>
          <w:sz w:val="17"/>
          <w:szCs w:val="17"/>
          <w:color w:val="auto"/>
        </w:rPr>
        <w:t>In December 2023, we completed an offering of our common shares. In this offering, we issued and sold 14,300,000 common shares to the underwriters pursuant to the underwriters’ agreement. The percentage ownership held by certain shareholders decreased as a result of the issuance of the common shares sold by us in this offering.</w:t>
      </w:r>
    </w:p>
    <w:p>
      <w:pPr>
        <w:spacing w:after="0" w:line="170" w:lineRule="exact"/>
        <w:rPr>
          <w:sz w:val="20"/>
          <w:szCs w:val="20"/>
          <w:color w:val="auto"/>
        </w:rPr>
      </w:pPr>
    </w:p>
    <w:p>
      <w:pPr>
        <w:ind w:left="40" w:right="559" w:firstLine="305"/>
        <w:spacing w:after="0" w:line="277" w:lineRule="auto"/>
        <w:rPr>
          <w:sz w:val="20"/>
          <w:szCs w:val="20"/>
          <w:color w:val="auto"/>
        </w:rPr>
      </w:pPr>
      <w:r>
        <w:rPr>
          <w:rFonts w:ascii="Times New Roman" w:cs="Times New Roman" w:eastAsia="Times New Roman" w:hAnsi="Times New Roman"/>
          <w:sz w:val="17"/>
          <w:szCs w:val="17"/>
          <w:color w:val="auto"/>
        </w:rPr>
        <w:t>As of March 1, 2026, BVF, Inc., dievini Hopp BioTech holding GmbH &amp; Co KG, Varuma AG, and Affiris have not had significant changes in shareholdings compared to March 1, 2025.</w:t>
      </w:r>
    </w:p>
    <w:p>
      <w:pPr>
        <w:spacing w:after="0" w:line="154"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B.</w:t>
      </w:r>
      <w:r>
        <w:rPr>
          <w:sz w:val="20"/>
          <w:szCs w:val="20"/>
          <w:color w:val="auto"/>
        </w:rPr>
        <w:tab/>
      </w:r>
      <w:r>
        <w:rPr>
          <w:rFonts w:ascii="Times New Roman" w:cs="Times New Roman" w:eastAsia="Times New Roman" w:hAnsi="Times New Roman"/>
          <w:sz w:val="16"/>
          <w:szCs w:val="16"/>
          <w:b w:val="1"/>
          <w:bCs w:val="1"/>
          <w:color w:val="auto"/>
        </w:rPr>
        <w:t>Related-party transactions</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None.</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Indemnification of directors and executive management</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Our Articles of Association require us to indemnify our executive officers and directors to the fullest extent permitted by law.</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We entered into indemnification agreements with our executive officers and directors.</w:t>
      </w:r>
    </w:p>
    <w:p>
      <w:pPr>
        <w:spacing w:after="0" w:line="191" w:lineRule="exact"/>
        <w:rPr>
          <w:sz w:val="20"/>
          <w:szCs w:val="20"/>
          <w:color w:val="auto"/>
        </w:rPr>
      </w:pPr>
    </w:p>
    <w:p>
      <w:pPr>
        <w:ind w:left="340" w:right="6399" w:hanging="295"/>
        <w:spacing w:after="0" w:line="498" w:lineRule="auto"/>
        <w:tabs>
          <w:tab w:leader="none" w:pos="340" w:val="left"/>
        </w:tabs>
        <w:numPr>
          <w:ilvl w:val="0"/>
          <w:numId w:val="1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Interests of experts and counsel </w:t>
      </w:r>
      <w:r>
        <w:rPr>
          <w:rFonts w:ascii="Times New Roman" w:cs="Times New Roman" w:eastAsia="Times New Roman" w:hAnsi="Times New Roman"/>
          <w:sz w:val="17"/>
          <w:szCs w:val="17"/>
          <w:color w:val="auto"/>
        </w:rPr>
        <w:t>Not applicable.</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8. FINANCIAL INFORMATION</w:t>
      </w:r>
    </w:p>
    <w:p>
      <w:pPr>
        <w:spacing w:after="0" w:line="211" w:lineRule="exact"/>
        <w:rPr>
          <w:sz w:val="20"/>
          <w:szCs w:val="20"/>
          <w:color w:val="auto"/>
        </w:rPr>
      </w:pPr>
    </w:p>
    <w:p>
      <w:pPr>
        <w:ind w:left="40" w:right="4579" w:firstLine="5"/>
        <w:spacing w:after="0" w:line="493" w:lineRule="auto"/>
        <w:tabs>
          <w:tab w:leader="none" w:pos="345" w:val="left"/>
        </w:tabs>
        <w:numPr>
          <w:ilvl w:val="0"/>
          <w:numId w:val="1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Consolidated statements and other financial information Financial statements</w:t>
      </w: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See “Item 18. Financial statements,” which contains our consolidated financial statements prepared in accordance with IFRS.</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215" w:lineRule="exact"/>
        <w:rPr>
          <w:sz w:val="20"/>
          <w:szCs w:val="20"/>
          <w:color w:val="auto"/>
        </w:rPr>
      </w:pPr>
    </w:p>
    <w:p>
      <w:pPr>
        <w:ind w:left="40" w:right="79" w:firstLine="305"/>
        <w:spacing w:after="0" w:line="256" w:lineRule="auto"/>
        <w:rPr>
          <w:sz w:val="20"/>
          <w:szCs w:val="20"/>
          <w:color w:val="auto"/>
        </w:rPr>
      </w:pPr>
      <w:r>
        <w:rPr>
          <w:rFonts w:ascii="Times New Roman" w:cs="Times New Roman" w:eastAsia="Times New Roman" w:hAnsi="Times New Roman"/>
          <w:sz w:val="17"/>
          <w:szCs w:val="17"/>
          <w:color w:val="auto"/>
        </w:rPr>
        <w:t>From time to time we may become involved in legal proceedings that arise in the ordinary course of business. As of the date of this Annual Report, we have not been a party to or paid any damages in connection with litigation that has had a material adverse effect on our financial position. No assurance can be given that future litigation will not have a material adverse effect on our financial position. When appropriate in the executive management’s estimation, we may record reserves in our consolidated financial statements for pending litigation and other claims.</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Dividends and dividend policy</w:t>
      </w:r>
    </w:p>
    <w:p>
      <w:pPr>
        <w:spacing w:after="0" w:line="215" w:lineRule="exact"/>
        <w:rPr>
          <w:sz w:val="20"/>
          <w:szCs w:val="20"/>
          <w:color w:val="auto"/>
        </w:rPr>
      </w:pPr>
    </w:p>
    <w:p>
      <w:pPr>
        <w:ind w:left="40" w:right="199" w:firstLine="305"/>
        <w:spacing w:after="0" w:line="287" w:lineRule="auto"/>
        <w:rPr>
          <w:sz w:val="20"/>
          <w:szCs w:val="20"/>
          <w:color w:val="auto"/>
        </w:rPr>
      </w:pPr>
      <w:r>
        <w:rPr>
          <w:rFonts w:ascii="Times New Roman" w:cs="Times New Roman" w:eastAsia="Times New Roman" w:hAnsi="Times New Roman"/>
          <w:sz w:val="16"/>
          <w:szCs w:val="16"/>
          <w:color w:val="auto"/>
        </w:rPr>
        <w:t>We have never declared or distributed dividends on our capital stock. We intend to retain all available funds and any future earnings, if any, to fund the development and expansion of our business and we do not anticipate distributing any dividends in the foreseeable future. Any future determination related to dividend policy will be made at the discretion of our board of directors.</w:t>
      </w:r>
    </w:p>
    <w:p>
      <w:pPr>
        <w:spacing w:after="0" w:line="152" w:lineRule="exact"/>
        <w:rPr>
          <w:sz w:val="20"/>
          <w:szCs w:val="20"/>
          <w:color w:val="auto"/>
        </w:rPr>
      </w:pPr>
    </w:p>
    <w:p>
      <w:pPr>
        <w:ind w:left="40" w:right="99" w:firstLine="305"/>
        <w:spacing w:after="0" w:line="251" w:lineRule="auto"/>
        <w:rPr>
          <w:sz w:val="20"/>
          <w:szCs w:val="20"/>
          <w:color w:val="auto"/>
        </w:rPr>
      </w:pPr>
      <w:r>
        <w:rPr>
          <w:rFonts w:ascii="Times New Roman" w:cs="Times New Roman" w:eastAsia="Times New Roman" w:hAnsi="Times New Roman"/>
          <w:sz w:val="17"/>
          <w:szCs w:val="17"/>
          <w:color w:val="auto"/>
        </w:rPr>
        <w:t>Under Swiss law, any dividend must be approved by our shareholders. In addition, our auditors must confirm that the dividend proposal of our board of directors conforms to Swiss statutory law and our articles of incorporation. A Swiss corporation may pay dividends only if it has sufficient distributable profits brought forward from the previous business years (</w:t>
      </w:r>
      <w:r>
        <w:rPr>
          <w:rFonts w:ascii="Times New Roman" w:cs="Times New Roman" w:eastAsia="Times New Roman" w:hAnsi="Times New Roman"/>
          <w:sz w:val="17"/>
          <w:szCs w:val="17"/>
          <w:i w:val="1"/>
          <w:iCs w:val="1"/>
          <w:color w:val="auto"/>
        </w:rPr>
        <w:t>report des bénéfices</w:t>
      </w:r>
      <w:r>
        <w:rPr>
          <w:rFonts w:ascii="Times New Roman" w:cs="Times New Roman" w:eastAsia="Times New Roman" w:hAnsi="Times New Roman"/>
          <w:sz w:val="17"/>
          <w:szCs w:val="17"/>
          <w:color w:val="auto"/>
        </w:rPr>
        <w:t>) or if it has distributable reserves (</w:t>
      </w:r>
      <w:r>
        <w:rPr>
          <w:rFonts w:ascii="Times New Roman" w:cs="Times New Roman" w:eastAsia="Times New Roman" w:hAnsi="Times New Roman"/>
          <w:sz w:val="17"/>
          <w:szCs w:val="17"/>
          <w:i w:val="1"/>
          <w:iCs w:val="1"/>
          <w:color w:val="auto"/>
        </w:rPr>
        <w:t>réserves à libre disposition</w:t>
      </w:r>
      <w:r>
        <w:rPr>
          <w:rFonts w:ascii="Times New Roman" w:cs="Times New Roman" w:eastAsia="Times New Roman" w:hAnsi="Times New Roman"/>
          <w:sz w:val="17"/>
          <w:szCs w:val="17"/>
          <w:color w:val="auto"/>
        </w:rPr>
        <w:t>), each as evidenced by its audited standalone statutory balance sheet prepared pursuant to Swiss law and after allocations to reserves required by Swiss law and its articles of association have been deducted. Distributable reserves are generally booked either as “free reserves” (</w:t>
      </w:r>
      <w:r>
        <w:rPr>
          <w:rFonts w:ascii="Times New Roman" w:cs="Times New Roman" w:eastAsia="Times New Roman" w:hAnsi="Times New Roman"/>
          <w:sz w:val="17"/>
          <w:szCs w:val="17"/>
          <w:i w:val="1"/>
          <w:iCs w:val="1"/>
          <w:color w:val="auto"/>
        </w:rPr>
        <w:t>réserves libres</w:t>
      </w:r>
      <w:r>
        <w:rPr>
          <w:rFonts w:ascii="Times New Roman" w:cs="Times New Roman" w:eastAsia="Times New Roman" w:hAnsi="Times New Roman"/>
          <w:sz w:val="17"/>
          <w:szCs w:val="17"/>
          <w:color w:val="auto"/>
        </w:rPr>
        <w:t>) or as “reserve from capital contributions” (</w:t>
      </w:r>
      <w:r>
        <w:rPr>
          <w:rFonts w:ascii="Times New Roman" w:cs="Times New Roman" w:eastAsia="Times New Roman" w:hAnsi="Times New Roman"/>
          <w:sz w:val="17"/>
          <w:szCs w:val="17"/>
          <w:i w:val="1"/>
          <w:iCs w:val="1"/>
          <w:color w:val="auto"/>
        </w:rPr>
        <w:t>apports de capital</w:t>
      </w:r>
      <w:r>
        <w:rPr>
          <w:rFonts w:ascii="Times New Roman" w:cs="Times New Roman" w:eastAsia="Times New Roman" w:hAnsi="Times New Roman"/>
          <w:sz w:val="17"/>
          <w:szCs w:val="17"/>
          <w:color w:val="auto"/>
        </w:rPr>
        <w:t>). Distributions out of nominal share capital, which is the aggregate nominal value of a corporation’s issued shares, may be made only by way of a share capital reduction.</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45" w:name="page146"/>
    <w:bookmarkEnd w:id="14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B.</w:t>
      </w:r>
      <w:r>
        <w:rPr>
          <w:sz w:val="20"/>
          <w:szCs w:val="20"/>
          <w:color w:val="auto"/>
        </w:rPr>
        <w:tab/>
      </w:r>
      <w:r>
        <w:rPr>
          <w:rFonts w:ascii="Times New Roman" w:cs="Times New Roman" w:eastAsia="Times New Roman" w:hAnsi="Times New Roman"/>
          <w:sz w:val="16"/>
          <w:szCs w:val="16"/>
          <w:b w:val="1"/>
          <w:bCs w:val="1"/>
          <w:color w:val="auto"/>
        </w:rPr>
        <w:t>Significant changes</w:t>
      </w:r>
    </w:p>
    <w:p>
      <w:pPr>
        <w:spacing w:after="0" w:line="215" w:lineRule="exact"/>
        <w:rPr>
          <w:sz w:val="20"/>
          <w:szCs w:val="20"/>
          <w:color w:val="auto"/>
        </w:rPr>
      </w:pPr>
    </w:p>
    <w:p>
      <w:pPr>
        <w:ind w:left="40" w:right="139" w:firstLine="305"/>
        <w:spacing w:after="0" w:line="258" w:lineRule="auto"/>
        <w:rPr>
          <w:sz w:val="20"/>
          <w:szCs w:val="20"/>
          <w:color w:val="auto"/>
        </w:rPr>
      </w:pPr>
      <w:r>
        <w:rPr>
          <w:rFonts w:ascii="Times New Roman" w:cs="Times New Roman" w:eastAsia="Times New Roman" w:hAnsi="Times New Roman"/>
          <w:sz w:val="17"/>
          <w:szCs w:val="17"/>
          <w:color w:val="auto"/>
        </w:rPr>
        <w:t xml:space="preserve">A discussion of the significant changes in our business can be found under “Item 4. Information on the Company—A. History and development of the Company,” “Item 4. Information on the Company—B. Business overview,” and Note 23 </w:t>
      </w:r>
      <w:r>
        <w:rPr>
          <w:rFonts w:ascii="Times New Roman" w:cs="Times New Roman" w:eastAsia="Times New Roman" w:hAnsi="Times New Roman"/>
          <w:sz w:val="17"/>
          <w:szCs w:val="17"/>
          <w:i w:val="1"/>
          <w:iCs w:val="1"/>
          <w:color w:val="auto"/>
        </w:rPr>
        <w:t>Subsequent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Events</w:t>
      </w:r>
      <w:r>
        <w:rPr>
          <w:rFonts w:ascii="Times New Roman" w:cs="Times New Roman" w:eastAsia="Times New Roman" w:hAnsi="Times New Roman"/>
          <w:sz w:val="17"/>
          <w:szCs w:val="17"/>
          <w:color w:val="auto"/>
        </w:rPr>
        <w:t>, included in the audited consolidated financial statements starting at page F-1. Other than the events included in these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places, no significant changes have occurred.</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9. THE OFFER AND LISTING</w:t>
      </w:r>
    </w:p>
    <w:p>
      <w:pPr>
        <w:spacing w:after="0" w:line="211" w:lineRule="exact"/>
        <w:rPr>
          <w:sz w:val="20"/>
          <w:szCs w:val="20"/>
          <w:color w:val="auto"/>
        </w:rPr>
      </w:pPr>
    </w:p>
    <w:p>
      <w:pPr>
        <w:ind w:left="340" w:right="6479" w:hanging="295"/>
        <w:spacing w:after="0" w:line="521" w:lineRule="auto"/>
        <w:tabs>
          <w:tab w:leader="none" w:pos="340" w:val="left"/>
        </w:tabs>
        <w:numPr>
          <w:ilvl w:val="0"/>
          <w:numId w:val="10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Offering and listing details </w:t>
      </w:r>
      <w:r>
        <w:rPr>
          <w:rFonts w:ascii="Times New Roman" w:cs="Times New Roman" w:eastAsia="Times New Roman" w:hAnsi="Times New Roman"/>
          <w:sz w:val="16"/>
          <w:szCs w:val="16"/>
          <w:color w:val="auto"/>
        </w:rPr>
        <w:t>See “Item 9–C. Markets” below.</w:t>
      </w:r>
    </w:p>
    <w:p>
      <w:pPr>
        <w:ind w:left="340" w:right="7259" w:hanging="295"/>
        <w:spacing w:after="0" w:line="498" w:lineRule="auto"/>
        <w:tabs>
          <w:tab w:leader="none" w:pos="340" w:val="left"/>
        </w:tabs>
        <w:numPr>
          <w:ilvl w:val="0"/>
          <w:numId w:val="1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Plan of distribution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340" w:hanging="295"/>
        <w:spacing w:after="0"/>
        <w:tabs>
          <w:tab w:leader="none" w:pos="340" w:val="left"/>
        </w:tabs>
        <w:numPr>
          <w:ilvl w:val="0"/>
          <w:numId w:val="1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Markets</w:t>
      </w:r>
    </w:p>
    <w:p>
      <w:pPr>
        <w:spacing w:after="0" w:line="214"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Our common shares trade on the Nasdaq Global Market under the symbol “ACIU.”</w:t>
      </w:r>
    </w:p>
    <w:p>
      <w:pPr>
        <w:spacing w:after="0" w:line="206" w:lineRule="exact"/>
        <w:rPr>
          <w:rFonts w:ascii="Times New Roman" w:cs="Times New Roman" w:eastAsia="Times New Roman" w:hAnsi="Times New Roman"/>
          <w:sz w:val="17"/>
          <w:szCs w:val="17"/>
          <w:b w:val="1"/>
          <w:bCs w:val="1"/>
          <w:color w:val="auto"/>
        </w:rPr>
      </w:pPr>
    </w:p>
    <w:p>
      <w:pPr>
        <w:ind w:left="340" w:right="7219" w:hanging="295"/>
        <w:spacing w:after="0" w:line="521" w:lineRule="auto"/>
        <w:tabs>
          <w:tab w:leader="none" w:pos="340" w:val="left"/>
        </w:tabs>
        <w:numPr>
          <w:ilvl w:val="0"/>
          <w:numId w:val="10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Selling shareholders </w:t>
      </w:r>
      <w:r>
        <w:rPr>
          <w:rFonts w:ascii="Times New Roman" w:cs="Times New Roman" w:eastAsia="Times New Roman" w:hAnsi="Times New Roman"/>
          <w:sz w:val="16"/>
          <w:szCs w:val="16"/>
          <w:color w:val="auto"/>
        </w:rPr>
        <w:t>Not applicable.</w:t>
      </w:r>
    </w:p>
    <w:p>
      <w:pPr>
        <w:ind w:left="340" w:hanging="295"/>
        <w:spacing w:after="0"/>
        <w:tabs>
          <w:tab w:leader="none" w:pos="340" w:val="left"/>
        </w:tabs>
        <w:numPr>
          <w:ilvl w:val="0"/>
          <w:numId w:val="1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Dilution</w:t>
      </w:r>
    </w:p>
    <w:p>
      <w:pPr>
        <w:spacing w:after="0" w:line="214"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Not applicable.</w:t>
      </w:r>
    </w:p>
    <w:p>
      <w:pPr>
        <w:spacing w:after="0" w:line="206" w:lineRule="exact"/>
        <w:rPr>
          <w:rFonts w:ascii="Times New Roman" w:cs="Times New Roman" w:eastAsia="Times New Roman" w:hAnsi="Times New Roman"/>
          <w:sz w:val="17"/>
          <w:szCs w:val="17"/>
          <w:b w:val="1"/>
          <w:bCs w:val="1"/>
          <w:color w:val="auto"/>
        </w:rPr>
      </w:pPr>
    </w:p>
    <w:p>
      <w:pPr>
        <w:ind w:left="340" w:right="7159" w:hanging="295"/>
        <w:spacing w:after="0" w:line="498" w:lineRule="auto"/>
        <w:tabs>
          <w:tab w:leader="none" w:pos="340" w:val="left"/>
        </w:tabs>
        <w:numPr>
          <w:ilvl w:val="0"/>
          <w:numId w:val="1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Expenses of the issue </w:t>
      </w:r>
      <w:r>
        <w:rPr>
          <w:rFonts w:ascii="Times New Roman" w:cs="Times New Roman" w:eastAsia="Times New Roman" w:hAnsi="Times New Roman"/>
          <w:sz w:val="17"/>
          <w:szCs w:val="17"/>
          <w:color w:val="auto"/>
        </w:rPr>
        <w:t>Not applicable.</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10. ADDITIONAL INFORMATION</w:t>
      </w:r>
    </w:p>
    <w:p>
      <w:pPr>
        <w:spacing w:after="0" w:line="211" w:lineRule="exact"/>
        <w:rPr>
          <w:sz w:val="20"/>
          <w:szCs w:val="20"/>
          <w:color w:val="auto"/>
        </w:rPr>
      </w:pPr>
    </w:p>
    <w:p>
      <w:pPr>
        <w:ind w:left="340" w:right="7639" w:hanging="295"/>
        <w:spacing w:after="0" w:line="498" w:lineRule="auto"/>
        <w:tabs>
          <w:tab w:leader="none" w:pos="340" w:val="left"/>
        </w:tabs>
        <w:numPr>
          <w:ilvl w:val="0"/>
          <w:numId w:val="1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 capital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340" w:hanging="295"/>
        <w:spacing w:after="0"/>
        <w:tabs>
          <w:tab w:leader="none" w:pos="340" w:val="left"/>
        </w:tabs>
        <w:numPr>
          <w:ilvl w:val="0"/>
          <w:numId w:val="1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Memorandum and articles of association</w:t>
      </w:r>
    </w:p>
    <w:p>
      <w:pPr>
        <w:spacing w:after="0" w:line="202" w:lineRule="exact"/>
        <w:rPr>
          <w:sz w:val="20"/>
          <w:szCs w:val="20"/>
          <w:color w:val="auto"/>
        </w:rPr>
      </w:pPr>
    </w:p>
    <w:p>
      <w:pPr>
        <w:ind w:left="40" w:right="239" w:firstLine="305"/>
        <w:spacing w:after="0" w:line="277" w:lineRule="auto"/>
        <w:rPr>
          <w:sz w:val="20"/>
          <w:szCs w:val="20"/>
          <w:color w:val="auto"/>
        </w:rPr>
      </w:pPr>
      <w:r>
        <w:rPr>
          <w:rFonts w:ascii="Times New Roman" w:cs="Times New Roman" w:eastAsia="Times New Roman" w:hAnsi="Times New Roman"/>
          <w:sz w:val="17"/>
          <w:szCs w:val="17"/>
          <w:color w:val="auto"/>
        </w:rPr>
        <w:t>We incorporate by reference into this annual report on Form 20-F the description of our Articles of Association incorporated herein by reference to Exhibit 3.1 to this Annual Report on Form 20-F.</w:t>
      </w:r>
    </w:p>
    <w:p>
      <w:pPr>
        <w:spacing w:after="0" w:line="154"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C.</w:t>
      </w:r>
      <w:r>
        <w:rPr>
          <w:sz w:val="20"/>
          <w:szCs w:val="20"/>
          <w:color w:val="auto"/>
        </w:rPr>
        <w:tab/>
      </w:r>
      <w:r>
        <w:rPr>
          <w:rFonts w:ascii="Times New Roman" w:cs="Times New Roman" w:eastAsia="Times New Roman" w:hAnsi="Times New Roman"/>
          <w:sz w:val="16"/>
          <w:szCs w:val="16"/>
          <w:b w:val="1"/>
          <w:bCs w:val="1"/>
          <w:color w:val="auto"/>
        </w:rPr>
        <w:t>Material contracts</w:t>
      </w:r>
    </w:p>
    <w:p>
      <w:pPr>
        <w:spacing w:after="0" w:line="215" w:lineRule="exact"/>
        <w:rPr>
          <w:sz w:val="20"/>
          <w:szCs w:val="20"/>
          <w:color w:val="auto"/>
        </w:rPr>
      </w:pPr>
    </w:p>
    <w:p>
      <w:pPr>
        <w:ind w:left="40" w:right="139" w:firstLine="305"/>
        <w:spacing w:after="0" w:line="277" w:lineRule="auto"/>
        <w:rPr>
          <w:sz w:val="20"/>
          <w:szCs w:val="20"/>
          <w:color w:val="auto"/>
        </w:rPr>
      </w:pPr>
      <w:r>
        <w:rPr>
          <w:rFonts w:ascii="Times New Roman" w:cs="Times New Roman" w:eastAsia="Times New Roman" w:hAnsi="Times New Roman"/>
          <w:sz w:val="17"/>
          <w:szCs w:val="17"/>
          <w:color w:val="auto"/>
        </w:rPr>
        <w:t>Except as otherwise disclosed in this Annual Report on Form 20-F (including the Exhibits), we are not currently, and have not been in the past 2 years, party to any material contract, other than contracts entered into in the ordinary course of business.</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46" w:name="page147"/>
    <w:bookmarkEnd w:id="14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D.</w:t>
        <w:tab/>
        <w:t>Exchange controls</w:t>
      </w:r>
    </w:p>
    <w:p>
      <w:pPr>
        <w:spacing w:after="0" w:line="215" w:lineRule="exact"/>
        <w:rPr>
          <w:sz w:val="20"/>
          <w:szCs w:val="20"/>
          <w:color w:val="auto"/>
        </w:rPr>
      </w:pPr>
    </w:p>
    <w:p>
      <w:pPr>
        <w:ind w:left="40" w:right="199" w:firstLine="305"/>
        <w:spacing w:after="0" w:line="263" w:lineRule="auto"/>
        <w:rPr>
          <w:sz w:val="20"/>
          <w:szCs w:val="20"/>
          <w:color w:val="auto"/>
        </w:rPr>
      </w:pPr>
      <w:r>
        <w:rPr>
          <w:rFonts w:ascii="Times New Roman" w:cs="Times New Roman" w:eastAsia="Times New Roman" w:hAnsi="Times New Roman"/>
          <w:sz w:val="17"/>
          <w:szCs w:val="17"/>
          <w:color w:val="auto"/>
        </w:rPr>
        <w:t>There are no Swiss governmental laws, decrees or regulations that restrict, in a manner material to us, the export or import of capital, including any foreign exchange controls, or that generally affect the remittance of dividends or other payments to non-residents or non-citizens of Switzerland who hold our common shares.</w:t>
      </w:r>
    </w:p>
    <w:p>
      <w:pPr>
        <w:spacing w:after="0" w:line="166"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E.</w:t>
      </w:r>
      <w:r>
        <w:rPr>
          <w:sz w:val="20"/>
          <w:szCs w:val="20"/>
          <w:color w:val="auto"/>
        </w:rPr>
        <w:tab/>
      </w:r>
      <w:r>
        <w:rPr>
          <w:rFonts w:ascii="Times New Roman" w:cs="Times New Roman" w:eastAsia="Times New Roman" w:hAnsi="Times New Roman"/>
          <w:sz w:val="16"/>
          <w:szCs w:val="16"/>
          <w:b w:val="1"/>
          <w:bCs w:val="1"/>
          <w:color w:val="auto"/>
        </w:rPr>
        <w:t>Taxation</w:t>
      </w:r>
    </w:p>
    <w:p>
      <w:pPr>
        <w:spacing w:after="0" w:line="215" w:lineRule="exact"/>
        <w:rPr>
          <w:sz w:val="20"/>
          <w:szCs w:val="20"/>
          <w:color w:val="auto"/>
        </w:rPr>
      </w:pPr>
    </w:p>
    <w:p>
      <w:pPr>
        <w:ind w:left="40" w:right="259" w:firstLine="305"/>
        <w:spacing w:after="0" w:line="252" w:lineRule="auto"/>
        <w:rPr>
          <w:sz w:val="20"/>
          <w:szCs w:val="20"/>
          <w:color w:val="auto"/>
        </w:rPr>
      </w:pPr>
      <w:r>
        <w:rPr>
          <w:rFonts w:ascii="Times New Roman" w:cs="Times New Roman" w:eastAsia="Times New Roman" w:hAnsi="Times New Roman"/>
          <w:sz w:val="17"/>
          <w:szCs w:val="17"/>
          <w:color w:val="auto"/>
        </w:rPr>
        <w:t>The following summary contains a description of the material Swiss and U.S. federal income tax consequences of the acquisition, ownership and disposition of common shares, but it does not purport to be a comprehensive description of all the tax considerations that may be relevant to a decision to purchase common shares. The summary is based upon the tax laws of Switzerland and regulations thereunder and on the tax laws of the United States and regulations thereunder as of the date hereof, which are subject to change.</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Swiss tax considerations</w:t>
      </w:r>
    </w:p>
    <w:p>
      <w:pPr>
        <w:spacing w:after="0" w:line="215" w:lineRule="exact"/>
        <w:rPr>
          <w:sz w:val="20"/>
          <w:szCs w:val="20"/>
          <w:color w:val="auto"/>
        </w:rPr>
      </w:pPr>
    </w:p>
    <w:p>
      <w:pPr>
        <w:ind w:left="40" w:right="219" w:firstLine="305"/>
        <w:spacing w:after="0" w:line="251" w:lineRule="auto"/>
        <w:rPr>
          <w:sz w:val="20"/>
          <w:szCs w:val="20"/>
          <w:color w:val="auto"/>
        </w:rPr>
      </w:pPr>
      <w:r>
        <w:rPr>
          <w:rFonts w:ascii="Times New Roman" w:cs="Times New Roman" w:eastAsia="Times New Roman" w:hAnsi="Times New Roman"/>
          <w:sz w:val="17"/>
          <w:szCs w:val="17"/>
          <w:color w:val="auto"/>
        </w:rPr>
        <w:t>This summary of material Swiss tax consequences is based on Swiss law and regulations and the practice of the Swiss tax administration as in effect on the date hereof, all of which are subject to change (or subject to changes in interpretation), possibly with retroactive effect. The summary does not purport to consider the specific circumstances of any particular shareholder or potential investor and does not relate to persons in the business of buying and selling common shares or other securities. The summary is not intended to be, and should not be interpreted as, legal or tax advice to any particular potential shareholder, and no representation with respect to the tax consequences to any particular shareholder is made.</w:t>
      </w:r>
    </w:p>
    <w:p>
      <w:pPr>
        <w:spacing w:after="0" w:line="182" w:lineRule="exact"/>
        <w:rPr>
          <w:sz w:val="20"/>
          <w:szCs w:val="20"/>
          <w:color w:val="auto"/>
        </w:rPr>
      </w:pPr>
    </w:p>
    <w:p>
      <w:pPr>
        <w:ind w:left="40" w:right="79" w:firstLine="305"/>
        <w:spacing w:after="0" w:line="251" w:lineRule="auto"/>
        <w:rPr>
          <w:sz w:val="20"/>
          <w:szCs w:val="20"/>
          <w:color w:val="auto"/>
        </w:rPr>
      </w:pPr>
      <w:r>
        <w:rPr>
          <w:rFonts w:ascii="Times New Roman" w:cs="Times New Roman" w:eastAsia="Times New Roman" w:hAnsi="Times New Roman"/>
          <w:sz w:val="17"/>
          <w:szCs w:val="17"/>
          <w:color w:val="auto"/>
        </w:rPr>
        <w:t>Current and prospective shareholders are advised to consult their own tax advisors in light of their particular circumstances as to the Swiss tax laws, regulations and regulatory practices that could be relevant to them in connection with the acquiring, owning and selling or otherwise disposing of common shares and receiving dividends and similar cash or in-kind distributions on common shares (including dividends on liquidation proceeds and stock dividends) or distributions on common shares based upon a capital reduction (</w:t>
      </w:r>
      <w:r>
        <w:rPr>
          <w:rFonts w:ascii="Times New Roman" w:cs="Times New Roman" w:eastAsia="Times New Roman" w:hAnsi="Times New Roman"/>
          <w:sz w:val="17"/>
          <w:szCs w:val="17"/>
          <w:i w:val="1"/>
          <w:iCs w:val="1"/>
          <w:color w:val="auto"/>
        </w:rPr>
        <w:t>remboursements de la valeur nominale</w:t>
      </w:r>
      <w:r>
        <w:rPr>
          <w:rFonts w:ascii="Times New Roman" w:cs="Times New Roman" w:eastAsia="Times New Roman" w:hAnsi="Times New Roman"/>
          <w:sz w:val="17"/>
          <w:szCs w:val="17"/>
          <w:color w:val="auto"/>
        </w:rPr>
        <w:t>) or reserves paid out of capital contributions (</w:t>
      </w:r>
      <w:r>
        <w:rPr>
          <w:rFonts w:ascii="Times New Roman" w:cs="Times New Roman" w:eastAsia="Times New Roman" w:hAnsi="Times New Roman"/>
          <w:sz w:val="17"/>
          <w:szCs w:val="17"/>
          <w:i w:val="1"/>
          <w:iCs w:val="1"/>
          <w:color w:val="auto"/>
        </w:rPr>
        <w:t>réserves sur les apports en capital</w:t>
      </w:r>
      <w:r>
        <w:rPr>
          <w:rFonts w:ascii="Times New Roman" w:cs="Times New Roman" w:eastAsia="Times New Roman" w:hAnsi="Times New Roman"/>
          <w:sz w:val="17"/>
          <w:szCs w:val="17"/>
          <w:color w:val="auto"/>
        </w:rPr>
        <w:t>) and the consequences thereof under the tax laws, regulations and regulatory practices of Switzerland.</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Taxation of AC Immune</w:t>
      </w:r>
    </w:p>
    <w:p>
      <w:pPr>
        <w:spacing w:after="0" w:line="215" w:lineRule="exact"/>
        <w:rPr>
          <w:sz w:val="20"/>
          <w:szCs w:val="20"/>
          <w:color w:val="auto"/>
        </w:rPr>
      </w:pPr>
    </w:p>
    <w:p>
      <w:pPr>
        <w:ind w:left="40" w:right="99" w:firstLine="305"/>
        <w:spacing w:after="0" w:line="277" w:lineRule="auto"/>
        <w:rPr>
          <w:sz w:val="20"/>
          <w:szCs w:val="20"/>
          <w:color w:val="auto"/>
        </w:rPr>
      </w:pPr>
      <w:r>
        <w:rPr>
          <w:rFonts w:ascii="Times New Roman" w:cs="Times New Roman" w:eastAsia="Times New Roman" w:hAnsi="Times New Roman"/>
          <w:sz w:val="17"/>
          <w:szCs w:val="17"/>
          <w:color w:val="auto"/>
        </w:rPr>
        <w:t>AC Immune is subject to corporate Swiss federal, cantonal and communal taxation in Switzerland, Canton of Vaud, Commune of Ecublens, near Lausanne, respectively.</w:t>
      </w:r>
    </w:p>
    <w:p>
      <w:pPr>
        <w:spacing w:after="0" w:line="158" w:lineRule="exact"/>
        <w:rPr>
          <w:sz w:val="20"/>
          <w:szCs w:val="20"/>
          <w:color w:val="auto"/>
        </w:rPr>
      </w:pPr>
    </w:p>
    <w:p>
      <w:pPr>
        <w:ind w:left="40" w:right="179" w:firstLine="305"/>
        <w:spacing w:after="0" w:line="253" w:lineRule="auto"/>
        <w:rPr>
          <w:sz w:val="20"/>
          <w:szCs w:val="20"/>
          <w:color w:val="auto"/>
        </w:rPr>
      </w:pPr>
      <w:r>
        <w:rPr>
          <w:rFonts w:ascii="Times New Roman" w:cs="Times New Roman" w:eastAsia="Times New Roman" w:hAnsi="Times New Roman"/>
          <w:sz w:val="17"/>
          <w:szCs w:val="17"/>
          <w:color w:val="auto"/>
        </w:rPr>
        <w:t>We are entitled under Swiss laws to carry forward any losses incurred for a period of 7 years and can offset our losses carried forward against future taxes. As of December 31, 2025, we had tax loss carry-forwards totaling CHF 362.3 million (provisional amount; tax loss is definitively recognized by Swiss tax authorities once set-off against taxable income). There is no certainty that we will make sufficient profits to be able to utilize these tax loss carry-forwards in full.</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effective corporate income tax rate (federal, cantonal and communal) where we are domiciled is currently 13.6%.</w:t>
      </w:r>
    </w:p>
    <w:p>
      <w:pPr>
        <w:spacing w:after="0" w:line="211" w:lineRule="exact"/>
        <w:rPr>
          <w:sz w:val="20"/>
          <w:szCs w:val="20"/>
          <w:color w:val="auto"/>
        </w:rPr>
      </w:pPr>
    </w:p>
    <w:p>
      <w:pPr>
        <w:ind w:left="40" w:right="279" w:firstLine="305"/>
        <w:spacing w:after="0" w:line="263" w:lineRule="auto"/>
        <w:rPr>
          <w:sz w:val="20"/>
          <w:szCs w:val="20"/>
          <w:color w:val="auto"/>
        </w:rPr>
      </w:pPr>
      <w:r>
        <w:rPr>
          <w:rFonts w:ascii="Times New Roman" w:cs="Times New Roman" w:eastAsia="Times New Roman" w:hAnsi="Times New Roman"/>
          <w:sz w:val="17"/>
          <w:szCs w:val="17"/>
          <w:color w:val="auto"/>
        </w:rPr>
        <w:t>As of January 1, 2020, the Company may request a tax relief of 60%, which would be applied to income from patents and similar rights at communal and cantonal levels. Additionally, a so-called “super-deduction” may be granted for payroll and other expenses of research and development of Swiss origins.</w:t>
      </w:r>
    </w:p>
    <w:p>
      <w:pPr>
        <w:spacing w:after="0" w:line="170" w:lineRule="exact"/>
        <w:rPr>
          <w:sz w:val="20"/>
          <w:szCs w:val="20"/>
          <w:color w:val="auto"/>
        </w:rPr>
      </w:pPr>
    </w:p>
    <w:p>
      <w:pPr>
        <w:ind w:left="40" w:right="159" w:firstLine="305"/>
        <w:spacing w:after="0" w:line="277" w:lineRule="auto"/>
        <w:rPr>
          <w:sz w:val="20"/>
          <w:szCs w:val="20"/>
          <w:color w:val="auto"/>
        </w:rPr>
      </w:pPr>
      <w:r>
        <w:rPr>
          <w:rFonts w:ascii="Times New Roman" w:cs="Times New Roman" w:eastAsia="Times New Roman" w:hAnsi="Times New Roman"/>
          <w:sz w:val="17"/>
          <w:szCs w:val="17"/>
          <w:color w:val="auto"/>
        </w:rPr>
        <w:t>However, the aforementioned tax relief based on the patent box and deductions for research and development may not exceed 50% of the overall taxable profit before these tax relief and deductions.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47" w:name="page148"/>
    <w:bookmarkEnd w:id="14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219" w:firstLine="305"/>
        <w:spacing w:after="0" w:line="263" w:lineRule="auto"/>
        <w:rPr>
          <w:sz w:val="20"/>
          <w:szCs w:val="20"/>
          <w:color w:val="auto"/>
        </w:rPr>
      </w:pPr>
      <w:r>
        <w:rPr>
          <w:rFonts w:ascii="Times New Roman" w:cs="Times New Roman" w:eastAsia="Times New Roman" w:hAnsi="Times New Roman"/>
          <w:sz w:val="17"/>
          <w:szCs w:val="17"/>
          <w:color w:val="auto"/>
        </w:rPr>
        <w:t>Notwithstanding the corporate income tax, the corporate capital is taxed at a rate of 0.1305% (cantonal and communal tax only, as there is no federal tax on capital). As of January 1, 2020 the capital attributable to patents and similar rights is considered with 50% relief in the capital tax calculation.</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Federal, cantonal and communal individual income tax and corporate income tax</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Non-resident shareholders</w:t>
      </w:r>
    </w:p>
    <w:p>
      <w:pPr>
        <w:spacing w:after="0" w:line="211" w:lineRule="exact"/>
        <w:rPr>
          <w:sz w:val="20"/>
          <w:szCs w:val="20"/>
          <w:color w:val="auto"/>
        </w:rPr>
      </w:pPr>
    </w:p>
    <w:p>
      <w:pPr>
        <w:ind w:left="40" w:right="59" w:firstLine="305"/>
        <w:spacing w:after="0" w:line="251" w:lineRule="auto"/>
        <w:rPr>
          <w:sz w:val="20"/>
          <w:szCs w:val="20"/>
          <w:color w:val="auto"/>
        </w:rPr>
      </w:pPr>
      <w:r>
        <w:rPr>
          <w:rFonts w:ascii="Times New Roman" w:cs="Times New Roman" w:eastAsia="Times New Roman" w:hAnsi="Times New Roman"/>
          <w:sz w:val="17"/>
          <w:szCs w:val="17"/>
          <w:color w:val="auto"/>
        </w:rPr>
        <w:t>Except as described in “—</w:t>
      </w:r>
      <w:r>
        <w:rPr>
          <w:rFonts w:ascii="Times New Roman" w:cs="Times New Roman" w:eastAsia="Times New Roman" w:hAnsi="Times New Roman"/>
          <w:sz w:val="17"/>
          <w:szCs w:val="17"/>
          <w:i w:val="1"/>
          <w:iCs w:val="1"/>
          <w:color w:val="auto"/>
        </w:rPr>
        <w:t>Swiss withholding tax”</w:t>
      </w:r>
      <w:r>
        <w:rPr>
          <w:rFonts w:ascii="Times New Roman" w:cs="Times New Roman" w:eastAsia="Times New Roman" w:hAnsi="Times New Roman"/>
          <w:sz w:val="17"/>
          <w:szCs w:val="17"/>
          <w:color w:val="auto"/>
        </w:rPr>
        <w:t xml:space="preserve"> below, shareholders who are not resident in Switzerland for tax purposes, and who, during the relevant taxation year, have not engaged in a trade or business carried on through a permanent establishment or fixed place of business situated in Switzerland for tax purposes (all such shareholders for purposes of this section termed, “Non-resident shareholders”), will not be subject to any Swiss federal, cantonal and communal income tax on dividends and similar cash or in-kind distributions on Shares (including liquidation proceeds and stock dividends) (for the purposes of this section, “dividends”), distributions based upon a capital reduction (</w:t>
      </w:r>
      <w:r>
        <w:rPr>
          <w:rFonts w:ascii="Times New Roman" w:cs="Times New Roman" w:eastAsia="Times New Roman" w:hAnsi="Times New Roman"/>
          <w:sz w:val="17"/>
          <w:szCs w:val="17"/>
          <w:i w:val="1"/>
          <w:iCs w:val="1"/>
          <w:color w:val="auto"/>
        </w:rPr>
        <w:t>remboursements liés à la réduction de la valeur nominale des actions</w:t>
      </w:r>
      <w:r>
        <w:rPr>
          <w:rFonts w:ascii="Times New Roman" w:cs="Times New Roman" w:eastAsia="Times New Roman" w:hAnsi="Times New Roman"/>
          <w:sz w:val="17"/>
          <w:szCs w:val="17"/>
          <w:color w:val="auto"/>
        </w:rPr>
        <w:t>) and distributions paid out of reserves from capital contributions (</w:t>
      </w:r>
      <w:r>
        <w:rPr>
          <w:rFonts w:ascii="Times New Roman" w:cs="Times New Roman" w:eastAsia="Times New Roman" w:hAnsi="Times New Roman"/>
          <w:sz w:val="17"/>
          <w:szCs w:val="17"/>
          <w:i w:val="1"/>
          <w:iCs w:val="1"/>
          <w:color w:val="auto"/>
        </w:rPr>
        <w:t>apports de capital</w:t>
      </w:r>
      <w:r>
        <w:rPr>
          <w:rFonts w:ascii="Times New Roman" w:cs="Times New Roman" w:eastAsia="Times New Roman" w:hAnsi="Times New Roman"/>
          <w:sz w:val="17"/>
          <w:szCs w:val="17"/>
          <w:color w:val="auto"/>
        </w:rPr>
        <w:t>) on shares, or capital gains realized on the sale or other disposition of shares.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Resident private shareholders</w:t>
      </w:r>
    </w:p>
    <w:p>
      <w:pPr>
        <w:spacing w:after="0" w:line="202" w:lineRule="exact"/>
        <w:rPr>
          <w:sz w:val="20"/>
          <w:szCs w:val="20"/>
          <w:color w:val="auto"/>
        </w:rPr>
      </w:pPr>
    </w:p>
    <w:p>
      <w:pPr>
        <w:ind w:left="40" w:right="59" w:firstLine="305"/>
        <w:spacing w:after="0" w:line="250" w:lineRule="auto"/>
        <w:rPr>
          <w:sz w:val="20"/>
          <w:szCs w:val="20"/>
          <w:color w:val="auto"/>
        </w:rPr>
      </w:pPr>
      <w:r>
        <w:rPr>
          <w:rFonts w:ascii="Times New Roman" w:cs="Times New Roman" w:eastAsia="Times New Roman" w:hAnsi="Times New Roman"/>
          <w:sz w:val="17"/>
          <w:szCs w:val="17"/>
          <w:color w:val="auto"/>
        </w:rPr>
        <w:t>Swiss-resident individuals who hold their shares as private assets are required to include dividends, but not distributions based upon a capital reduction (</w:t>
      </w:r>
      <w:r>
        <w:rPr>
          <w:rFonts w:ascii="Times New Roman" w:cs="Times New Roman" w:eastAsia="Times New Roman" w:hAnsi="Times New Roman"/>
          <w:sz w:val="17"/>
          <w:szCs w:val="17"/>
          <w:i w:val="1"/>
          <w:iCs w:val="1"/>
          <w:color w:val="auto"/>
        </w:rPr>
        <w:t>remboursements liés à la réduction de la valeur nominale des actions</w:t>
      </w:r>
      <w:r>
        <w:rPr>
          <w:rFonts w:ascii="Times New Roman" w:cs="Times New Roman" w:eastAsia="Times New Roman" w:hAnsi="Times New Roman"/>
          <w:sz w:val="17"/>
          <w:szCs w:val="17"/>
          <w:color w:val="auto"/>
        </w:rPr>
        <w:t>) and distributions paid out of reserves from capital contributions confirmed by the Swiss Federal Tax Administration (</w:t>
      </w:r>
      <w:r>
        <w:rPr>
          <w:rFonts w:ascii="Times New Roman" w:cs="Times New Roman" w:eastAsia="Times New Roman" w:hAnsi="Times New Roman"/>
          <w:sz w:val="17"/>
          <w:szCs w:val="17"/>
          <w:i w:val="1"/>
          <w:iCs w:val="1"/>
          <w:color w:val="auto"/>
        </w:rPr>
        <w:t>apports de capital</w:t>
      </w:r>
      <w:r>
        <w:rPr>
          <w:rFonts w:ascii="Times New Roman" w:cs="Times New Roman" w:eastAsia="Times New Roman" w:hAnsi="Times New Roman"/>
          <w:sz w:val="17"/>
          <w:szCs w:val="17"/>
          <w:color w:val="auto"/>
        </w:rPr>
        <w:t>), in their personal income tax return and are subject to Swiss federal, cantonal and communal income tax on any net taxable income for the relevant taxation period, including the dividends, but not the distributions based upon a capital reduction (</w:t>
      </w:r>
      <w:r>
        <w:rPr>
          <w:rFonts w:ascii="Times New Roman" w:cs="Times New Roman" w:eastAsia="Times New Roman" w:hAnsi="Times New Roman"/>
          <w:sz w:val="17"/>
          <w:szCs w:val="17"/>
          <w:i w:val="1"/>
          <w:iCs w:val="1"/>
          <w:color w:val="auto"/>
        </w:rPr>
        <w:t>remboursements liés à la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réduction de la valeur nominale des actions</w:t>
      </w:r>
      <w:r>
        <w:rPr>
          <w:rFonts w:ascii="Times New Roman" w:cs="Times New Roman" w:eastAsia="Times New Roman" w:hAnsi="Times New Roman"/>
          <w:sz w:val="17"/>
          <w:szCs w:val="17"/>
          <w:color w:val="auto"/>
        </w:rPr>
        <w:t>) and distributions paid out of reserves from capital contributions confirmed by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Swiss Federal Tax Administration (</w:t>
      </w:r>
      <w:r>
        <w:rPr>
          <w:rFonts w:ascii="Times New Roman" w:cs="Times New Roman" w:eastAsia="Times New Roman" w:hAnsi="Times New Roman"/>
          <w:sz w:val="17"/>
          <w:szCs w:val="17"/>
          <w:i w:val="1"/>
          <w:iCs w:val="1"/>
          <w:color w:val="auto"/>
        </w:rPr>
        <w:t>apports de capital)</w:t>
      </w:r>
      <w:r>
        <w:rPr>
          <w:rFonts w:ascii="Times New Roman" w:cs="Times New Roman" w:eastAsia="Times New Roman" w:hAnsi="Times New Roman"/>
          <w:sz w:val="17"/>
          <w:szCs w:val="17"/>
          <w:color w:val="auto"/>
        </w:rPr>
        <w:t>. Shareholders holding shares representing at least 10% of the nominal share capital of the Company may be able to decrease the taxable dividend basis by 30% (70% taxable) at the federal level and up to 50% at the cantonal level, depending on their respective cantonal rates, as partial relief from economic double taxation. Capital gains resulting from the sale or other disposition of shares are, subject to a few exceptions such as in case of Taxable Repurchases as described in “—</w:t>
      </w:r>
      <w:r>
        <w:rPr>
          <w:rFonts w:ascii="Times New Roman" w:cs="Times New Roman" w:eastAsia="Times New Roman" w:hAnsi="Times New Roman"/>
          <w:sz w:val="17"/>
          <w:szCs w:val="17"/>
          <w:i w:val="1"/>
          <w:iCs w:val="1"/>
          <w:color w:val="auto"/>
        </w:rPr>
        <w:t>Swiss withholding tax”</w:t>
      </w:r>
      <w:r>
        <w:rPr>
          <w:rFonts w:ascii="Times New Roman" w:cs="Times New Roman" w:eastAsia="Times New Roman" w:hAnsi="Times New Roman"/>
          <w:sz w:val="17"/>
          <w:szCs w:val="17"/>
          <w:color w:val="auto"/>
        </w:rPr>
        <w:t xml:space="preserve"> below, not subject to Swiss federal, cantonal and communal income tax, and conversely, capital losses are not tax-deductible for resident private shareholders (the shareholders referred to in this paragraph for the purposes of this section, “Resident private shareholders”). See “</w:t>
      </w:r>
      <w:r>
        <w:rPr>
          <w:rFonts w:ascii="Times New Roman" w:cs="Times New Roman" w:eastAsia="Times New Roman" w:hAnsi="Times New Roman"/>
          <w:sz w:val="17"/>
          <w:szCs w:val="17"/>
          <w:i w:val="1"/>
          <w:iCs w:val="1"/>
          <w:color w:val="auto"/>
        </w:rPr>
        <w:t>Domestic commercial shareholders</w:t>
      </w:r>
      <w:r>
        <w:rPr>
          <w:rFonts w:ascii="Times New Roman" w:cs="Times New Roman" w:eastAsia="Times New Roman" w:hAnsi="Times New Roman"/>
          <w:sz w:val="17"/>
          <w:szCs w:val="17"/>
          <w:color w:val="auto"/>
        </w:rPr>
        <w:t>” below for a summary of the taxation treatment applicable to Swiss-resident individuals, who, for income tax purposes, are classified as “professional securities dealers” or are otherwise deemed to hold Company shares in their commercial wealth.</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Domestic commercial shareholders</w:t>
      </w:r>
    </w:p>
    <w:p>
      <w:pPr>
        <w:spacing w:after="0" w:line="215" w:lineRule="exact"/>
        <w:rPr>
          <w:sz w:val="20"/>
          <w:szCs w:val="20"/>
          <w:color w:val="auto"/>
        </w:rPr>
      </w:pPr>
    </w:p>
    <w:p>
      <w:pPr>
        <w:ind w:left="40" w:right="79" w:firstLine="305"/>
        <w:spacing w:after="0" w:line="265" w:lineRule="auto"/>
        <w:rPr>
          <w:sz w:val="20"/>
          <w:szCs w:val="20"/>
          <w:color w:val="auto"/>
        </w:rPr>
      </w:pPr>
      <w:r>
        <w:rPr>
          <w:rFonts w:ascii="Times New Roman" w:cs="Times New Roman" w:eastAsia="Times New Roman" w:hAnsi="Times New Roman"/>
          <w:sz w:val="16"/>
          <w:szCs w:val="16"/>
          <w:color w:val="auto"/>
        </w:rPr>
        <w:t>Corporate and individual shareholders who hold their shares as part of a trade or business carried on in Switzerland, in the case of corporate and individual shareholders not resident in Switzerland, through a permanent establishment or fixed place of business situated, for tax purposes, in Switzerland, are required to recognize dividends, distributions based upon a capital reduction (</w:t>
      </w:r>
      <w:r>
        <w:rPr>
          <w:rFonts w:ascii="Times New Roman" w:cs="Times New Roman" w:eastAsia="Times New Roman" w:hAnsi="Times New Roman"/>
          <w:sz w:val="16"/>
          <w:szCs w:val="16"/>
          <w:i w:val="1"/>
          <w:iCs w:val="1"/>
          <w:color w:val="auto"/>
        </w:rPr>
        <w:t>remboursements liés à la réduction de la valeur nominale des actions</w:t>
      </w:r>
      <w:r>
        <w:rPr>
          <w:rFonts w:ascii="Times New Roman" w:cs="Times New Roman" w:eastAsia="Times New Roman" w:hAnsi="Times New Roman"/>
          <w:sz w:val="16"/>
          <w:szCs w:val="16"/>
          <w:color w:val="auto"/>
        </w:rPr>
        <w:t>) and distributions paid out of reserves from capital contributions (</w:t>
      </w:r>
      <w:r>
        <w:rPr>
          <w:rFonts w:ascii="Times New Roman" w:cs="Times New Roman" w:eastAsia="Times New Roman" w:hAnsi="Times New Roman"/>
          <w:sz w:val="16"/>
          <w:szCs w:val="16"/>
          <w:i w:val="1"/>
          <w:iCs w:val="1"/>
          <w:color w:val="auto"/>
        </w:rPr>
        <w:t>apports de capital</w:t>
      </w:r>
      <w:r>
        <w:rPr>
          <w:rFonts w:ascii="Times New Roman" w:cs="Times New Roman" w:eastAsia="Times New Roman" w:hAnsi="Times New Roman"/>
          <w:sz w:val="16"/>
          <w:szCs w:val="16"/>
          <w:color w:val="auto"/>
        </w:rPr>
        <w:t xml:space="preserve">) received on shares and capital gains or losses realized on the sale or other disposition of shares in their income statement for the relevant taxation period and are subject to Swiss federal, cantonal and communal individual or corporate income tax, as the case may be, on any net taxable earnings for such taxation period. The same taxation treatment also applies to Swiss-resident private individuals who, for income tax purposes, are classified as “professional securities dealers” for reasons of, </w:t>
      </w:r>
      <w:r>
        <w:rPr>
          <w:rFonts w:ascii="Times New Roman" w:cs="Times New Roman" w:eastAsia="Times New Roman" w:hAnsi="Times New Roman"/>
          <w:sz w:val="16"/>
          <w:szCs w:val="16"/>
          <w:i w:val="1"/>
          <w:iCs w:val="1"/>
          <w:color w:val="auto"/>
        </w:rPr>
        <w:t>inter alia</w:t>
      </w:r>
      <w:r>
        <w:rPr>
          <w:rFonts w:ascii="Times New Roman" w:cs="Times New Roman" w:eastAsia="Times New Roman" w:hAnsi="Times New Roman"/>
          <w:sz w:val="16"/>
          <w:szCs w:val="16"/>
          <w:color w:val="auto"/>
        </w:rPr>
        <w:t>, frequent dealing, or leveraged investments, in shares and other securities (the shareholders referred to in this paragraph for purposes of this section, “Domestic commercial shareholders”). Domestic commercial shareholders who are natural persons holding shares representing at least 10% of the nominal share capital of the Company may be able to decrease the taxable basis by 30% (70% taxable) at the federal level and up to 50% at the cantonal level, depending on their respective cantonal rates, as partial relief from economic double taxation (in the case of capital gains provide the shares have been held for at least one year). Domestic commercial shareholders who are corporate taxpayers may be eligible for tax relief (</w:t>
      </w:r>
      <w:r>
        <w:rPr>
          <w:rFonts w:ascii="Times New Roman" w:cs="Times New Roman" w:eastAsia="Times New Roman" w:hAnsi="Times New Roman"/>
          <w:sz w:val="16"/>
          <w:szCs w:val="16"/>
          <w:i w:val="1"/>
          <w:iCs w:val="1"/>
          <w:color w:val="auto"/>
        </w:rPr>
        <w:t>réduction pour</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48" w:name="page149"/>
    <w:bookmarkEnd w:id="14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right="99"/>
        <w:spacing w:after="0" w:line="256" w:lineRule="auto"/>
        <w:rPr>
          <w:sz w:val="20"/>
          <w:szCs w:val="20"/>
          <w:color w:val="auto"/>
        </w:rPr>
      </w:pPr>
      <w:r>
        <w:rPr>
          <w:rFonts w:ascii="Times New Roman" w:cs="Times New Roman" w:eastAsia="Times New Roman" w:hAnsi="Times New Roman"/>
          <w:sz w:val="17"/>
          <w:szCs w:val="17"/>
          <w:i w:val="1"/>
          <w:iCs w:val="1"/>
          <w:color w:val="auto"/>
        </w:rPr>
        <w:t>participations</w:t>
      </w:r>
      <w:r>
        <w:rPr>
          <w:rFonts w:ascii="Times New Roman" w:cs="Times New Roman" w:eastAsia="Times New Roman" w:hAnsi="Times New Roman"/>
          <w:sz w:val="17"/>
          <w:szCs w:val="17"/>
          <w:color w:val="auto"/>
        </w:rPr>
        <w:t>) in respect of dividends and distributions based upon a capital reduction (</w:t>
      </w:r>
      <w:r>
        <w:rPr>
          <w:rFonts w:ascii="Times New Roman" w:cs="Times New Roman" w:eastAsia="Times New Roman" w:hAnsi="Times New Roman"/>
          <w:sz w:val="17"/>
          <w:szCs w:val="17"/>
          <w:i w:val="1"/>
          <w:iCs w:val="1"/>
          <w:color w:val="auto"/>
        </w:rPr>
        <w:t>remboursements liés à la réduction de la valeur nominale des actions</w:t>
      </w:r>
      <w:r>
        <w:rPr>
          <w:rFonts w:ascii="Times New Roman" w:cs="Times New Roman" w:eastAsia="Times New Roman" w:hAnsi="Times New Roman"/>
          <w:sz w:val="17"/>
          <w:szCs w:val="17"/>
          <w:color w:val="auto"/>
        </w:rPr>
        <w:t>) and distributions paid out of reserves from capital contributions (</w:t>
      </w:r>
      <w:r>
        <w:rPr>
          <w:rFonts w:ascii="Times New Roman" w:cs="Times New Roman" w:eastAsia="Times New Roman" w:hAnsi="Times New Roman"/>
          <w:sz w:val="17"/>
          <w:szCs w:val="17"/>
          <w:i w:val="1"/>
          <w:iCs w:val="1"/>
          <w:color w:val="auto"/>
        </w:rPr>
        <w:t>apports de capital</w:t>
      </w:r>
      <w:r>
        <w:rPr>
          <w:rFonts w:ascii="Times New Roman" w:cs="Times New Roman" w:eastAsia="Times New Roman" w:hAnsi="Times New Roman"/>
          <w:sz w:val="17"/>
          <w:szCs w:val="17"/>
          <w:color w:val="auto"/>
        </w:rPr>
        <w:t>) if the shares held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 them as part of a Swiss business have an aggregate market value of at least CHF 1 million or represent 10% or more of the outstanding share capital or the dividend rights, of the Company. Capital gains relief is generally available only if the sold shares represent 10% or more of the outstanding share capital or the dividend rights, of the Company and provided that the shares have been held for at least one year.</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Swiss cantonal and communal private wealth tax and capital tax</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Non-resident shareholders</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Non-resident shareholders are not subject to Swiss cantonal and communal private wealth tax or capital tax.</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Resident private shareholders and domestic commercial shareholders</w:t>
      </w:r>
    </w:p>
    <w:p>
      <w:pPr>
        <w:spacing w:after="0" w:line="215" w:lineRule="exact"/>
        <w:rPr>
          <w:sz w:val="20"/>
          <w:szCs w:val="20"/>
          <w:color w:val="auto"/>
        </w:rPr>
      </w:pPr>
    </w:p>
    <w:p>
      <w:pPr>
        <w:ind w:left="40" w:right="99" w:firstLine="305"/>
        <w:spacing w:after="0" w:line="272" w:lineRule="auto"/>
        <w:rPr>
          <w:sz w:val="20"/>
          <w:szCs w:val="20"/>
          <w:color w:val="auto"/>
        </w:rPr>
      </w:pPr>
      <w:r>
        <w:rPr>
          <w:rFonts w:ascii="Times New Roman" w:cs="Times New Roman" w:eastAsia="Times New Roman" w:hAnsi="Times New Roman"/>
          <w:sz w:val="16"/>
          <w:szCs w:val="16"/>
          <w:color w:val="auto"/>
        </w:rPr>
        <w:t>Resident private shareholders and Domestic commercial shareholders who are individuals are required to report their shares as part of their private wealth or their Swiss business assets, as the case may be, and will be subject to Swiss cantonal and communal private wealth tax on any net taxable wealth (including shares), in the case of Domestic commercial shareholders to the extent the aggregate taxable wealth is allocable to Switzerland. Domestic commercial shareholders who are corporate taxpayers are subject to Swiss cantonal and communal capital tax on taxable capital to the extent the aggregate taxable capital is allocable to Switzerland.</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Swiss withholding tax</w:t>
      </w:r>
    </w:p>
    <w:p>
      <w:pPr>
        <w:spacing w:after="0" w:line="215" w:lineRule="exact"/>
        <w:rPr>
          <w:sz w:val="20"/>
          <w:szCs w:val="20"/>
          <w:color w:val="auto"/>
        </w:rPr>
      </w:pPr>
    </w:p>
    <w:p>
      <w:pPr>
        <w:ind w:left="40" w:right="139" w:firstLine="305"/>
        <w:spacing w:after="0" w:line="250" w:lineRule="auto"/>
        <w:rPr>
          <w:sz w:val="20"/>
          <w:szCs w:val="20"/>
          <w:color w:val="auto"/>
        </w:rPr>
      </w:pPr>
      <w:r>
        <w:rPr>
          <w:rFonts w:ascii="Times New Roman" w:cs="Times New Roman" w:eastAsia="Times New Roman" w:hAnsi="Times New Roman"/>
          <w:sz w:val="17"/>
          <w:szCs w:val="17"/>
          <w:color w:val="auto"/>
        </w:rPr>
        <w:t xml:space="preserve">Dividends (including scrip or stock dividends) that the Company pays on the shares are subject to Swiss withholding tax </w:t>
      </w:r>
      <w:r>
        <w:rPr>
          <w:rFonts w:ascii="Times New Roman" w:cs="Times New Roman" w:eastAsia="Times New Roman" w:hAnsi="Times New Roman"/>
          <w:sz w:val="17"/>
          <w:szCs w:val="17"/>
          <w:i w:val="1"/>
          <w:iCs w:val="1"/>
          <w:color w:val="auto"/>
        </w:rPr>
        <w:t xml:space="preserve">(impôt anticipé) </w:t>
      </w:r>
      <w:r>
        <w:rPr>
          <w:rFonts w:ascii="Times New Roman" w:cs="Times New Roman" w:eastAsia="Times New Roman" w:hAnsi="Times New Roman"/>
          <w:sz w:val="17"/>
          <w:szCs w:val="17"/>
          <w:color w:val="auto"/>
        </w:rPr>
        <w:t>imposed on the gross amount of the taxable distribution at the then prevailing rate (currently, at a rate of 35%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gross amount of the taxable distribution). The Company is required to withhold the Swiss withholding tax from the dividend and remit it to the Swiss Federal Tax Administration. Distributions based upon a capital reduction (</w:t>
      </w:r>
      <w:r>
        <w:rPr>
          <w:rFonts w:ascii="Times New Roman" w:cs="Times New Roman" w:eastAsia="Times New Roman" w:hAnsi="Times New Roman"/>
          <w:sz w:val="17"/>
          <w:szCs w:val="17"/>
          <w:i w:val="1"/>
          <w:iCs w:val="1"/>
          <w:color w:val="auto"/>
        </w:rPr>
        <w:t>remboursements liés à la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réduction de la valeur nominale des actions</w:t>
      </w:r>
      <w:r>
        <w:rPr>
          <w:rFonts w:ascii="Times New Roman" w:cs="Times New Roman" w:eastAsia="Times New Roman" w:hAnsi="Times New Roman"/>
          <w:sz w:val="17"/>
          <w:szCs w:val="17"/>
          <w:color w:val="auto"/>
        </w:rPr>
        <w:t>) and distributions paid out of reserves from contributions confirmed by the Swiss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Federal Tax Administration (</w:t>
      </w:r>
      <w:r>
        <w:rPr>
          <w:rFonts w:ascii="Times New Roman" w:cs="Times New Roman" w:eastAsia="Times New Roman" w:hAnsi="Times New Roman"/>
          <w:sz w:val="17"/>
          <w:szCs w:val="17"/>
          <w:i w:val="1"/>
          <w:iCs w:val="1"/>
          <w:color w:val="auto"/>
        </w:rPr>
        <w:t>apports de capital</w:t>
      </w:r>
      <w:r>
        <w:rPr>
          <w:rFonts w:ascii="Times New Roman" w:cs="Times New Roman" w:eastAsia="Times New Roman" w:hAnsi="Times New Roman"/>
          <w:sz w:val="17"/>
          <w:szCs w:val="17"/>
          <w:color w:val="auto"/>
        </w:rPr>
        <w:t>) are not subject to Swiss withholding tax. Capital gains realized on the sale of the shares are not subject to the Swiss withholding tax (other than in case of a sale to the Company (i) for cancellation, (ii) if the total of repurchased shares exceeds 10% of the Company's share capital or (iii) if the repurchased shares are not resold within the applicable time period after the repurchase, if and to the extent the redemption price less the nominal value of the redeemed shares is not booked against reserves from capital contributions confirmed by the Swiss Federal Tax Administration (“Taxable Repurchases”)).</w:t>
      </w:r>
    </w:p>
    <w:p>
      <w:pPr>
        <w:spacing w:after="0" w:line="184" w:lineRule="exact"/>
        <w:rPr>
          <w:sz w:val="20"/>
          <w:szCs w:val="20"/>
          <w:color w:val="auto"/>
        </w:rPr>
      </w:pPr>
    </w:p>
    <w:p>
      <w:pPr>
        <w:ind w:left="40" w:right="79" w:firstLine="305"/>
        <w:spacing w:after="0" w:line="253" w:lineRule="auto"/>
        <w:rPr>
          <w:sz w:val="20"/>
          <w:szCs w:val="20"/>
          <w:color w:val="auto"/>
        </w:rPr>
      </w:pPr>
      <w:r>
        <w:rPr>
          <w:rFonts w:ascii="Times New Roman" w:cs="Times New Roman" w:eastAsia="Times New Roman" w:hAnsi="Times New Roman"/>
          <w:sz w:val="17"/>
          <w:szCs w:val="17"/>
          <w:color w:val="auto"/>
        </w:rPr>
        <w:t xml:space="preserve">The Swiss withholding tax on a dividend will be refundable in full to a resident private shareholder and to a Domestic commercial shareholder, who, in each case, </w:t>
      </w:r>
      <w:r>
        <w:rPr>
          <w:rFonts w:ascii="Times New Roman" w:cs="Times New Roman" w:eastAsia="Times New Roman" w:hAnsi="Times New Roman"/>
          <w:sz w:val="17"/>
          <w:szCs w:val="17"/>
          <w:i w:val="1"/>
          <w:iCs w:val="1"/>
          <w:color w:val="auto"/>
        </w:rPr>
        <w:t>inter alia,</w:t>
      </w:r>
      <w:r>
        <w:rPr>
          <w:rFonts w:ascii="Times New Roman" w:cs="Times New Roman" w:eastAsia="Times New Roman" w:hAnsi="Times New Roman"/>
          <w:sz w:val="17"/>
          <w:szCs w:val="17"/>
          <w:color w:val="auto"/>
        </w:rPr>
        <w:t xml:space="preserve"> as a condition to a refund, is the beneficial owner of the shares and the dividends or the distributions made or paid on the share and duly reports the dividend in his individual income tax return as income or recognizes the dividend in his income statement as earnings, as applicable.</w:t>
      </w:r>
    </w:p>
    <w:p>
      <w:pPr>
        <w:spacing w:after="0" w:line="178" w:lineRule="exact"/>
        <w:rPr>
          <w:sz w:val="20"/>
          <w:szCs w:val="20"/>
          <w:color w:val="auto"/>
        </w:rPr>
      </w:pPr>
    </w:p>
    <w:p>
      <w:pPr>
        <w:ind w:left="40" w:right="79" w:firstLine="305"/>
        <w:spacing w:after="0" w:line="267" w:lineRule="auto"/>
        <w:rPr>
          <w:sz w:val="20"/>
          <w:szCs w:val="20"/>
          <w:color w:val="auto"/>
        </w:rPr>
      </w:pPr>
      <w:r>
        <w:rPr>
          <w:rFonts w:ascii="Times New Roman" w:cs="Times New Roman" w:eastAsia="Times New Roman" w:hAnsi="Times New Roman"/>
          <w:sz w:val="16"/>
          <w:szCs w:val="16"/>
          <w:color w:val="auto"/>
        </w:rPr>
        <w:t>A Non-resident shareholder may be entitled to a partial or full refund, as the case may be, of the Swiss withholding tax on a dividend if the country of his or her residence for tax purposes has entered into a bilateral treaty for the avoidance of double taxation with Switzerland and the conditions of such treaty are met. Such shareholders should be aware that the procedures for claiming treaty benefits (and the time required for obtaining a refund) might differ from country to country. A holder of the shares who is a resident of the U.S. for purposes of the Convention between the United States of America and the Swiss Confederation for the Avoidance of Double Taxation with Respect to Taxes on Income (Treaty), without taxable presence in Switzerland to which the shares are attributable or who is a qualified U.S. pension fund and who, in each case, is the beneficial owner of the shares and the dividend or distribution and who meets the other conditions of the Treaty may (i) in the case of qualified U.S. pension funds, apply for a full refund of the Swiss withholding tax, (ii) if the holder is a corporation owning at least 10% of the voting rights of the Company, apply for a refund of the Swiss withholding tax withheld in excess of the 5% reduced treaty rate, or (iii) apply for a refund of the Swiss withholding tax withheld in excess of the 15% treaty rate in all other cases. The applicable refund request form may be filed with the Swiss Federal Tax Administration following receipt of the dividend and the relevant deduction</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49" w:name="page150"/>
    <w:bookmarkEnd w:id="14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certificate, however no later than 31 December of the third year following the calendar year in which the dividend was payable.</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Swiss stamp taxes</w:t>
      </w:r>
    </w:p>
    <w:p>
      <w:pPr>
        <w:spacing w:after="0" w:line="215" w:lineRule="exact"/>
        <w:rPr>
          <w:sz w:val="20"/>
          <w:szCs w:val="20"/>
          <w:color w:val="auto"/>
        </w:rPr>
      </w:pPr>
    </w:p>
    <w:p>
      <w:pPr>
        <w:ind w:left="40" w:right="159" w:firstLine="305"/>
        <w:spacing w:after="0" w:line="256" w:lineRule="auto"/>
        <w:rPr>
          <w:sz w:val="20"/>
          <w:szCs w:val="20"/>
          <w:color w:val="auto"/>
        </w:rPr>
      </w:pPr>
      <w:r>
        <w:rPr>
          <w:rFonts w:ascii="Times New Roman" w:cs="Times New Roman" w:eastAsia="Times New Roman" w:hAnsi="Times New Roman"/>
          <w:sz w:val="17"/>
          <w:szCs w:val="17"/>
          <w:color w:val="auto"/>
        </w:rPr>
        <w:t xml:space="preserve">The Company will be subject to and pay to the Swiss Federal Tax Administration a 1% Swiss federal issuance stamp duty (droit de timbre </w:t>
      </w:r>
      <w:r>
        <w:rPr>
          <w:rFonts w:ascii="Times New Roman" w:cs="Times New Roman" w:eastAsia="Times New Roman" w:hAnsi="Times New Roman"/>
          <w:sz w:val="17"/>
          <w:szCs w:val="17"/>
          <w:i w:val="1"/>
          <w:iCs w:val="1"/>
          <w:color w:val="auto"/>
        </w:rPr>
        <w:t>d’émissions</w:t>
      </w:r>
      <w:r>
        <w:rPr>
          <w:rFonts w:ascii="Times New Roman" w:cs="Times New Roman" w:eastAsia="Times New Roman" w:hAnsi="Times New Roman"/>
          <w:sz w:val="17"/>
          <w:szCs w:val="17"/>
          <w:color w:val="auto"/>
        </w:rPr>
        <w:t>) on the consideration received for the issuance of the shares less certain costs incurred in connection with the issuance (in case of the implementation of the capital band, the issuance stamp duty is payable based on the net-principle at the end of the period of the validity of the capital band). The issuance and delivery of the shares to the initial shareholders at the settlement date is not subject to Swiss federal securities transfer stamp duty (</w:t>
      </w:r>
      <w:r>
        <w:rPr>
          <w:rFonts w:ascii="Times New Roman" w:cs="Times New Roman" w:eastAsia="Times New Roman" w:hAnsi="Times New Roman"/>
          <w:sz w:val="17"/>
          <w:szCs w:val="17"/>
          <w:i w:val="1"/>
          <w:iCs w:val="1"/>
          <w:color w:val="auto"/>
        </w:rPr>
        <w:t>droit de timbre de négociation</w:t>
      </w:r>
      <w:r>
        <w:rPr>
          <w:rFonts w:ascii="Times New Roman" w:cs="Times New Roman" w:eastAsia="Times New Roman" w:hAnsi="Times New Roman"/>
          <w:sz w:val="17"/>
          <w:szCs w:val="17"/>
          <w:color w:val="auto"/>
        </w:rPr>
        <w:t>).</w:t>
      </w:r>
    </w:p>
    <w:p>
      <w:pPr>
        <w:spacing w:after="0" w:line="163" w:lineRule="exact"/>
        <w:rPr>
          <w:sz w:val="20"/>
          <w:szCs w:val="20"/>
          <w:color w:val="auto"/>
        </w:rPr>
      </w:pPr>
    </w:p>
    <w:p>
      <w:pPr>
        <w:ind w:left="40" w:right="59" w:firstLine="305"/>
        <w:spacing w:after="0" w:line="258" w:lineRule="auto"/>
        <w:rPr>
          <w:sz w:val="20"/>
          <w:szCs w:val="20"/>
          <w:color w:val="auto"/>
        </w:rPr>
      </w:pPr>
      <w:r>
        <w:rPr>
          <w:rFonts w:ascii="Times New Roman" w:cs="Times New Roman" w:eastAsia="Times New Roman" w:hAnsi="Times New Roman"/>
          <w:sz w:val="17"/>
          <w:szCs w:val="17"/>
          <w:color w:val="auto"/>
        </w:rPr>
        <w:t>Any subsequent dealings in the shares, for which a bank or another securities dealer in Switzerland or Liechtenstein, as defined in the Swiss Federal Stamp Tax Act, acts as an intermediary, or is a party, to the transaction, are, subject to certain exemptions provided for in the Swiss Federal Stamp Tax Act, subject to Swiss securities transfer stamp duty tax at an aggregate tax rate of up to 0.15% of the consideration paid for such shares.</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Additional tax considerations associated with our ATM program</w:t>
      </w:r>
    </w:p>
    <w:p>
      <w:pPr>
        <w:spacing w:after="0" w:line="215" w:lineRule="exact"/>
        <w:rPr>
          <w:sz w:val="20"/>
          <w:szCs w:val="20"/>
          <w:color w:val="auto"/>
        </w:rPr>
      </w:pPr>
    </w:p>
    <w:p>
      <w:pPr>
        <w:ind w:left="40" w:right="59" w:firstLine="305"/>
        <w:spacing w:after="0" w:line="265" w:lineRule="auto"/>
        <w:rPr>
          <w:sz w:val="20"/>
          <w:szCs w:val="20"/>
          <w:color w:val="auto"/>
        </w:rPr>
      </w:pPr>
      <w:r>
        <w:rPr>
          <w:rFonts w:ascii="Times New Roman" w:cs="Times New Roman" w:eastAsia="Times New Roman" w:hAnsi="Times New Roman"/>
          <w:sz w:val="16"/>
          <w:szCs w:val="16"/>
          <w:color w:val="auto"/>
        </w:rPr>
        <w:t>As of December 31, 2025, the Company held in total 10,899,773 fully paid-in treasury shares as part of its ATM offerings. These shares were established via three tranches (one in September 2020, one in September 2021 and one in June 2024, respectively). Under present Swiss tax laws, repurchases of shares for the purposes of cancellation are treated as a partial liquidation and are subject to 35% Swiss withholding tax on the difference between the repurchase price and the nominal value of the shares except, since January 1, 2011, to the extent these are booked against the reserves from capital contributions confirmed by the Swiss Federal Tax Administration (</w:t>
      </w:r>
      <w:r>
        <w:rPr>
          <w:rFonts w:ascii="Times New Roman" w:cs="Times New Roman" w:eastAsia="Times New Roman" w:hAnsi="Times New Roman"/>
          <w:sz w:val="16"/>
          <w:szCs w:val="16"/>
          <w:i w:val="1"/>
          <w:iCs w:val="1"/>
          <w:color w:val="auto"/>
        </w:rPr>
        <w:t>apports de capital</w:t>
      </w:r>
      <w:r>
        <w:rPr>
          <w:rFonts w:ascii="Times New Roman" w:cs="Times New Roman" w:eastAsia="Times New Roman" w:hAnsi="Times New Roman"/>
          <w:sz w:val="16"/>
          <w:szCs w:val="16"/>
          <w:color w:val="auto"/>
        </w:rPr>
        <w:t>) if any. No partial liquidation treatment applies and no withholding tax is triggered if the shares are not repurchased for cancellation but held by the Company as treasury shares, provided the limitations imposed by corporate law are respected (the nominal value of such shares does not exceed 10% of the outstanding share capital and the purchase price is covered by freely disposable equity). However, regarding the above-mentioned 10,899,773 treasury shares and given the specificities of the ATM offering, the Company sought and obtained a tax ruling for the two first tranches from the Swiss Federal Tax Administration confirming that their acquisition by the Company did not constitute a direct partial liquidation and therefore does not trigger withholding tax. Further, the Company has obtained a tax ruling from the concerned Cantonal Tax Authority at its place of incorporation, to obtain confirmation that the placement of these treasury shares related to the two first tranches for a subscription price superior to their nominal value will not trigger any corporate income tax for the Company.</w:t>
      </w:r>
    </w:p>
    <w:p>
      <w:pPr>
        <w:spacing w:after="0" w:line="177" w:lineRule="exact"/>
        <w:rPr>
          <w:sz w:val="20"/>
          <w:szCs w:val="20"/>
          <w:color w:val="auto"/>
        </w:rPr>
      </w:pPr>
    </w:p>
    <w:p>
      <w:pPr>
        <w:ind w:left="40" w:right="179" w:firstLine="305"/>
        <w:spacing w:after="0" w:line="268" w:lineRule="auto"/>
        <w:rPr>
          <w:sz w:val="20"/>
          <w:szCs w:val="20"/>
          <w:color w:val="auto"/>
        </w:rPr>
      </w:pPr>
      <w:r>
        <w:rPr>
          <w:rFonts w:ascii="Times New Roman" w:cs="Times New Roman" w:eastAsia="Times New Roman" w:hAnsi="Times New Roman"/>
          <w:sz w:val="16"/>
          <w:szCs w:val="16"/>
          <w:color w:val="auto"/>
        </w:rPr>
        <w:t>As of December 31, 2025, 2,820,566 shares from the first tranche have not been sold and are still recorded as treasury shares. In addition, 2,393,160 fully paid in treasury shares issued as part of second tranche, and 5,700,000 fully paid in treasury shares issued as part of the third tranche for the ATM for future subscription (or, possibly, as part of a future share-dividend program, should the Company become profitable and have enough earnings carried forward to cover such distribution) have not been sold and are still recorded as treasury shares as of December 31, 2025. The shares linked to the two first tranches are covered by the above-mentioned tax rulings (i.e. their acquisition does not trigger any withholding tax and their placement will not trigger any corporate income tax). The Company sought confirmation from the Cantonal Tax Authority at its place of incorporation that the same previous tax ruling remains valid and covers the third tranche as well. Based on the cantonal confirmation the company will assess with its tax advisors whether a confirmation should also be obtained from the Federal Tax Authority.</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Material U.S. federal income tax considerations for U.S. Holders</w:t>
      </w:r>
    </w:p>
    <w:p>
      <w:pPr>
        <w:spacing w:after="0" w:line="202" w:lineRule="exact"/>
        <w:rPr>
          <w:sz w:val="20"/>
          <w:szCs w:val="20"/>
          <w:color w:val="auto"/>
        </w:rPr>
      </w:pPr>
    </w:p>
    <w:p>
      <w:pPr>
        <w:jc w:val="both"/>
        <w:ind w:left="40" w:right="579" w:firstLine="305"/>
        <w:spacing w:after="0" w:line="263" w:lineRule="auto"/>
        <w:rPr>
          <w:sz w:val="20"/>
          <w:szCs w:val="20"/>
          <w:color w:val="auto"/>
        </w:rPr>
      </w:pPr>
      <w:r>
        <w:rPr>
          <w:rFonts w:ascii="Times New Roman" w:cs="Times New Roman" w:eastAsia="Times New Roman" w:hAnsi="Times New Roman"/>
          <w:sz w:val="17"/>
          <w:szCs w:val="17"/>
          <w:color w:val="auto"/>
        </w:rPr>
        <w:t>The following is a description of material U.S. federal income tax consequences to the U.S. Holders described below of owning and disposing of our common shares. It does not describe all tax considerations that may be relevant to a particular person’s decision to own common shares.</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50" w:name="page151"/>
    <w:bookmarkEnd w:id="15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119" w:firstLine="305"/>
        <w:spacing w:after="0" w:line="256" w:lineRule="auto"/>
        <w:rPr>
          <w:sz w:val="20"/>
          <w:szCs w:val="20"/>
          <w:color w:val="auto"/>
        </w:rPr>
      </w:pPr>
      <w:r>
        <w:rPr>
          <w:rFonts w:ascii="Times New Roman" w:cs="Times New Roman" w:eastAsia="Times New Roman" w:hAnsi="Times New Roman"/>
          <w:sz w:val="17"/>
          <w:szCs w:val="17"/>
          <w:color w:val="auto"/>
        </w:rPr>
        <w:t>This discussion applies only to a U.S. Holder that holds common shares as capital assets for U.S. federal income tax purposes. In addition, it does not describe all of the U.S. federal income tax consequences that may be relevant in light of a U.S. Holder’s particular circumstances, including any minimum tax consequences, the potential application of the provisions of the U.S. Internal Revenue Code of 1986, as amended (the “Code”) known as the Medicare contribution tax and tax consequences applicable to U.S. Holders subject to special rules, such as:</w:t>
      </w:r>
    </w:p>
    <w:p>
      <w:pPr>
        <w:spacing w:after="0" w:line="176" w:lineRule="exact"/>
        <w:rPr>
          <w:sz w:val="20"/>
          <w:szCs w:val="20"/>
          <w:color w:val="auto"/>
        </w:rPr>
      </w:pPr>
    </w:p>
    <w:p>
      <w:pPr>
        <w:ind w:left="680" w:hanging="305"/>
        <w:spacing w:after="0"/>
        <w:tabs>
          <w:tab w:leader="none" w:pos="68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financial institutions;</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dealers or electing traders in securities that use a mark-to-market method of tax accounting;</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holding our common shares as part of a straddle, integrated transaction or similar transaction;</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Holders whose functional currency for U.S. federal income tax purposes is not the U.S. dollar;</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entities classified as partnerships for U.S. federal income tax purposes;</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tax-exempt entities, “individual retirement accounts” or “Roth IRAs;”</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received their common shares as compensation;</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own or are deemed to own 10% or more of our shares, by vote or value; and</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holding our common shares in connection with a trade or business conducted outside of the United States.</w:t>
      </w:r>
    </w:p>
    <w:p>
      <w:pPr>
        <w:spacing w:after="0" w:line="211" w:lineRule="exact"/>
        <w:rPr>
          <w:sz w:val="20"/>
          <w:szCs w:val="20"/>
          <w:color w:val="auto"/>
        </w:rPr>
      </w:pPr>
    </w:p>
    <w:p>
      <w:pPr>
        <w:ind w:left="40" w:right="519" w:firstLine="305"/>
        <w:spacing w:after="0" w:line="253" w:lineRule="auto"/>
        <w:rPr>
          <w:sz w:val="20"/>
          <w:szCs w:val="20"/>
          <w:color w:val="auto"/>
        </w:rPr>
      </w:pPr>
      <w:r>
        <w:rPr>
          <w:rFonts w:ascii="Times New Roman" w:cs="Times New Roman" w:eastAsia="Times New Roman" w:hAnsi="Times New Roman"/>
          <w:sz w:val="17"/>
          <w:szCs w:val="17"/>
          <w:color w:val="auto"/>
        </w:rPr>
        <w:t>If an entity that is classified as a partnership for U.S. federal income tax purposes holds common shares, the U.S. federal income tax treatment of a partner will generally depend on the status of the partner and the activities of the partnership. Partnerships and their partners should consult their tax advisers as to the particular U.S. federal income tax consequences of owning and disposing of the common shares.</w:t>
      </w:r>
    </w:p>
    <w:p>
      <w:pPr>
        <w:spacing w:after="0" w:line="178" w:lineRule="exact"/>
        <w:rPr>
          <w:sz w:val="20"/>
          <w:szCs w:val="20"/>
          <w:color w:val="auto"/>
        </w:rPr>
      </w:pPr>
    </w:p>
    <w:p>
      <w:pPr>
        <w:ind w:left="40" w:right="99" w:firstLine="305"/>
        <w:spacing w:after="0" w:line="263" w:lineRule="auto"/>
        <w:rPr>
          <w:sz w:val="20"/>
          <w:szCs w:val="20"/>
          <w:color w:val="auto"/>
        </w:rPr>
      </w:pPr>
      <w:r>
        <w:rPr>
          <w:rFonts w:ascii="Times New Roman" w:cs="Times New Roman" w:eastAsia="Times New Roman" w:hAnsi="Times New Roman"/>
          <w:sz w:val="17"/>
          <w:szCs w:val="17"/>
          <w:color w:val="auto"/>
        </w:rPr>
        <w:t>This discussion is based on the Code, administrative pronouncements, judicial decisions, final, temporary and proposed Treasury regulations, and the income tax treaty between Switzerland and the United States ( the “Treaty”), all as of the date hereof, any of which is subject to change or differing interpretations, possibly with retroactive effect.</w:t>
      </w:r>
    </w:p>
    <w:p>
      <w:pPr>
        <w:spacing w:after="0" w:line="170" w:lineRule="exact"/>
        <w:rPr>
          <w:sz w:val="20"/>
          <w:szCs w:val="20"/>
          <w:color w:val="auto"/>
        </w:rPr>
      </w:pPr>
    </w:p>
    <w:p>
      <w:pPr>
        <w:ind w:left="40" w:right="219" w:firstLine="305"/>
        <w:spacing w:after="0" w:line="277" w:lineRule="auto"/>
        <w:rPr>
          <w:sz w:val="20"/>
          <w:szCs w:val="20"/>
          <w:color w:val="auto"/>
        </w:rPr>
      </w:pPr>
      <w:r>
        <w:rPr>
          <w:rFonts w:ascii="Times New Roman" w:cs="Times New Roman" w:eastAsia="Times New Roman" w:hAnsi="Times New Roman"/>
          <w:sz w:val="17"/>
          <w:szCs w:val="17"/>
          <w:color w:val="auto"/>
        </w:rPr>
        <w:t>A “U.S. Holder” is a person that, for U.S. federal income tax purposes, is a beneficial owner of common shares and is any of the following:</w:t>
      </w:r>
    </w:p>
    <w:p>
      <w:pPr>
        <w:spacing w:after="0" w:line="145" w:lineRule="exact"/>
        <w:rPr>
          <w:sz w:val="20"/>
          <w:szCs w:val="20"/>
          <w:color w:val="auto"/>
        </w:rPr>
      </w:pPr>
    </w:p>
    <w:p>
      <w:pPr>
        <w:ind w:left="680" w:hanging="305"/>
        <w:spacing w:after="0"/>
        <w:tabs>
          <w:tab w:leader="none" w:pos="68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citizen or individual resident of the United States;</w:t>
      </w:r>
    </w:p>
    <w:p>
      <w:pPr>
        <w:spacing w:after="0" w:line="210" w:lineRule="exact"/>
        <w:rPr>
          <w:rFonts w:ascii="Times New Roman" w:cs="Times New Roman" w:eastAsia="Times New Roman" w:hAnsi="Times New Roman"/>
          <w:sz w:val="17"/>
          <w:szCs w:val="17"/>
          <w:color w:val="auto"/>
        </w:rPr>
      </w:pPr>
    </w:p>
    <w:p>
      <w:pPr>
        <w:ind w:left="680" w:right="179" w:hanging="305"/>
        <w:spacing w:after="0" w:line="277" w:lineRule="auto"/>
        <w:tabs>
          <w:tab w:leader="none" w:pos="68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or other entity taxable as a corporation, created or organized in or under the laws of the United States, any state therein or the District of Columbia; or</w:t>
      </w:r>
    </w:p>
    <w:p>
      <w:pPr>
        <w:spacing w:after="0" w:line="157"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or trust the income of which is subject to U.S. federal income taxation regardless of its source.</w:t>
      </w:r>
    </w:p>
    <w:p>
      <w:pPr>
        <w:spacing w:after="0" w:line="211" w:lineRule="exact"/>
        <w:rPr>
          <w:sz w:val="20"/>
          <w:szCs w:val="20"/>
          <w:color w:val="auto"/>
        </w:rPr>
      </w:pPr>
    </w:p>
    <w:p>
      <w:pPr>
        <w:ind w:left="40" w:right="519" w:firstLine="305"/>
        <w:spacing w:after="0" w:line="277" w:lineRule="auto"/>
        <w:rPr>
          <w:sz w:val="20"/>
          <w:szCs w:val="20"/>
          <w:color w:val="auto"/>
        </w:rPr>
      </w:pPr>
      <w:r>
        <w:rPr>
          <w:rFonts w:ascii="Times New Roman" w:cs="Times New Roman" w:eastAsia="Times New Roman" w:hAnsi="Times New Roman"/>
          <w:sz w:val="17"/>
          <w:szCs w:val="17"/>
          <w:color w:val="auto"/>
        </w:rPr>
        <w:t>U.S. Holders should consult their tax advisers concerning the U.S. federal, state, local and non-U.S. tax consequences of owning and disposing of common shares in their particular circumstances.</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Passive foreign investment company rules</w:t>
      </w:r>
    </w:p>
    <w:p>
      <w:pPr>
        <w:spacing w:after="0" w:line="215" w:lineRule="exact"/>
        <w:rPr>
          <w:sz w:val="20"/>
          <w:szCs w:val="20"/>
          <w:color w:val="auto"/>
        </w:rPr>
      </w:pPr>
    </w:p>
    <w:p>
      <w:pPr>
        <w:ind w:left="40" w:right="79" w:firstLine="305"/>
        <w:spacing w:after="0" w:line="258" w:lineRule="auto"/>
        <w:rPr>
          <w:sz w:val="20"/>
          <w:szCs w:val="20"/>
          <w:color w:val="auto"/>
        </w:rPr>
      </w:pPr>
      <w:r>
        <w:rPr>
          <w:rFonts w:ascii="Times New Roman" w:cs="Times New Roman" w:eastAsia="Times New Roman" w:hAnsi="Times New Roman"/>
          <w:sz w:val="17"/>
          <w:szCs w:val="17"/>
          <w:color w:val="auto"/>
        </w:rPr>
        <w:t>We will be a passive foreign investment company (a “PFIC”) under the Code for any taxable year in which, after the application of certain look-through rules with respect to subsidiaries, either (i) 75% or more of our gross income consists of passive income (the “income test”) or (ii) 50% or more of the average value of our assets (generally determined on a quarterly basis) consists of assets that produce, or are held for the production of, passive income (the “asset test”).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329565</wp:posOffset>
            </wp:positionV>
            <wp:extent cx="5657850" cy="241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51" w:name="page152"/>
    <w:bookmarkEnd w:id="15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159"/>
        <w:spacing w:after="0" w:line="273" w:lineRule="auto"/>
        <w:rPr>
          <w:sz w:val="20"/>
          <w:szCs w:val="20"/>
          <w:color w:val="auto"/>
        </w:rPr>
      </w:pPr>
      <w:r>
        <w:rPr>
          <w:rFonts w:ascii="Times New Roman" w:cs="Times New Roman" w:eastAsia="Times New Roman" w:hAnsi="Times New Roman"/>
          <w:sz w:val="16"/>
          <w:szCs w:val="16"/>
          <w:color w:val="auto"/>
        </w:rPr>
        <w:t>Passive income generally includes dividends, interest, certain non-active rents and royalties, and gains from financial investments. Cash is generally a passive asset. Goodwill and other intangible assets (the value of which may be determined by reference to the excess of the sum of a corporation’s market capitalization and liabilities over the value of its assets) are generally active assets to the extent attributable to business activities that produce active income. For purposes of the above calculations, we will generally be treated as if we hold our proportionate share of the assets of, and directly receive our proportionate share of the income of, any other corporation in which we directly or indirectly own at least 25% of the shares of such corporation by value.</w:t>
      </w:r>
    </w:p>
    <w:p>
      <w:pPr>
        <w:spacing w:after="0" w:line="166" w:lineRule="exact"/>
        <w:rPr>
          <w:sz w:val="20"/>
          <w:szCs w:val="20"/>
          <w:color w:val="auto"/>
        </w:rPr>
      </w:pPr>
    </w:p>
    <w:p>
      <w:pPr>
        <w:ind w:left="40" w:right="99" w:firstLine="305"/>
        <w:spacing w:after="0" w:line="249" w:lineRule="auto"/>
        <w:rPr>
          <w:sz w:val="20"/>
          <w:szCs w:val="20"/>
          <w:color w:val="auto"/>
        </w:rPr>
      </w:pPr>
      <w:r>
        <w:rPr>
          <w:rFonts w:ascii="Times New Roman" w:cs="Times New Roman" w:eastAsia="Times New Roman" w:hAnsi="Times New Roman"/>
          <w:sz w:val="17"/>
          <w:szCs w:val="17"/>
          <w:color w:val="auto"/>
        </w:rPr>
        <w:t>Although the application of the income test to a company like us (whose overall losses from research and development activities significantly exceed its gross income) is not entirely clear, we will be a PFIC for any taxable year under the income test if 75% or more of our gross income (as determined for U.S. federal income tax purposes) for such year consists of interest and other passive income. Prior to the commercialization and sales of any of our product candidates, our gross income may consist primarily of upfront or milestone payments and grants (which we believe are likely to be treated as active income) and interest (which is passive income). The receipt of upfront payments is non-recurring in nature, and the receipt of grants or milestone payments is subject to various conditions. Therefore, there can be no assurance as to the amount of grants, milestone payments or upfront payments (if any) that we will receive for any taxable year. Moreover, we may earn income from sublicensing, which may be passive unless certain conditions are satisfied. There is no assurance that the Internal Revenue Service (“IRS”) will not challenge the classification of any of our income items for PFIC purposes for any taxable year. Accordingly, there is no assurance that we will not be a PFIC for any taxable year under the income test.</w:t>
      </w:r>
    </w:p>
    <w:p>
      <w:pPr>
        <w:spacing w:after="0" w:line="180" w:lineRule="exact"/>
        <w:rPr>
          <w:sz w:val="20"/>
          <w:szCs w:val="20"/>
          <w:color w:val="auto"/>
        </w:rPr>
      </w:pPr>
    </w:p>
    <w:p>
      <w:pPr>
        <w:ind w:left="40" w:right="119" w:firstLine="305"/>
        <w:spacing w:after="0" w:line="251" w:lineRule="auto"/>
        <w:rPr>
          <w:sz w:val="20"/>
          <w:szCs w:val="20"/>
          <w:color w:val="auto"/>
        </w:rPr>
      </w:pPr>
      <w:r>
        <w:rPr>
          <w:rFonts w:ascii="Times New Roman" w:cs="Times New Roman" w:eastAsia="Times New Roman" w:hAnsi="Times New Roman"/>
          <w:sz w:val="17"/>
          <w:szCs w:val="17"/>
          <w:color w:val="auto"/>
        </w:rPr>
        <w:t>In addition, we currently hold, and expect to continue to hold, a substantial amount of passive assets, including cash. Therefore, our PFIC status for any taxable year will depend on the value of our intangible assets. We have not obtained, and do not intend to obtain, valuations of our goodwill and other intangible assets. However, the average value of our assets (including goodwill and other intangible assets) for any taxable year may be determined, in large part, by reference to our market capitalization, which has fluctuated substantially over time and may continue to be volatile. Due to the volatility of our market capitalization, we may be a PFIC under the asset test for any taxable year if our cash and other passive assets constitute 50% or more of the value of our total assets (including goodwill and other intangibles).</w:t>
      </w:r>
    </w:p>
    <w:p>
      <w:pPr>
        <w:spacing w:after="0" w:line="181" w:lineRule="exact"/>
        <w:rPr>
          <w:sz w:val="20"/>
          <w:szCs w:val="20"/>
          <w:color w:val="auto"/>
        </w:rPr>
      </w:pPr>
    </w:p>
    <w:p>
      <w:pPr>
        <w:ind w:left="40" w:right="99" w:firstLine="305"/>
        <w:spacing w:after="0" w:line="251" w:lineRule="auto"/>
        <w:rPr>
          <w:sz w:val="20"/>
          <w:szCs w:val="20"/>
          <w:color w:val="auto"/>
        </w:rPr>
      </w:pPr>
      <w:r>
        <w:rPr>
          <w:rFonts w:ascii="Times New Roman" w:cs="Times New Roman" w:eastAsia="Times New Roman" w:hAnsi="Times New Roman"/>
          <w:sz w:val="17"/>
          <w:szCs w:val="17"/>
          <w:color w:val="auto"/>
        </w:rPr>
        <w:t>Although we have not obtained valuations of our assets (including goodwill and other intangibles) for 2025 and thus are not in a position to make a definitive determination regarding whether we were a PFIC for 2025, based on the composition of our income and assets during 2025 and the estimated value of our assets (which is based on our average market capitalization during 2025), we believe that we were likely not a PFIC for 2025. However, for the reasons described above there can be no assurance that the IRS will agree. Because our PFIC status is a factual annual determination that can be determined only after the end of the relevant taxable year, we cannot express a view regarding our PFIC status for 2026 or any future taxable year.</w:t>
      </w:r>
    </w:p>
    <w:p>
      <w:pPr>
        <w:spacing w:after="0" w:line="182" w:lineRule="exact"/>
        <w:rPr>
          <w:sz w:val="20"/>
          <w:szCs w:val="20"/>
          <w:color w:val="auto"/>
        </w:rPr>
      </w:pPr>
    </w:p>
    <w:p>
      <w:pPr>
        <w:ind w:left="40" w:right="119" w:firstLine="305"/>
        <w:spacing w:after="0" w:line="250" w:lineRule="auto"/>
        <w:rPr>
          <w:sz w:val="20"/>
          <w:szCs w:val="20"/>
          <w:color w:val="auto"/>
        </w:rPr>
      </w:pPr>
      <w:r>
        <w:rPr>
          <w:rFonts w:ascii="Times New Roman" w:cs="Times New Roman" w:eastAsia="Times New Roman" w:hAnsi="Times New Roman"/>
          <w:sz w:val="17"/>
          <w:szCs w:val="17"/>
          <w:color w:val="auto"/>
        </w:rPr>
        <w:t>As discussed in our Annual Reports on Form 20-F for 2019, 2020 and 2022, we were likely a PFIC for these years. If we were a PFIC for 2019, 2020 or 2022, or any other taxable year, under a rule commonly referred to as the “once a PFIC always a PFIC” rule, we generally will continue to be treated as a PFIC with respect to a U.S. Holder who owned our common shares during any portion of such years, even if we are not a PFIC for any subsequent taxable year, unless the U.S. Holder makes a “deemed sale” election with respect to our common shares. As a result of this election, the U.S. Holder (i) may recognize gain subject to the PFIC anti-deferral rules described below, (ii) will have additional tax basis in the common shares to the extent of any gain recognized in the deemed sale, and (iii) solely for purposes of the PFIC rules, will have a new holding period for the common shares. U.S. Holders are urged to consult their tax advisers regarding the potential application of the deemed sale election rules to their particular circumstances and the advisability of making a deemed sale election in light of the uncertainty regarding our PFIC status for the current or future taxable years, as described below.</w:t>
      </w:r>
    </w:p>
    <w:p>
      <w:pPr>
        <w:spacing w:after="0" w:line="185" w:lineRule="exact"/>
        <w:rPr>
          <w:sz w:val="20"/>
          <w:szCs w:val="20"/>
          <w:color w:val="auto"/>
        </w:rPr>
      </w:pPr>
    </w:p>
    <w:p>
      <w:pPr>
        <w:ind w:left="40" w:right="119" w:firstLine="305"/>
        <w:spacing w:after="0" w:line="252" w:lineRule="auto"/>
        <w:rPr>
          <w:sz w:val="20"/>
          <w:szCs w:val="20"/>
          <w:color w:val="auto"/>
        </w:rPr>
      </w:pPr>
      <w:r>
        <w:rPr>
          <w:rFonts w:ascii="Times New Roman" w:cs="Times New Roman" w:eastAsia="Times New Roman" w:hAnsi="Times New Roman"/>
          <w:sz w:val="17"/>
          <w:szCs w:val="17"/>
          <w:color w:val="auto"/>
        </w:rPr>
        <w:t>If a U.S. Holder owns our common shares in any year in which we are a PFIC, subject to the discussion above regarding the deemed sale election and the discussion below regarding the mark-to-market election, any gain recognized by the U.S. Holder on a sale or other disposition (including certain pledges) of the common shares will be allocated ratably over the U.S. Holder’s holding period for the common shares. The amounts allocated to the taxable year of the sale or other disposition and to any year before we became a PFIC will be taxed as ordinary income. The amount</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52" w:name="page153"/>
    <w:bookmarkEnd w:id="15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179"/>
        <w:spacing w:after="0" w:line="256" w:lineRule="auto"/>
        <w:rPr>
          <w:sz w:val="20"/>
          <w:szCs w:val="20"/>
          <w:color w:val="auto"/>
        </w:rPr>
      </w:pPr>
      <w:r>
        <w:rPr>
          <w:rFonts w:ascii="Times New Roman" w:cs="Times New Roman" w:eastAsia="Times New Roman" w:hAnsi="Times New Roman"/>
          <w:sz w:val="17"/>
          <w:szCs w:val="17"/>
          <w:color w:val="auto"/>
        </w:rPr>
        <w:t>allocated to any other taxable year will be subject to tax at the highest rate in effect for individuals or corporations, as appropriate, for that taxable year, and an interest charge will be imposed on the amount of tax allocated to that taxable year. Further, to the extent that distributions received by a U.S. Holder on its common shares during a taxable year exceed 125% of the average of the annual distributions on the common shares received during the preceding three taxable years or the U.S. Holder’s holding period, whichever is shorter, the excess distribution will be subject to taxation in the same manner.</w:t>
      </w:r>
    </w:p>
    <w:p>
      <w:pPr>
        <w:spacing w:after="0" w:line="176" w:lineRule="exact"/>
        <w:rPr>
          <w:sz w:val="20"/>
          <w:szCs w:val="20"/>
          <w:color w:val="auto"/>
        </w:rPr>
      </w:pPr>
    </w:p>
    <w:p>
      <w:pPr>
        <w:ind w:left="40" w:right="99" w:firstLine="305"/>
        <w:spacing w:after="0" w:line="250" w:lineRule="auto"/>
        <w:rPr>
          <w:sz w:val="20"/>
          <w:szCs w:val="20"/>
          <w:color w:val="auto"/>
        </w:rPr>
      </w:pPr>
      <w:r>
        <w:rPr>
          <w:rFonts w:ascii="Times New Roman" w:cs="Times New Roman" w:eastAsia="Times New Roman" w:hAnsi="Times New Roman"/>
          <w:sz w:val="17"/>
          <w:szCs w:val="17"/>
          <w:color w:val="auto"/>
        </w:rPr>
        <w:t>A U.S. Holder may be able to avoid the rules described above by making a timely mark-to-market election with respect to the common shares, provided that the common shares are regularly traded on Nasdaq or any other qualified exchange. If a U.S. Holder makes the mark-to-market election, it generally will recognize as ordinary income any excess of the fair market value of the common shares at the end of each taxable year in which we are a PFIC over their adjusted tax basis, and will recognize an ordinary loss in respect of any excess of the adjusted tax basis of the common shares over their fair market value at the end of the</w:t>
      </w:r>
    </w:p>
    <w:p>
      <w:pPr>
        <w:ind w:left="40" w:right="79"/>
        <w:spacing w:after="0" w:line="247" w:lineRule="auto"/>
        <w:rPr>
          <w:sz w:val="20"/>
          <w:szCs w:val="20"/>
          <w:color w:val="auto"/>
        </w:rPr>
      </w:pPr>
      <w:r>
        <w:rPr>
          <w:rFonts w:ascii="Times New Roman" w:cs="Times New Roman" w:eastAsia="Times New Roman" w:hAnsi="Times New Roman"/>
          <w:sz w:val="17"/>
          <w:szCs w:val="17"/>
          <w:color w:val="auto"/>
        </w:rPr>
        <w:t>taxable year (but only to the extent of the net amount of income previously included as a result of the mark-to-market election). If a U.S. Holder makes this election, the U.S. Holder’s tax basis in the common shares will be adjusted to reflect the income or loss amounts recognized. Any gain recognized on the sale or other disposition of common shares in a year in which we are a PFIC will be treated as ordinary income and any loss will be treated as an ordinary loss (but only to the extent of the net amount of income previously included as a result of the mark-to-market election, with any excess loss treated as a capital loss).</w:t>
      </w:r>
    </w:p>
    <w:p>
      <w:pPr>
        <w:spacing w:after="0" w:line="184" w:lineRule="exact"/>
        <w:rPr>
          <w:sz w:val="20"/>
          <w:szCs w:val="20"/>
          <w:color w:val="auto"/>
        </w:rPr>
      </w:pPr>
    </w:p>
    <w:p>
      <w:pPr>
        <w:ind w:left="40" w:right="179" w:firstLine="305"/>
        <w:spacing w:after="0" w:line="263" w:lineRule="auto"/>
        <w:rPr>
          <w:sz w:val="20"/>
          <w:szCs w:val="20"/>
          <w:color w:val="auto"/>
        </w:rPr>
      </w:pPr>
      <w:r>
        <w:rPr>
          <w:rFonts w:ascii="Times New Roman" w:cs="Times New Roman" w:eastAsia="Times New Roman" w:hAnsi="Times New Roman"/>
          <w:sz w:val="17"/>
          <w:szCs w:val="17"/>
          <w:color w:val="auto"/>
        </w:rPr>
        <w:t>We do not intend to provide the information necessary for U.S. Holders to make a “qualified electing fund” election, which if available could materially affect the tax consequences to U.S. Holders of the ownership and disposition of our common shares if we are or were a PFIC for any taxable year. Therefore, U.S. Holders will not be able to make such elections.</w:t>
      </w:r>
    </w:p>
    <w:p>
      <w:pPr>
        <w:spacing w:after="0" w:line="170" w:lineRule="exact"/>
        <w:rPr>
          <w:sz w:val="20"/>
          <w:szCs w:val="20"/>
          <w:color w:val="auto"/>
        </w:rPr>
      </w:pPr>
    </w:p>
    <w:p>
      <w:pPr>
        <w:ind w:left="40" w:right="79" w:firstLine="305"/>
        <w:spacing w:after="0" w:line="263" w:lineRule="auto"/>
        <w:rPr>
          <w:sz w:val="20"/>
          <w:szCs w:val="20"/>
          <w:color w:val="auto"/>
        </w:rPr>
      </w:pPr>
      <w:r>
        <w:rPr>
          <w:rFonts w:ascii="Times New Roman" w:cs="Times New Roman" w:eastAsia="Times New Roman" w:hAnsi="Times New Roman"/>
          <w:sz w:val="17"/>
          <w:szCs w:val="17"/>
          <w:color w:val="auto"/>
        </w:rPr>
        <w:t>In addition, if we are a PFIC (or are treated as a PFIC with respect to a particular U.S. Holder under the “once a PFIC always a PFIC” rule) for the taxable year in which we pay a dividend or for the prior taxable year, the preferential tax rate discussed below with respect to “qualified dividend income” received by certain non-corporate U.S. Holders will not be available.</w:t>
      </w:r>
    </w:p>
    <w:p>
      <w:pPr>
        <w:spacing w:after="0" w:line="170" w:lineRule="exact"/>
        <w:rPr>
          <w:sz w:val="20"/>
          <w:szCs w:val="20"/>
          <w:color w:val="auto"/>
        </w:rPr>
      </w:pPr>
    </w:p>
    <w:p>
      <w:pPr>
        <w:ind w:left="40" w:right="359" w:firstLine="305"/>
        <w:spacing w:after="0" w:line="262" w:lineRule="auto"/>
        <w:rPr>
          <w:sz w:val="20"/>
          <w:szCs w:val="20"/>
          <w:color w:val="auto"/>
        </w:rPr>
      </w:pPr>
      <w:r>
        <w:rPr>
          <w:rFonts w:ascii="Times New Roman" w:cs="Times New Roman" w:eastAsia="Times New Roman" w:hAnsi="Times New Roman"/>
          <w:sz w:val="17"/>
          <w:szCs w:val="17"/>
          <w:color w:val="auto"/>
        </w:rPr>
        <w:t>If a U.S. Holder owns common shares during any taxable year in which we are a PFIC, the U.S. Holder generally must file annual reports on IRS Form 8621 with respect to us with the U.S. Holder’s federal income tax return.</w:t>
      </w:r>
    </w:p>
    <w:p>
      <w:pPr>
        <w:spacing w:after="0" w:line="1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U.S. Holders should consult their tax advisers concerning our PFIC status for any taxable year and the consequences thereof.</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Taxation of distributions</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is subject to the discussion under “—</w:t>
      </w:r>
      <w:r>
        <w:rPr>
          <w:rFonts w:ascii="Times New Roman" w:cs="Times New Roman" w:eastAsia="Times New Roman" w:hAnsi="Times New Roman"/>
          <w:sz w:val="17"/>
          <w:szCs w:val="17"/>
          <w:i w:val="1"/>
          <w:iCs w:val="1"/>
          <w:color w:val="auto"/>
        </w:rPr>
        <w:t>Passive foreign investment company rules</w:t>
      </w:r>
      <w:r>
        <w:rPr>
          <w:rFonts w:ascii="Times New Roman" w:cs="Times New Roman" w:eastAsia="Times New Roman" w:hAnsi="Times New Roman"/>
          <w:sz w:val="17"/>
          <w:szCs w:val="17"/>
          <w:color w:val="auto"/>
        </w:rPr>
        <w:t>” above.</w:t>
      </w:r>
    </w:p>
    <w:p>
      <w:pPr>
        <w:spacing w:after="0" w:line="215" w:lineRule="exact"/>
        <w:rPr>
          <w:sz w:val="20"/>
          <w:szCs w:val="20"/>
          <w:color w:val="auto"/>
        </w:rPr>
      </w:pPr>
    </w:p>
    <w:p>
      <w:pPr>
        <w:ind w:left="40" w:right="79" w:firstLine="305"/>
        <w:spacing w:after="0" w:line="249" w:lineRule="auto"/>
        <w:rPr>
          <w:sz w:val="20"/>
          <w:szCs w:val="20"/>
          <w:color w:val="auto"/>
        </w:rPr>
      </w:pPr>
      <w:r>
        <w:rPr>
          <w:rFonts w:ascii="Times New Roman" w:cs="Times New Roman" w:eastAsia="Times New Roman" w:hAnsi="Times New Roman"/>
          <w:sz w:val="17"/>
          <w:szCs w:val="17"/>
          <w:color w:val="auto"/>
        </w:rPr>
        <w:t xml:space="preserve">As discussed under “Item 8. Financial Information—Section A. Consolidated statements and other financial information— Dividends and dividend policy,” we do not currently expect to make distributions on our common shares. In the event that we do make distributions of cash or other property on our common shares, other than certain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distributions of our common shares, they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Dividends paid to certain non-corporate U.S. Holders may be eligible for taxation as “qualified dividend income” and therefore, subject to applicable limitations, may be taxable at rates applicable to long-term capital gains, provided that we are not a PFIC (and are not treated as a PFIC with respect to a particular U.S. Holder under the “once a PFIC always a PFIC” rule) for our taxable year in which the dividend is paid or the preceding taxable year. Non-corporate U.S. Holders should consult their tax advisers regarding the availability of the reduced tax rate on dividends, if any, in their particular circumstances.</w:t>
      </w:r>
    </w:p>
    <w:p>
      <w:pPr>
        <w:spacing w:after="0" w:line="180" w:lineRule="exact"/>
        <w:rPr>
          <w:sz w:val="20"/>
          <w:szCs w:val="20"/>
          <w:color w:val="auto"/>
        </w:rPr>
      </w:pPr>
    </w:p>
    <w:p>
      <w:pPr>
        <w:ind w:left="40" w:right="279" w:firstLine="305"/>
        <w:spacing w:after="0" w:line="277" w:lineRule="auto"/>
        <w:rPr>
          <w:sz w:val="20"/>
          <w:szCs w:val="20"/>
          <w:color w:val="auto"/>
        </w:rPr>
      </w:pPr>
      <w:r>
        <w:rPr>
          <w:rFonts w:ascii="Times New Roman" w:cs="Times New Roman" w:eastAsia="Times New Roman" w:hAnsi="Times New Roman"/>
          <w:sz w:val="17"/>
          <w:szCs w:val="17"/>
          <w:color w:val="auto"/>
        </w:rPr>
        <w:t>Dividends will not be eligible for the dividends-received deduction generally available to U.S. corporations under the Code. Dividends will be included in a U.S. Holder’s income on the date of receipt. The amount of any dividend</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53" w:name="page154"/>
    <w:bookmarkEnd w:id="15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7"/>
          <w:szCs w:val="17"/>
          <w:color w:val="auto"/>
        </w:rPr>
        <w:t>income paid in Swiss Francs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76" w:lineRule="exact"/>
        <w:rPr>
          <w:sz w:val="20"/>
          <w:szCs w:val="20"/>
          <w:color w:val="auto"/>
        </w:rPr>
      </w:pPr>
    </w:p>
    <w:p>
      <w:pPr>
        <w:ind w:left="40" w:right="79" w:firstLine="305"/>
        <w:spacing w:after="0" w:line="249" w:lineRule="auto"/>
        <w:rPr>
          <w:sz w:val="20"/>
          <w:szCs w:val="20"/>
          <w:color w:val="auto"/>
        </w:rPr>
      </w:pPr>
      <w:r>
        <w:rPr>
          <w:rFonts w:ascii="Times New Roman" w:cs="Times New Roman" w:eastAsia="Times New Roman" w:hAnsi="Times New Roman"/>
          <w:sz w:val="17"/>
          <w:szCs w:val="17"/>
          <w:color w:val="auto"/>
        </w:rPr>
        <w:t>Dividends will be foreign-source income. The amount of dividend income will include any amounts withheld by us in respect of Swiss income taxes. Subject to applicable limitations, some of which vary depending upon the U.S. Holder’s particular circumstances, Swiss income taxes withheld from dividends on our common shares (at a rate not exceeding the applicable Treaty rate in the case of U.S. Holders eligible for Treaty benefits) may be creditable against the U.S. Holder’s U.S. federal income tax liability. Swiss taxes withheld at a rate in excess of an applicable Treaty rate generally will not be creditable. See “</w:t>
      </w:r>
      <w:r>
        <w:rPr>
          <w:rFonts w:ascii="Times New Roman" w:cs="Times New Roman" w:eastAsia="Times New Roman" w:hAnsi="Times New Roman"/>
          <w:sz w:val="17"/>
          <w:szCs w:val="17"/>
          <w:i w:val="1"/>
          <w:iCs w:val="1"/>
          <w:color w:val="auto"/>
        </w:rPr>
        <w:t>Swiss 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considerations—Swiss withholding tax</w:t>
      </w:r>
      <w:r>
        <w:rPr>
          <w:rFonts w:ascii="Times New Roman" w:cs="Times New Roman" w:eastAsia="Times New Roman" w:hAnsi="Times New Roman"/>
          <w:sz w:val="17"/>
          <w:szCs w:val="17"/>
          <w:color w:val="auto"/>
        </w:rPr>
        <w:t>” for a discussion on how to obtain a refund of Swiss withholding taxes. The rules governing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foreign tax credits are complex. For example, Treasury regulations provide that, in the absence of an election to apply the benefits of an applicable income tax treaty, in order for foreign income taxes to be creditable the relevant foreign income tax rules must be consistent with certain U.S. federal income tax principles, and we have not determined whether the Swiss income tax system meets this requirement. The IRS has released notices which provide relief from certain of the Treasury regulations’ requirements for taxable years ending before the date that a notice or other guidance withdrawing or modifying the temporary relief is issued (or any later date specified in such notice or other guidance). U.S. Holders should consult their tax advisers regarding the creditability of any Swiss taxes in their particular circumstances (including the U.S. Holder’s eligibility for Treaty benefits). In lieu of claiming a credit, U.S. Holders may be able to elect to deduct any Swiss income taxes in computing their taxable income, subject to generally applicable limitations under U.S. law. An election to deduct non-U.S. taxes instead of claiming foreign tax credits applies to all otherwise creditable non-U.S. taxes paid or accrued in the taxable year.</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Sale or other disposition of common shares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is subject to the discussion under “—</w:t>
      </w:r>
      <w:r>
        <w:rPr>
          <w:rFonts w:ascii="Times New Roman" w:cs="Times New Roman" w:eastAsia="Times New Roman" w:hAnsi="Times New Roman"/>
          <w:sz w:val="17"/>
          <w:szCs w:val="17"/>
          <w:i w:val="1"/>
          <w:iCs w:val="1"/>
          <w:color w:val="auto"/>
        </w:rPr>
        <w:t>Passive foreign investment company rules</w:t>
      </w:r>
      <w:r>
        <w:rPr>
          <w:rFonts w:ascii="Times New Roman" w:cs="Times New Roman" w:eastAsia="Times New Roman" w:hAnsi="Times New Roman"/>
          <w:sz w:val="17"/>
          <w:szCs w:val="17"/>
          <w:color w:val="auto"/>
        </w:rPr>
        <w:t>” above.</w:t>
      </w:r>
    </w:p>
    <w:p>
      <w:pPr>
        <w:spacing w:after="0" w:line="215" w:lineRule="exact"/>
        <w:rPr>
          <w:sz w:val="20"/>
          <w:szCs w:val="20"/>
          <w:color w:val="auto"/>
        </w:rPr>
      </w:pPr>
    </w:p>
    <w:p>
      <w:pPr>
        <w:ind w:left="40" w:right="159" w:firstLine="305"/>
        <w:spacing w:after="0" w:line="273" w:lineRule="auto"/>
        <w:rPr>
          <w:sz w:val="20"/>
          <w:szCs w:val="20"/>
          <w:color w:val="auto"/>
        </w:rPr>
      </w:pPr>
      <w:r>
        <w:rPr>
          <w:rFonts w:ascii="Times New Roman" w:cs="Times New Roman" w:eastAsia="Times New Roman" w:hAnsi="Times New Roman"/>
          <w:sz w:val="16"/>
          <w:szCs w:val="16"/>
          <w:color w:val="auto"/>
        </w:rPr>
        <w:t>Gain or loss realized on the sale or other disposition of common shares will be capital gain or loss, and will be long-term capital gain or loss if the U.S. Holder owned the common shares for more than one year, or short-term capital gain or loss otherwise. The amount of the gain or loss will equal the difference between the U.S. Holder’s tax basis in the common shares disposed of and the amount realized on the disposition, in each case as determined in U.S. dollars. This gain or loss will generally be U.S.-source gain or loss for foreign tax credit purposes. The deductibility of capital losses is subject to various limitations. Any Swiss securities transfer stamp duty tax on the sale will not be creditable, but may reduce the amount realized on any gain.</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Information reporting and backup withholding</w:t>
      </w:r>
    </w:p>
    <w:p>
      <w:pPr>
        <w:spacing w:after="0" w:line="215" w:lineRule="exact"/>
        <w:rPr>
          <w:sz w:val="20"/>
          <w:szCs w:val="20"/>
          <w:color w:val="auto"/>
        </w:rPr>
      </w:pPr>
    </w:p>
    <w:p>
      <w:pPr>
        <w:ind w:left="40" w:right="119" w:firstLine="305"/>
        <w:spacing w:after="0" w:line="280" w:lineRule="auto"/>
        <w:rPr>
          <w:sz w:val="20"/>
          <w:szCs w:val="20"/>
          <w:color w:val="auto"/>
        </w:rPr>
      </w:pPr>
      <w:r>
        <w:rPr>
          <w:rFonts w:ascii="Times New Roman" w:cs="Times New Roman" w:eastAsia="Times New Roman" w:hAnsi="Times New Roman"/>
          <w:sz w:val="16"/>
          <w:szCs w:val="16"/>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(and establishes that status if required to do so) or (ii) in the case of backup withholding, the U.S. Holder provides a correct taxpayer identification number and certifies that it is not subject to backup withholding.</w:t>
      </w:r>
    </w:p>
    <w:p>
      <w:pPr>
        <w:spacing w:after="0" w:line="157" w:lineRule="exact"/>
        <w:rPr>
          <w:sz w:val="20"/>
          <w:szCs w:val="20"/>
          <w:color w:val="auto"/>
        </w:rPr>
      </w:pPr>
    </w:p>
    <w:p>
      <w:pPr>
        <w:jc w:val="both"/>
        <w:ind w:left="40" w:right="159" w:firstLine="305"/>
        <w:spacing w:after="0" w:line="255" w:lineRule="auto"/>
        <w:rPr>
          <w:sz w:val="20"/>
          <w:szCs w:val="20"/>
          <w:color w:val="auto"/>
        </w:rPr>
      </w:pPr>
      <w:r>
        <w:rPr>
          <w:rFonts w:ascii="Times New Roman" w:cs="Times New Roman" w:eastAsia="Times New Roman" w:hAnsi="Times New Roman"/>
          <w:sz w:val="17"/>
          <w:szCs w:val="17"/>
          <w:color w:val="auto"/>
        </w:rPr>
        <w:t>The amount of any backup withholding from a payment to a U.S. Holder will be allowed as a credit against the U.S. Holder’s U.S. federal income tax liability and may entitle the U.S. Holder to a refund, provided that the required information is furnished in a timely manner to the IRS.</w:t>
      </w:r>
    </w:p>
    <w:p>
      <w:pPr>
        <w:spacing w:after="0" w:line="176" w:lineRule="exact"/>
        <w:rPr>
          <w:sz w:val="20"/>
          <w:szCs w:val="20"/>
          <w:color w:val="auto"/>
        </w:rPr>
      </w:pPr>
    </w:p>
    <w:p>
      <w:pPr>
        <w:ind w:left="40" w:right="279" w:firstLine="305"/>
        <w:spacing w:after="0" w:line="263" w:lineRule="auto"/>
        <w:rPr>
          <w:sz w:val="20"/>
          <w:szCs w:val="20"/>
          <w:color w:val="auto"/>
        </w:rPr>
      </w:pPr>
      <w:r>
        <w:rPr>
          <w:rFonts w:ascii="Times New Roman" w:cs="Times New Roman" w:eastAsia="Times New Roman" w:hAnsi="Times New Roman"/>
          <w:sz w:val="17"/>
          <w:szCs w:val="17"/>
          <w:color w:val="auto"/>
        </w:rPr>
        <w:t>Certain U.S. Holders who are individuals (or certain specified entities) may be required to report information relating to our common shares or non-U.S. accounts through which the common shares may be held. U.S. Holders should consult their tax advisers regarding their reporting obligations with respect to the ownership and disposition of our common shares.</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54" w:name="page155"/>
    <w:bookmarkEnd w:id="15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right="6599" w:hanging="295"/>
        <w:spacing w:after="0" w:line="498" w:lineRule="auto"/>
        <w:tabs>
          <w:tab w:leader="none" w:pos="340" w:val="left"/>
        </w:tabs>
        <w:numPr>
          <w:ilvl w:val="0"/>
          <w:numId w:val="1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Dividends and paying agents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340" w:right="7139" w:hanging="295"/>
        <w:spacing w:after="0" w:line="498" w:lineRule="auto"/>
        <w:tabs>
          <w:tab w:leader="none" w:pos="340" w:val="left"/>
        </w:tabs>
        <w:numPr>
          <w:ilvl w:val="0"/>
          <w:numId w:val="1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Statement by experts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340" w:hanging="295"/>
        <w:spacing w:after="0"/>
        <w:tabs>
          <w:tab w:leader="none" w:pos="340" w:val="left"/>
        </w:tabs>
        <w:numPr>
          <w:ilvl w:val="0"/>
          <w:numId w:val="1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Documents on display</w:t>
      </w:r>
    </w:p>
    <w:p>
      <w:pPr>
        <w:spacing w:after="0" w:line="215" w:lineRule="exact"/>
        <w:rPr>
          <w:sz w:val="20"/>
          <w:szCs w:val="20"/>
          <w:color w:val="auto"/>
        </w:rPr>
      </w:pPr>
    </w:p>
    <w:p>
      <w:pPr>
        <w:ind w:left="40" w:right="259" w:firstLine="305"/>
        <w:spacing w:after="0" w:line="253" w:lineRule="auto"/>
        <w:rPr>
          <w:sz w:val="20"/>
          <w:szCs w:val="20"/>
          <w:color w:val="auto"/>
        </w:rPr>
      </w:pPr>
      <w:r>
        <w:rPr>
          <w:rFonts w:ascii="Times New Roman" w:cs="Times New Roman" w:eastAsia="Times New Roman" w:hAnsi="Times New Roman"/>
          <w:sz w:val="17"/>
          <w:szCs w:val="17"/>
          <w:color w:val="auto"/>
        </w:rPr>
        <w:t>We are subject to the informational requirements of the Exchange Act. Accordingly, we are required to file reports and other information with the SEC, including Annual Reports on Form 20-F and reports on Form 6-K. In addition, the SEC maintains an Internet website that contains reports and other information about issuers, such as us, that file electronically with the SEC. The address of that website is www.sec.gov.</w:t>
      </w:r>
    </w:p>
    <w:p>
      <w:pPr>
        <w:spacing w:after="0" w:line="178" w:lineRule="exact"/>
        <w:rPr>
          <w:sz w:val="20"/>
          <w:szCs w:val="20"/>
          <w:color w:val="auto"/>
        </w:rPr>
      </w:pPr>
    </w:p>
    <w:p>
      <w:pPr>
        <w:jc w:val="both"/>
        <w:ind w:left="40" w:right="119" w:firstLine="305"/>
        <w:spacing w:after="0" w:line="263" w:lineRule="auto"/>
        <w:rPr>
          <w:sz w:val="20"/>
          <w:szCs w:val="20"/>
          <w:color w:val="auto"/>
        </w:rPr>
      </w:pPr>
      <w:r>
        <w:rPr>
          <w:rFonts w:ascii="Times New Roman" w:cs="Times New Roman" w:eastAsia="Times New Roman" w:hAnsi="Times New Roman"/>
          <w:sz w:val="17"/>
          <w:szCs w:val="17"/>
          <w:color w:val="auto"/>
        </w:rPr>
        <w:t>Additionally, our articles of association, this Annual Report, the annual business report, the compensation report, the auditors' report and any other reports that require shareholder approval shall be published on our website at least 20 days prior to the date of the annual shareholder meeting.</w:t>
      </w:r>
    </w:p>
    <w:p>
      <w:pPr>
        <w:spacing w:after="0" w:line="170" w:lineRule="exact"/>
        <w:rPr>
          <w:sz w:val="20"/>
          <w:szCs w:val="20"/>
          <w:color w:val="auto"/>
        </w:rPr>
      </w:pPr>
    </w:p>
    <w:p>
      <w:pPr>
        <w:ind w:left="40" w:right="99" w:firstLine="305"/>
        <w:spacing w:after="0" w:line="252" w:lineRule="auto"/>
        <w:rPr>
          <w:sz w:val="20"/>
          <w:szCs w:val="20"/>
          <w:color w:val="auto"/>
        </w:rPr>
      </w:pPr>
      <w:r>
        <w:rPr>
          <w:rFonts w:ascii="Times New Roman" w:cs="Times New Roman" w:eastAsia="Times New Roman" w:hAnsi="Times New Roman"/>
          <w:sz w:val="17"/>
          <w:szCs w:val="17"/>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75" w:lineRule="exact"/>
        <w:rPr>
          <w:sz w:val="20"/>
          <w:szCs w:val="20"/>
          <w:color w:val="auto"/>
        </w:rPr>
      </w:pPr>
    </w:p>
    <w:p>
      <w:pPr>
        <w:ind w:left="340" w:right="6979" w:hanging="295"/>
        <w:spacing w:after="0" w:line="498" w:lineRule="auto"/>
        <w:tabs>
          <w:tab w:leader="none" w:pos="340" w:val="left"/>
        </w:tabs>
        <w:numPr>
          <w:ilvl w:val="0"/>
          <w:numId w:val="1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Subsidiary information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340" w:hanging="295"/>
        <w:spacing w:after="0"/>
        <w:tabs>
          <w:tab w:leader="none" w:pos="340" w:val="left"/>
        </w:tabs>
        <w:numPr>
          <w:ilvl w:val="0"/>
          <w:numId w:val="1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Annual report to security holders</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11. QUANTITATIVE AND QUALITATIVE DISCLOSURES ABOUT MARKET RISK</w:t>
      </w:r>
    </w:p>
    <w:p>
      <w:pPr>
        <w:spacing w:after="0" w:line="202" w:lineRule="exact"/>
        <w:rPr>
          <w:sz w:val="20"/>
          <w:szCs w:val="20"/>
          <w:color w:val="auto"/>
        </w:rPr>
      </w:pPr>
    </w:p>
    <w:p>
      <w:pPr>
        <w:ind w:left="40" w:right="99" w:firstLine="305"/>
        <w:spacing w:after="0" w:line="263" w:lineRule="auto"/>
        <w:rPr>
          <w:sz w:val="20"/>
          <w:szCs w:val="20"/>
          <w:color w:val="auto"/>
        </w:rPr>
      </w:pPr>
      <w:r>
        <w:rPr>
          <w:rFonts w:ascii="Times New Roman" w:cs="Times New Roman" w:eastAsia="Times New Roman" w:hAnsi="Times New Roman"/>
          <w:sz w:val="17"/>
          <w:szCs w:val="17"/>
          <w:color w:val="auto"/>
        </w:rPr>
        <w:t>The Company’s activities expose it to the following financial risks: market risk (currency and interest rate risk), credit risk and liquidity risk. The Company’s overall risk management program focuses on the unpredictability of financial markets and seeks to minimize potential adverse effects on the Company’s financial performance.</w:t>
      </w:r>
    </w:p>
    <w:p>
      <w:pPr>
        <w:spacing w:after="0" w:line="170" w:lineRule="exact"/>
        <w:rPr>
          <w:sz w:val="20"/>
          <w:szCs w:val="20"/>
          <w:color w:val="auto"/>
        </w:rPr>
      </w:pPr>
    </w:p>
    <w:p>
      <w:pPr>
        <w:jc w:val="both"/>
        <w:ind w:left="40" w:right="139" w:firstLine="305"/>
        <w:spacing w:after="0" w:line="263" w:lineRule="auto"/>
        <w:rPr>
          <w:sz w:val="20"/>
          <w:szCs w:val="20"/>
          <w:color w:val="auto"/>
        </w:rPr>
      </w:pPr>
      <w:r>
        <w:rPr>
          <w:rFonts w:ascii="Times New Roman" w:cs="Times New Roman" w:eastAsia="Times New Roman" w:hAnsi="Times New Roman"/>
          <w:sz w:val="17"/>
          <w:szCs w:val="17"/>
          <w:color w:val="auto"/>
        </w:rPr>
        <w:t>Market risk arises from our exposure to fluctuation in currency exchange rates. We are exposed to market risks in the ordinary course of our business, which are principally limited to foreign currency exchange rate fluctuations and to a lesser degree, interest rate fluctuations.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Market risk</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Foreign exchange risk</w:t>
      </w:r>
    </w:p>
    <w:p>
      <w:pPr>
        <w:spacing w:after="0" w:line="215" w:lineRule="exact"/>
        <w:rPr>
          <w:sz w:val="20"/>
          <w:szCs w:val="20"/>
          <w:color w:val="auto"/>
        </w:rPr>
      </w:pPr>
    </w:p>
    <w:p>
      <w:pPr>
        <w:ind w:left="40" w:right="199" w:firstLine="305"/>
        <w:spacing w:after="0" w:line="255" w:lineRule="auto"/>
        <w:rPr>
          <w:sz w:val="20"/>
          <w:szCs w:val="20"/>
          <w:color w:val="auto"/>
        </w:rPr>
      </w:pPr>
      <w:r>
        <w:rPr>
          <w:rFonts w:ascii="Times New Roman" w:cs="Times New Roman" w:eastAsia="Times New Roman" w:hAnsi="Times New Roman"/>
          <w:sz w:val="17"/>
          <w:szCs w:val="17"/>
          <w:color w:val="auto"/>
        </w:rPr>
        <w:t>The Company is exposed to foreign exchange risk arising from currency exposures, primarily with respect to the EUR, USD and to a lesser extent to GBP, DKK and SEK. The currency exposure is not hedged. However, the Company has the policy of matching its cash holdings to the currency structure of its expenses. As of December 31, 2025, the Company holds approximately 81% of its overall cash and cash equivalents balance in CHF with the remainder predominantly in USD and EUR (see “Note 7. Cash and cash equivalents and short-term financial assets” of the consolidated financial statements). The Company holds almost 64% of its liquidity (cash and cash equivalents plus short-term financial assets) in CHF.</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55" w:name="page156"/>
    <w:bookmarkEnd w:id="15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99" w:firstLine="305"/>
        <w:spacing w:after="0" w:line="254" w:lineRule="auto"/>
        <w:rPr>
          <w:sz w:val="20"/>
          <w:szCs w:val="20"/>
          <w:color w:val="auto"/>
        </w:rPr>
      </w:pPr>
      <w:r>
        <w:rPr>
          <w:rFonts w:ascii="Times New Roman" w:cs="Times New Roman" w:eastAsia="Times New Roman" w:hAnsi="Times New Roman"/>
          <w:sz w:val="17"/>
          <w:szCs w:val="17"/>
          <w:color w:val="auto"/>
        </w:rPr>
        <w:t>We have a number of collaboration agreements for which the upfront payments, milestone payments and future royalty payments are not denominated in Swiss Francs, our reporting currency. Furthermore, many of our research and development activities are subcontracted to parties outside of Switzerland and we purchase materials from suppliers outside of Switzerland. As a result, we are exposed to foreign exchange risk. Approximately 36% of our total costs are incurred in currencies other than the Swiss Franc. Due to the size of some of the income received from collaboration agreements and also the high percentage of our costs indirectly being in foreign currencies, a hypothetical 10% change in exchange rates relative to the Swiss Franc could have a material impact on our consolidated financial statements.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215" w:lineRule="exact"/>
        <w:rPr>
          <w:sz w:val="20"/>
          <w:szCs w:val="20"/>
          <w:color w:val="auto"/>
        </w:rPr>
      </w:pPr>
    </w:p>
    <w:p>
      <w:pPr>
        <w:ind w:left="40" w:right="159" w:firstLine="305"/>
        <w:spacing w:after="0" w:line="255" w:lineRule="auto"/>
        <w:rPr>
          <w:sz w:val="20"/>
          <w:szCs w:val="20"/>
          <w:color w:val="auto"/>
        </w:rPr>
      </w:pPr>
      <w:r>
        <w:rPr>
          <w:rFonts w:ascii="Times New Roman" w:cs="Times New Roman" w:eastAsia="Times New Roman" w:hAnsi="Times New Roman"/>
          <w:sz w:val="17"/>
          <w:szCs w:val="17"/>
          <w:color w:val="auto"/>
        </w:rPr>
        <w:t>We maintain financial instruments in accordance with our treasury management policy. The primary objectives of our policy are to preserve principal, maintain proper liquidity and meet operating needs. Our financial assets are subject to interest rate risk and will decrease in value if market interest rates increase. Due to our policy to maintain the majority of our cash and cash equivalents in our functional currency and to the conservative nature of our investments and relatively short duration, interest rate risk is mitigated. We do not own derivative financial instruments. Accordingly, we do not believe that there is any material market risk exposure with respect to derivative or other financial instruments.</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Credit risk</w:t>
      </w:r>
    </w:p>
    <w:p>
      <w:pPr>
        <w:spacing w:after="0" w:line="215" w:lineRule="exact"/>
        <w:rPr>
          <w:sz w:val="20"/>
          <w:szCs w:val="20"/>
          <w:color w:val="auto"/>
        </w:rPr>
      </w:pPr>
    </w:p>
    <w:p>
      <w:pPr>
        <w:ind w:left="40" w:right="99" w:firstLine="305"/>
        <w:spacing w:after="0" w:line="256" w:lineRule="auto"/>
        <w:rPr>
          <w:sz w:val="20"/>
          <w:szCs w:val="20"/>
          <w:color w:val="auto"/>
        </w:rPr>
      </w:pPr>
      <w:r>
        <w:rPr>
          <w:rFonts w:ascii="Times New Roman" w:cs="Times New Roman" w:eastAsia="Times New Roman" w:hAnsi="Times New Roman"/>
          <w:sz w:val="17"/>
          <w:szCs w:val="17"/>
          <w:color w:val="auto"/>
        </w:rPr>
        <w:t>The Company maintains a formal treasury risk and investment management policy to limit counterparty credit risk. As of December 31, 2025, the Company’s cash and cash equivalents and short-term financial assets are held with six financial institutions, each with a high credit rating assigned by international credit-rating agencies. The maximum amount of credit risk is the carrying amount of the financial assets. Receivables are fully performing, not past due and not impaired (see “Note 7. Cash and cash equivalents and short-term financial assets” and “Note 10. Other current receivables”).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Liquidity risk</w:t>
      </w:r>
    </w:p>
    <w:p>
      <w:pPr>
        <w:spacing w:after="0" w:line="215" w:lineRule="exact"/>
        <w:rPr>
          <w:sz w:val="20"/>
          <w:szCs w:val="20"/>
          <w:color w:val="auto"/>
        </w:rPr>
      </w:pPr>
    </w:p>
    <w:p>
      <w:pPr>
        <w:ind w:left="40" w:right="99" w:firstLine="305"/>
        <w:spacing w:after="0" w:line="253" w:lineRule="auto"/>
        <w:rPr>
          <w:sz w:val="20"/>
          <w:szCs w:val="20"/>
          <w:color w:val="auto"/>
        </w:rPr>
      </w:pPr>
      <w:r>
        <w:rPr>
          <w:rFonts w:ascii="Times New Roman" w:cs="Times New Roman" w:eastAsia="Times New Roman" w:hAnsi="Times New Roman"/>
          <w:sz w:val="17"/>
          <w:szCs w:val="17"/>
          <w:color w:val="auto"/>
        </w:rPr>
        <w:t>Inherent in the Company’s business are various risks and uncertainties, including the high uncertainty that new therapeutic and diagnostic concepts will succeed. AC Immune’s success may depend in part upon its ability to (i) establish and maintain a strong patent position and protection, (ii) enter into collaborations with partners in the pharmaceutical and biopharmaceutical industries, (iii) acquire and keep key personnel employed, and (iv) acquire additional capital to support its operations.</w:t>
      </w:r>
    </w:p>
    <w:p>
      <w:pPr>
        <w:spacing w:after="0" w:line="178" w:lineRule="exact"/>
        <w:rPr>
          <w:sz w:val="20"/>
          <w:szCs w:val="20"/>
          <w:color w:val="auto"/>
        </w:rPr>
      </w:pPr>
    </w:p>
    <w:p>
      <w:pPr>
        <w:ind w:left="40" w:right="119" w:firstLine="305"/>
        <w:spacing w:after="0" w:line="263" w:lineRule="auto"/>
        <w:rPr>
          <w:sz w:val="20"/>
          <w:szCs w:val="20"/>
          <w:color w:val="auto"/>
        </w:rPr>
      </w:pPr>
      <w:r>
        <w:rPr>
          <w:rFonts w:ascii="Times New Roman" w:cs="Times New Roman" w:eastAsia="Times New Roman" w:hAnsi="Times New Roman"/>
          <w:sz w:val="17"/>
          <w:szCs w:val="17"/>
          <w:color w:val="auto"/>
        </w:rPr>
        <w:t>The Company’s approach of managing liquidity is to ensure sufficient cash to meet its liabilities when due. Therefore, management closely monitors the cash position on rolling forecasts based on expected cash flow to enable the Company to finance its operations for at least 12 months.</w:t>
      </w:r>
    </w:p>
    <w:p>
      <w:pPr>
        <w:spacing w:after="0" w:line="170" w:lineRule="exact"/>
        <w:rPr>
          <w:sz w:val="20"/>
          <w:szCs w:val="20"/>
          <w:color w:val="auto"/>
        </w:rPr>
      </w:pPr>
    </w:p>
    <w:p>
      <w:pPr>
        <w:ind w:left="40" w:right="99" w:firstLine="305"/>
        <w:spacing w:after="0" w:line="262" w:lineRule="auto"/>
        <w:rPr>
          <w:sz w:val="20"/>
          <w:szCs w:val="20"/>
          <w:color w:val="auto"/>
        </w:rPr>
      </w:pPr>
      <w:r>
        <w:rPr>
          <w:rFonts w:ascii="Times New Roman" w:cs="Times New Roman" w:eastAsia="Times New Roman" w:hAnsi="Times New Roman"/>
          <w:sz w:val="17"/>
          <w:szCs w:val="17"/>
          <w:color w:val="auto"/>
        </w:rPr>
        <w:t>Based on the Company’s current liquidity position, comprised of cash and cash equivalents and short-term financial assets, the Company is financed until the end of Q3 2027, assuming no other milestone payments.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Safe Harbor</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See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56" w:name="page157"/>
    <w:bookmarkEnd w:id="15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12. DESCRIPTION OF SECURITIES OTHER THAN EQUITY SECURITIES</w:t>
      </w:r>
    </w:p>
    <w:p>
      <w:pPr>
        <w:spacing w:after="0" w:line="222" w:lineRule="exact"/>
        <w:rPr>
          <w:sz w:val="20"/>
          <w:szCs w:val="20"/>
          <w:color w:val="auto"/>
        </w:rPr>
      </w:pPr>
    </w:p>
    <w:p>
      <w:pPr>
        <w:jc w:val="both"/>
        <w:ind w:left="340" w:right="7599" w:hanging="295"/>
        <w:spacing w:after="0" w:line="498" w:lineRule="auto"/>
        <w:tabs>
          <w:tab w:leader="none" w:pos="340" w:val="left"/>
        </w:tabs>
        <w:numPr>
          <w:ilvl w:val="0"/>
          <w:numId w:val="1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securities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340" w:right="7199" w:hanging="295"/>
        <w:spacing w:after="0" w:line="529" w:lineRule="auto"/>
        <w:tabs>
          <w:tab w:leader="none" w:pos="340" w:val="left"/>
        </w:tabs>
        <w:numPr>
          <w:ilvl w:val="0"/>
          <w:numId w:val="1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Warrants and rights </w:t>
      </w:r>
      <w:r>
        <w:rPr>
          <w:rFonts w:ascii="Times New Roman" w:cs="Times New Roman" w:eastAsia="Times New Roman" w:hAnsi="Times New Roman"/>
          <w:sz w:val="16"/>
          <w:szCs w:val="16"/>
          <w:color w:val="auto"/>
        </w:rPr>
        <w:t>Not applicable.</w:t>
      </w:r>
    </w:p>
    <w:p>
      <w:pPr>
        <w:spacing w:after="0" w:line="1" w:lineRule="exact"/>
        <w:rPr>
          <w:rFonts w:ascii="Times New Roman" w:cs="Times New Roman" w:eastAsia="Times New Roman" w:hAnsi="Times New Roman"/>
          <w:sz w:val="16"/>
          <w:szCs w:val="16"/>
          <w:b w:val="1"/>
          <w:bCs w:val="1"/>
          <w:color w:val="auto"/>
        </w:rPr>
      </w:pPr>
    </w:p>
    <w:p>
      <w:pPr>
        <w:ind w:left="340" w:right="7519" w:hanging="295"/>
        <w:spacing w:after="0" w:line="490" w:lineRule="auto"/>
        <w:tabs>
          <w:tab w:leader="none" w:pos="340" w:val="left"/>
        </w:tabs>
        <w:numPr>
          <w:ilvl w:val="0"/>
          <w:numId w:val="1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Other securities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340" w:right="6659" w:hanging="295"/>
        <w:spacing w:after="0" w:line="532" w:lineRule="auto"/>
        <w:tabs>
          <w:tab w:leader="none" w:pos="340" w:val="left"/>
        </w:tabs>
        <w:numPr>
          <w:ilvl w:val="0"/>
          <w:numId w:val="1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American depositary shares </w:t>
      </w:r>
      <w:r>
        <w:rPr>
          <w:rFonts w:ascii="Times New Roman" w:cs="Times New Roman" w:eastAsia="Times New Roman" w:hAnsi="Times New Roman"/>
          <w:sz w:val="17"/>
          <w:szCs w:val="17"/>
          <w:color w:val="auto"/>
        </w:rPr>
        <w:t>Not applicable.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57" w:name="page158"/>
    <w:bookmarkEnd w:id="15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13. DEFAULTS, DIVIDEND ARREARAGES AND DELINQUENCIES</w:t>
      </w:r>
    </w:p>
    <w:p>
      <w:pPr>
        <w:spacing w:after="0" w:line="211" w:lineRule="exact"/>
        <w:rPr>
          <w:sz w:val="20"/>
          <w:szCs w:val="20"/>
          <w:color w:val="auto"/>
        </w:rPr>
      </w:pPr>
    </w:p>
    <w:p>
      <w:pPr>
        <w:ind w:left="340" w:hanging="295"/>
        <w:spacing w:after="0"/>
        <w:tabs>
          <w:tab w:leader="none" w:pos="340" w:val="left"/>
        </w:tabs>
        <w:numPr>
          <w:ilvl w:val="0"/>
          <w:numId w:val="1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Defaults</w:t>
      </w:r>
    </w:p>
    <w:p>
      <w:pPr>
        <w:spacing w:after="0" w:line="214"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 matters to report.</w:t>
      </w:r>
    </w:p>
    <w:p>
      <w:pPr>
        <w:spacing w:after="0" w:line="206" w:lineRule="exact"/>
        <w:rPr>
          <w:rFonts w:ascii="Times New Roman" w:cs="Times New Roman" w:eastAsia="Times New Roman" w:hAnsi="Times New Roman"/>
          <w:sz w:val="17"/>
          <w:szCs w:val="17"/>
          <w:b w:val="1"/>
          <w:bCs w:val="1"/>
          <w:color w:val="auto"/>
        </w:rPr>
      </w:pPr>
    </w:p>
    <w:p>
      <w:pPr>
        <w:ind w:left="340" w:right="6759" w:hanging="295"/>
        <w:spacing w:after="0" w:line="498" w:lineRule="auto"/>
        <w:tabs>
          <w:tab w:leader="none" w:pos="340" w:val="left"/>
        </w:tabs>
        <w:numPr>
          <w:ilvl w:val="0"/>
          <w:numId w:val="1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Arrears and delinquencies </w:t>
      </w:r>
      <w:r>
        <w:rPr>
          <w:rFonts w:ascii="Times New Roman" w:cs="Times New Roman" w:eastAsia="Times New Roman" w:hAnsi="Times New Roman"/>
          <w:sz w:val="17"/>
          <w:szCs w:val="17"/>
          <w:color w:val="auto"/>
        </w:rPr>
        <w:t>No matters to report.</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14. MATERIAL MODIFICATIONS TO THE RIGHTS OF SECURITY HOLDERS AND USE OF PROCEEDS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15. CONTROLS AND PROCEDURES</w:t>
      </w:r>
    </w:p>
    <w:p>
      <w:pPr>
        <w:spacing w:after="0" w:line="211"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A.</w:t>
      </w:r>
      <w:r>
        <w:rPr>
          <w:sz w:val="20"/>
          <w:szCs w:val="20"/>
          <w:color w:val="auto"/>
        </w:rPr>
        <w:tab/>
      </w:r>
      <w:r>
        <w:rPr>
          <w:rFonts w:ascii="Times New Roman" w:cs="Times New Roman" w:eastAsia="Times New Roman" w:hAnsi="Times New Roman"/>
          <w:sz w:val="16"/>
          <w:szCs w:val="16"/>
          <w:b w:val="1"/>
          <w:bCs w:val="1"/>
          <w:color w:val="auto"/>
        </w:rPr>
        <w:t>Disclosure controls and procedures</w:t>
      </w:r>
    </w:p>
    <w:p>
      <w:pPr>
        <w:spacing w:after="0" w:line="215" w:lineRule="exact"/>
        <w:rPr>
          <w:sz w:val="20"/>
          <w:szCs w:val="20"/>
          <w:color w:val="auto"/>
        </w:rPr>
      </w:pPr>
    </w:p>
    <w:p>
      <w:pPr>
        <w:jc w:val="both"/>
        <w:ind w:left="40" w:right="119" w:firstLine="305"/>
        <w:spacing w:after="0" w:line="266" w:lineRule="auto"/>
        <w:rPr>
          <w:sz w:val="20"/>
          <w:szCs w:val="20"/>
          <w:color w:val="auto"/>
        </w:rPr>
      </w:pPr>
      <w:r>
        <w:rPr>
          <w:rFonts w:ascii="Times New Roman" w:cs="Times New Roman" w:eastAsia="Times New Roman" w:hAnsi="Times New Roman"/>
          <w:sz w:val="16"/>
          <w:szCs w:val="16"/>
          <w:color w:val="auto"/>
        </w:rPr>
        <w:t>As of December 31, 2025, under the supervision and with the participation of our management, including our Chief Executive Officer and Chief Financial Officer, we performed an evaluation of the effectiveness of the design and operation of our disclosure controls and procedures (as defined in Rule 13a-15(e) under the Exchange Act). There are inherent limitations to the effectiveness of any disclosure controls and procedures system, including the possibility of human error and circumventing or overriding them.</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Even if effective, disclosure controls and procedures can provide only reasonable assurance of achieving their control objectives.</w:t>
      </w:r>
    </w:p>
    <w:p>
      <w:pPr>
        <w:spacing w:after="0" w:line="193" w:lineRule="exact"/>
        <w:rPr>
          <w:sz w:val="20"/>
          <w:szCs w:val="20"/>
          <w:color w:val="auto"/>
        </w:rPr>
      </w:pPr>
    </w:p>
    <w:p>
      <w:pPr>
        <w:ind w:left="40" w:right="139" w:firstLine="305"/>
        <w:spacing w:after="0" w:line="258" w:lineRule="auto"/>
        <w:rPr>
          <w:sz w:val="20"/>
          <w:szCs w:val="20"/>
          <w:color w:val="auto"/>
        </w:rPr>
      </w:pPr>
      <w:r>
        <w:rPr>
          <w:rFonts w:ascii="Times New Roman" w:cs="Times New Roman" w:eastAsia="Times New Roman" w:hAnsi="Times New Roman"/>
          <w:sz w:val="17"/>
          <w:szCs w:val="17"/>
          <w:color w:val="auto"/>
        </w:rPr>
        <w:t>Our Chief Executive Officer and Chief Financial Officer concluded that our disclosure controls and procedures were effective in recording, processing, summarizing and reporting on a timely basis the information required to be included in periodic filings under the Exchange Act and that such information is accumulated and communicated to management, including our Chief Executive and Chief Financial Officers, as appropriate to allow timely decisions regarding required disclosure.</w:t>
      </w:r>
    </w:p>
    <w:p>
      <w:pPr>
        <w:spacing w:after="0" w:line="171"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B.</w:t>
      </w:r>
      <w:r>
        <w:rPr>
          <w:sz w:val="20"/>
          <w:szCs w:val="20"/>
          <w:color w:val="auto"/>
        </w:rPr>
        <w:tab/>
      </w:r>
      <w:r>
        <w:rPr>
          <w:rFonts w:ascii="Times New Roman" w:cs="Times New Roman" w:eastAsia="Times New Roman" w:hAnsi="Times New Roman"/>
          <w:sz w:val="16"/>
          <w:szCs w:val="16"/>
          <w:b w:val="1"/>
          <w:bCs w:val="1"/>
          <w:color w:val="auto"/>
        </w:rPr>
        <w:t>Management’s Annual Report on internal control over financial reporting</w:t>
      </w:r>
    </w:p>
    <w:p>
      <w:pPr>
        <w:spacing w:after="0" w:line="215" w:lineRule="exact"/>
        <w:rPr>
          <w:sz w:val="20"/>
          <w:szCs w:val="20"/>
          <w:color w:val="auto"/>
        </w:rPr>
      </w:pPr>
    </w:p>
    <w:p>
      <w:pPr>
        <w:ind w:left="40" w:right="79" w:firstLine="305"/>
        <w:spacing w:after="0" w:line="252"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such term is defined in Rule 13a-15(f) of the Exchange Act. Our internal control over financial reporting is supported by written policies and procedures.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9" w:lineRule="exact"/>
        <w:rPr>
          <w:sz w:val="20"/>
          <w:szCs w:val="20"/>
          <w:color w:val="auto"/>
        </w:rPr>
      </w:pPr>
    </w:p>
    <w:p>
      <w:pPr>
        <w:ind w:left="40" w:right="439" w:firstLine="305"/>
        <w:spacing w:after="0" w:line="275" w:lineRule="auto"/>
        <w:rPr>
          <w:sz w:val="20"/>
          <w:szCs w:val="20"/>
          <w:color w:val="auto"/>
        </w:rPr>
      </w:pPr>
      <w:r>
        <w:rPr>
          <w:rFonts w:ascii="Times New Roman" w:cs="Times New Roman" w:eastAsia="Times New Roman" w:hAnsi="Times New Roman"/>
          <w:sz w:val="16"/>
          <w:szCs w:val="16"/>
          <w:color w:val="auto"/>
        </w:rPr>
        <w:t>Under the supervision and with the participation of our Chief Executive Officer and Chief Financial Officer, management conducted an evaluation of the effectiveness of our internal control over financial reporting based upon criteria established</w:t>
      </w:r>
    </w:p>
    <w:p>
      <w:pPr>
        <w:jc w:val="both"/>
        <w:ind w:left="40" w:right="179"/>
        <w:spacing w:after="0" w:line="246" w:lineRule="auto"/>
        <w:rPr>
          <w:sz w:val="20"/>
          <w:szCs w:val="20"/>
          <w:color w:val="auto"/>
        </w:rPr>
      </w:pPr>
      <w:r>
        <w:rPr>
          <w:rFonts w:ascii="Times New Roman" w:cs="Times New Roman" w:eastAsia="Times New Roman" w:hAnsi="Times New Roman"/>
          <w:sz w:val="17"/>
          <w:szCs w:val="17"/>
          <w:color w:val="auto"/>
        </w:rPr>
        <w:t xml:space="preserve">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(2013) by the Committee of Sponsoring Organizations of the Treadway Commission. Based on that evaluation, our management, including our Chief Executive Officer and Chief Financial Officer concluded that our internal control over financial reporting was effective as of December 31, 2025.</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58" w:name="page159"/>
    <w:bookmarkEnd w:id="15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C.</w:t>
      </w:r>
      <w:r>
        <w:rPr>
          <w:sz w:val="20"/>
          <w:szCs w:val="20"/>
          <w:color w:val="auto"/>
        </w:rPr>
        <w:tab/>
      </w:r>
      <w:r>
        <w:rPr>
          <w:rFonts w:ascii="Times New Roman" w:cs="Times New Roman" w:eastAsia="Times New Roman" w:hAnsi="Times New Roman"/>
          <w:sz w:val="16"/>
          <w:szCs w:val="16"/>
          <w:b w:val="1"/>
          <w:bCs w:val="1"/>
          <w:color w:val="auto"/>
        </w:rPr>
        <w:t>Attestation report of the registered public accounting firm</w:t>
      </w:r>
    </w:p>
    <w:p>
      <w:pPr>
        <w:spacing w:after="0" w:line="215" w:lineRule="exact"/>
        <w:rPr>
          <w:sz w:val="20"/>
          <w:szCs w:val="20"/>
          <w:color w:val="auto"/>
        </w:rPr>
      </w:pPr>
    </w:p>
    <w:p>
      <w:pPr>
        <w:ind w:left="40" w:right="1059" w:firstLine="305"/>
        <w:spacing w:after="0" w:line="263" w:lineRule="auto"/>
        <w:rPr>
          <w:sz w:val="20"/>
          <w:szCs w:val="20"/>
          <w:color w:val="auto"/>
        </w:rPr>
      </w:pPr>
      <w:r>
        <w:rPr>
          <w:rFonts w:ascii="Times New Roman" w:cs="Times New Roman" w:eastAsia="Times New Roman" w:hAnsi="Times New Roman"/>
          <w:sz w:val="17"/>
          <w:szCs w:val="17"/>
          <w:color w:val="auto"/>
        </w:rPr>
        <w:t>The effectiveness of our internal control over financial reporting as of December 31, 2025 has been audited by PricewaterhouseCoopers SA, an independent registered public accounting firm. Their report is included on page F-2. PricewaterhouseCoopers SA (PwC) is a member of the Chamber of Public Accountants, Lausanne, Switzerland.</w:t>
      </w:r>
    </w:p>
    <w:p>
      <w:pPr>
        <w:spacing w:after="0" w:line="166"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D.</w:t>
      </w:r>
      <w:r>
        <w:rPr>
          <w:sz w:val="20"/>
          <w:szCs w:val="20"/>
          <w:color w:val="auto"/>
        </w:rPr>
        <w:tab/>
      </w:r>
      <w:r>
        <w:rPr>
          <w:rFonts w:ascii="Times New Roman" w:cs="Times New Roman" w:eastAsia="Times New Roman" w:hAnsi="Times New Roman"/>
          <w:sz w:val="16"/>
          <w:szCs w:val="16"/>
          <w:b w:val="1"/>
          <w:bCs w:val="1"/>
          <w:color w:val="auto"/>
        </w:rPr>
        <w:t>Changes in internal control over financial reporting</w:t>
      </w:r>
    </w:p>
    <w:p>
      <w:pPr>
        <w:spacing w:after="0" w:line="215" w:lineRule="exact"/>
        <w:rPr>
          <w:sz w:val="20"/>
          <w:szCs w:val="20"/>
          <w:color w:val="auto"/>
        </w:rPr>
      </w:pPr>
    </w:p>
    <w:p>
      <w:pPr>
        <w:ind w:left="40" w:right="299" w:firstLine="305"/>
        <w:spacing w:after="0" w:line="310" w:lineRule="auto"/>
        <w:rPr>
          <w:sz w:val="20"/>
          <w:szCs w:val="20"/>
          <w:color w:val="auto"/>
        </w:rPr>
      </w:pPr>
      <w:r>
        <w:rPr>
          <w:rFonts w:ascii="Times New Roman" w:cs="Times New Roman" w:eastAsia="Times New Roman" w:hAnsi="Times New Roman"/>
          <w:sz w:val="16"/>
          <w:szCs w:val="16"/>
          <w:color w:val="auto"/>
        </w:rPr>
        <w:t>There have been no changes in the Company’s internal control over financial reporting during the year ended December 31, 2025 that have materially affected, or are reasonably likely to materially affect, our internal control over financial reporting.</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16. [RESERVED]</w:t>
      </w:r>
    </w:p>
    <w:p>
      <w:pPr>
        <w:spacing w:after="0" w:line="2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16A. Audit committee financial expert</w:t>
      </w:r>
    </w:p>
    <w:p>
      <w:pPr>
        <w:spacing w:after="0" w:line="215" w:lineRule="exact"/>
        <w:rPr>
          <w:sz w:val="20"/>
          <w:szCs w:val="20"/>
          <w:color w:val="auto"/>
        </w:rPr>
      </w:pPr>
    </w:p>
    <w:p>
      <w:pPr>
        <w:ind w:left="40" w:right="139" w:firstLine="305"/>
        <w:spacing w:after="0" w:line="277" w:lineRule="auto"/>
        <w:rPr>
          <w:sz w:val="20"/>
          <w:szCs w:val="20"/>
          <w:color w:val="auto"/>
        </w:rPr>
      </w:pPr>
      <w:r>
        <w:rPr>
          <w:rFonts w:ascii="Times New Roman" w:cs="Times New Roman" w:eastAsia="Times New Roman" w:hAnsi="Times New Roman"/>
          <w:sz w:val="17"/>
          <w:szCs w:val="17"/>
          <w:color w:val="auto"/>
        </w:rPr>
        <w:t>Our board of directors has determined that Monika Bütler is an audit committee financial expert, as that term is defined by the SEC, and is independent for the purposes of SEC rules.</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16B. Code of Ethics</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Code of Business Conduct and Ethics</w:t>
      </w:r>
    </w:p>
    <w:p>
      <w:pPr>
        <w:spacing w:after="0" w:line="202" w:lineRule="exact"/>
        <w:rPr>
          <w:sz w:val="20"/>
          <w:szCs w:val="20"/>
          <w:color w:val="auto"/>
        </w:rPr>
      </w:pPr>
    </w:p>
    <w:p>
      <w:pPr>
        <w:ind w:left="40" w:right="319" w:firstLine="305"/>
        <w:spacing w:after="0" w:line="256" w:lineRule="auto"/>
        <w:rPr>
          <w:sz w:val="20"/>
          <w:szCs w:val="20"/>
          <w:color w:val="auto"/>
        </w:rPr>
      </w:pPr>
      <w:r>
        <w:rPr>
          <w:rFonts w:ascii="Times New Roman" w:cs="Times New Roman" w:eastAsia="Times New Roman" w:hAnsi="Times New Roman"/>
          <w:sz w:val="17"/>
          <w:szCs w:val="17"/>
          <w:color w:val="auto"/>
        </w:rPr>
        <w:t xml:space="preserve">We have adopted a Code of Business Conduct and Ethics, which covers a broad range of matters including the handling of conflicts of interest, compliance issues and other corporate policies such as insider trading and equal opportunity and non-discrimination standards. Our Code of Business Conduct and Ethics applies to all of our directors, executive officers and employees. We have published our Code of Business Conduct and Ethics on our website, </w:t>
      </w:r>
      <w:r>
        <w:rPr>
          <w:rFonts w:ascii="Times New Roman" w:cs="Times New Roman" w:eastAsia="Times New Roman" w:hAnsi="Times New Roman"/>
          <w:sz w:val="17"/>
          <w:szCs w:val="17"/>
          <w:i w:val="1"/>
          <w:iCs w:val="1"/>
          <w:color w:val="auto"/>
        </w:rPr>
        <w:t>www.acimmune.com</w:t>
      </w:r>
      <w:r>
        <w:rPr>
          <w:rFonts w:ascii="Times New Roman" w:cs="Times New Roman" w:eastAsia="Times New Roman" w:hAnsi="Times New Roman"/>
          <w:sz w:val="17"/>
          <w:szCs w:val="17"/>
          <w:color w:val="auto"/>
        </w:rPr>
        <w:t>. The information contained on our website is not a part of this Annual Report.</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16C. Principal accountant fees and services</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7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82"/>
        </w:trPr>
        <w:tc>
          <w:tcPr>
            <w:tcW w:w="7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8"/>
        </w:trPr>
        <w:tc>
          <w:tcPr>
            <w:tcW w:w="7060" w:type="dxa"/>
            <w:vAlign w:val="bottom"/>
            <w:tcBorders>
              <w:bottom w:val="single" w:sz="8" w:color="auto"/>
            </w:tcBorders>
          </w:tcPr>
          <w:p>
            <w:pPr>
              <w:ind w:left="30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8"/>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 fees</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w:t>
            </w:r>
          </w:p>
        </w:tc>
      </w:tr>
      <w:tr>
        <w:trPr>
          <w:trHeight w:val="216"/>
        </w:trPr>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Audit-related fees</w:t>
            </w:r>
          </w:p>
        </w:tc>
        <w:tc>
          <w:tcPr>
            <w:tcW w:w="2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08"/>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fees</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w:t>
            </w: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w:t>
            </w:r>
          </w:p>
        </w:tc>
      </w:tr>
      <w:tr>
        <w:trPr>
          <w:trHeight w:val="20"/>
        </w:trPr>
        <w:tc>
          <w:tcPr>
            <w:tcW w:w="7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jc w:val="both"/>
        <w:ind w:left="40" w:right="59" w:firstLine="305"/>
        <w:spacing w:after="0" w:line="310" w:lineRule="auto"/>
        <w:rPr>
          <w:sz w:val="20"/>
          <w:szCs w:val="20"/>
          <w:color w:val="auto"/>
        </w:rPr>
      </w:pPr>
      <w:r>
        <w:rPr>
          <w:rFonts w:ascii="Times New Roman" w:cs="Times New Roman" w:eastAsia="Times New Roman" w:hAnsi="Times New Roman"/>
          <w:sz w:val="16"/>
          <w:szCs w:val="16"/>
          <w:color w:val="auto"/>
        </w:rPr>
        <w:t>For the year ended December 31, 2025, PwC was the Company’s auditor for the IFRS and statutory accounts. At the ordinary Annual General Meeting on June 19, 2025, the shareholders appointed PwC as the Company’s auditor for a term of office of 1 year.</w:t>
      </w:r>
    </w:p>
    <w:p>
      <w:pPr>
        <w:spacing w:after="0" w:line="134" w:lineRule="exact"/>
        <w:rPr>
          <w:sz w:val="20"/>
          <w:szCs w:val="20"/>
          <w:color w:val="auto"/>
        </w:rPr>
      </w:pPr>
    </w:p>
    <w:p>
      <w:pPr>
        <w:ind w:left="40" w:right="199" w:firstLine="305"/>
        <w:spacing w:after="0" w:line="271" w:lineRule="auto"/>
        <w:rPr>
          <w:sz w:val="20"/>
          <w:szCs w:val="20"/>
          <w:color w:val="auto"/>
        </w:rPr>
      </w:pPr>
      <w:r>
        <w:rPr>
          <w:rFonts w:ascii="Times New Roman" w:cs="Times New Roman" w:eastAsia="Times New Roman" w:hAnsi="Times New Roman"/>
          <w:sz w:val="16"/>
          <w:szCs w:val="16"/>
          <w:color w:val="0D0E00"/>
        </w:rPr>
        <w:t>Audit fees i</w:t>
      </w:r>
      <w:r>
        <w:rPr>
          <w:rFonts w:ascii="Times New Roman" w:cs="Times New Roman" w:eastAsia="Times New Roman" w:hAnsi="Times New Roman"/>
          <w:sz w:val="16"/>
          <w:szCs w:val="16"/>
          <w:color w:val="000000"/>
        </w:rPr>
        <w:t>nclude fees for audit services primarily related to the audit of the statutory financial statements and to the</w:t>
      </w:r>
      <w:r>
        <w:rPr>
          <w:rFonts w:ascii="Times New Roman" w:cs="Times New Roman" w:eastAsia="Times New Roman" w:hAnsi="Times New Roman"/>
          <w:sz w:val="16"/>
          <w:szCs w:val="16"/>
          <w:color w:val="0D0E00"/>
        </w:rPr>
        <w:t xml:space="preserve"> </w:t>
      </w:r>
      <w:r>
        <w:rPr>
          <w:rFonts w:ascii="Times New Roman" w:cs="Times New Roman" w:eastAsia="Times New Roman" w:hAnsi="Times New Roman"/>
          <w:sz w:val="16"/>
          <w:szCs w:val="16"/>
          <w:color w:val="000000"/>
        </w:rPr>
        <w:t>integrated audit of (i) our annual consolidated financial statements and our internal control over financial reporting as required by Section 404(b) of the Sarbanes-Oxley Act of 2002, (ii) the review of our quarterly condensed consolidated financial statements,</w:t>
      </w:r>
    </w:p>
    <w:p>
      <w:pPr>
        <w:spacing w:after="0" w:line="2" w:lineRule="exact"/>
        <w:rPr>
          <w:sz w:val="20"/>
          <w:szCs w:val="20"/>
          <w:color w:val="auto"/>
        </w:rPr>
      </w:pPr>
    </w:p>
    <w:p>
      <w:pPr>
        <w:jc w:val="both"/>
        <w:ind w:left="40" w:right="559" w:firstLine="5"/>
        <w:spacing w:after="0" w:line="258" w:lineRule="auto"/>
        <w:tabs>
          <w:tab w:leader="none" w:pos="336"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comfort letters, consents and assistance with and review of documents relating to our securities offerings, including our registration statement on Form F-3 related to our follow-on shelf registration in Q1 2024 and its amendment in Q3 2024 and</w:t>
      </w:r>
    </w:p>
    <w:p>
      <w:pPr>
        <w:ind w:left="40" w:right="479" w:firstLine="5"/>
        <w:spacing w:after="0" w:line="255" w:lineRule="auto"/>
        <w:tabs>
          <w:tab w:leader="none" w:pos="327"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accounting and financial reporting consultation billed as audit fees or necessary to comply with the standards of the Public Company Accounting Oversight Board (United States).</w:t>
      </w:r>
    </w:p>
    <w:p>
      <w:pPr>
        <w:spacing w:after="0" w:line="176" w:lineRule="exact"/>
        <w:rPr>
          <w:sz w:val="20"/>
          <w:szCs w:val="20"/>
          <w:color w:val="auto"/>
        </w:rPr>
      </w:pPr>
    </w:p>
    <w:p>
      <w:pPr>
        <w:ind w:left="40" w:right="99" w:firstLine="305"/>
        <w:spacing w:after="0" w:line="277" w:lineRule="auto"/>
        <w:rPr>
          <w:sz w:val="20"/>
          <w:szCs w:val="20"/>
          <w:color w:val="auto"/>
        </w:rPr>
      </w:pPr>
      <w:r>
        <w:rPr>
          <w:rFonts w:ascii="Times New Roman" w:cs="Times New Roman" w:eastAsia="Times New Roman" w:hAnsi="Times New Roman"/>
          <w:sz w:val="17"/>
          <w:szCs w:val="17"/>
          <w:color w:val="auto"/>
        </w:rPr>
        <w:t>Audit-related fees consisted of fees billed for assurance and related services that were reasonably related to the performance of the audit or review of our financial statements or for services that were traditionally performed by the external auditor.</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59" w:name="page160"/>
    <w:bookmarkEnd w:id="15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Pre-approval policies and procedures</w:t>
      </w:r>
    </w:p>
    <w:p>
      <w:pPr>
        <w:spacing w:after="0" w:line="215" w:lineRule="exact"/>
        <w:rPr>
          <w:sz w:val="20"/>
          <w:szCs w:val="20"/>
          <w:color w:val="auto"/>
        </w:rPr>
      </w:pPr>
    </w:p>
    <w:p>
      <w:pPr>
        <w:ind w:left="40" w:right="139" w:firstLine="305"/>
        <w:spacing w:after="0" w:line="256" w:lineRule="auto"/>
        <w:rPr>
          <w:sz w:val="20"/>
          <w:szCs w:val="20"/>
          <w:color w:val="auto"/>
        </w:rPr>
      </w:pPr>
      <w:r>
        <w:rPr>
          <w:rFonts w:ascii="Times New Roman" w:cs="Times New Roman" w:eastAsia="Times New Roman" w:hAnsi="Times New Roman"/>
          <w:sz w:val="17"/>
          <w:szCs w:val="17"/>
          <w:color w:val="auto"/>
        </w:rPr>
        <w:t>In accordance with the requirements of the U.S. Sarbanes-Oxley Act of 2002 and rules issued by the SEC, we review and pre-approve any services performed by PwC. The procedure requires that all proposed future engagements of PwC for audit and permitted non-audit services are submitted to the Audit and Finance Committee for approval prior to the beginning of any such services. In accordance with this policy, all services performed by and fees paid to PwC in this Item 16C, were approved by the Audit and Finance Committee.</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16D. Exemptions from the listing standards for audit committees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16E. Purchases of equity securities by the issuer and affiliated purchasers</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In 2025, no purchases of our equity securities were made by or on behalf of AC Immune SA or any affiliated purchaser.</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16F. Change in registrant’s certifying accountant</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16G. Corporate governance</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Summary of Significant Corporate Governance Differences from Nasdaq Listing Standards</w:t>
      </w:r>
    </w:p>
    <w:p>
      <w:pPr>
        <w:spacing w:after="0" w:line="202" w:lineRule="exact"/>
        <w:rPr>
          <w:sz w:val="20"/>
          <w:szCs w:val="20"/>
          <w:color w:val="auto"/>
        </w:rPr>
      </w:pPr>
    </w:p>
    <w:p>
      <w:pPr>
        <w:ind w:left="40" w:right="139" w:firstLine="305"/>
        <w:spacing w:after="0" w:line="256" w:lineRule="auto"/>
        <w:rPr>
          <w:sz w:val="20"/>
          <w:szCs w:val="20"/>
          <w:color w:val="auto"/>
        </w:rPr>
      </w:pPr>
      <w:r>
        <w:rPr>
          <w:rFonts w:ascii="Times New Roman" w:cs="Times New Roman" w:eastAsia="Times New Roman" w:hAnsi="Times New Roman"/>
          <w:sz w:val="17"/>
          <w:szCs w:val="17"/>
          <w:color w:val="auto"/>
        </w:rPr>
        <w:t>Our common shares are listed on the Nasdaq Global Market. We are therefore required to comply with certain of the Nasdaq’s corporate governance listing standards (Nasdaq Standards). As a foreign private issuer, we may follow our home country’s corporate governance practices in lieu of certain of the Nasdaq Standards. Our corporate governance practices differ in certain respects from those that U.S. companies must adopt in order to maintain a Nasdaq listing. A brief, general summary of those differences is provided as follows.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Independent directors</w:t>
      </w:r>
    </w:p>
    <w:p>
      <w:pPr>
        <w:spacing w:after="0" w:line="215" w:lineRule="exact"/>
        <w:rPr>
          <w:sz w:val="20"/>
          <w:szCs w:val="20"/>
          <w:color w:val="auto"/>
        </w:rPr>
      </w:pPr>
    </w:p>
    <w:p>
      <w:pPr>
        <w:ind w:left="40" w:right="59" w:firstLine="305"/>
        <w:spacing w:after="0" w:line="253" w:lineRule="auto"/>
        <w:rPr>
          <w:sz w:val="20"/>
          <w:szCs w:val="20"/>
          <w:color w:val="auto"/>
        </w:rPr>
      </w:pPr>
      <w:r>
        <w:rPr>
          <w:rFonts w:ascii="Times New Roman" w:cs="Times New Roman" w:eastAsia="Times New Roman" w:hAnsi="Times New Roman"/>
          <w:sz w:val="17"/>
          <w:szCs w:val="17"/>
          <w:color w:val="auto"/>
        </w:rPr>
        <w:t>Swiss law does not require that a majority of our board of directors consist of independent directors. Our board of directors therefore may include fewer independent directors than would be required if we were subject to Nasdaq Listing Rule 5605(b)(1). In addition, we are not subject to Nasdaq Listing Rule 5605(b)(2), which requires that independent directors must regularly have scheduled meetings at which only independent directors are present.</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Compensation, nomination and corporate governance committee</w:t>
      </w:r>
    </w:p>
    <w:p>
      <w:pPr>
        <w:spacing w:after="0" w:line="215" w:lineRule="exact"/>
        <w:rPr>
          <w:sz w:val="20"/>
          <w:szCs w:val="20"/>
          <w:color w:val="auto"/>
        </w:rPr>
      </w:pPr>
    </w:p>
    <w:p>
      <w:pPr>
        <w:ind w:left="40" w:right="239" w:firstLine="305"/>
        <w:spacing w:after="0" w:line="258" w:lineRule="auto"/>
        <w:rPr>
          <w:sz w:val="20"/>
          <w:szCs w:val="20"/>
          <w:color w:val="auto"/>
        </w:rPr>
      </w:pPr>
      <w:r>
        <w:rPr>
          <w:rFonts w:ascii="Times New Roman" w:cs="Times New Roman" w:eastAsia="Times New Roman" w:hAnsi="Times New Roman"/>
          <w:sz w:val="17"/>
          <w:szCs w:val="17"/>
          <w:color w:val="auto"/>
        </w:rPr>
        <w:t>As Swiss law requires that we have a compensation, nomination and corporate governance committee, we will follow home country requirements with respect to such committee. As a result, our practice will vary from the requirements of Nasdaq Listing Rule 5605(d), which sets forth certain requirements as to the responsibilities, composition and independence of compensation, nomination and corporate governance committees.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Quorum requirements</w:t>
      </w:r>
    </w:p>
    <w:p>
      <w:pPr>
        <w:spacing w:after="0" w:line="215" w:lineRule="exact"/>
        <w:rPr>
          <w:sz w:val="20"/>
          <w:szCs w:val="20"/>
          <w:color w:val="auto"/>
        </w:rPr>
      </w:pPr>
    </w:p>
    <w:p>
      <w:pPr>
        <w:jc w:val="both"/>
        <w:ind w:left="40" w:right="319" w:firstLine="305"/>
        <w:spacing w:after="0" w:line="258" w:lineRule="auto"/>
        <w:rPr>
          <w:sz w:val="20"/>
          <w:szCs w:val="20"/>
          <w:color w:val="auto"/>
        </w:rPr>
      </w:pPr>
      <w:r>
        <w:rPr>
          <w:rFonts w:ascii="Times New Roman" w:cs="Times New Roman" w:eastAsia="Times New Roman" w:hAnsi="Times New Roman"/>
          <w:sz w:val="17"/>
          <w:szCs w:val="17"/>
          <w:color w:val="auto"/>
        </w:rPr>
        <w:t>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60" w:name="page161"/>
    <w:bookmarkEnd w:id="16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Solicitation of proxies</w:t>
      </w:r>
    </w:p>
    <w:p>
      <w:pPr>
        <w:spacing w:after="0" w:line="215" w:lineRule="exact"/>
        <w:rPr>
          <w:sz w:val="20"/>
          <w:szCs w:val="20"/>
          <w:color w:val="auto"/>
        </w:rPr>
      </w:pPr>
    </w:p>
    <w:p>
      <w:pPr>
        <w:ind w:left="40" w:right="119" w:firstLine="305"/>
        <w:spacing w:after="0" w:line="256" w:lineRule="auto"/>
        <w:rPr>
          <w:sz w:val="20"/>
          <w:szCs w:val="20"/>
          <w:color w:val="auto"/>
        </w:rPr>
      </w:pPr>
      <w:r>
        <w:rPr>
          <w:rFonts w:ascii="Times New Roman" w:cs="Times New Roman" w:eastAsia="Times New Roman" w:hAnsi="Times New Roman"/>
          <w:sz w:val="17"/>
          <w:szCs w:val="17"/>
          <w:color w:val="auto"/>
        </w:rPr>
        <w:t>Our articles of association provide for an independent proxy holder elected by our shareholders, who may represent our shareholders at a general meeting of shareholders, and we must provide shareholders with an agenda and other relevant documents for the general meeting of shareholders. However, Swiss law does not have a regulatory regime for the solicitation of proxies, and company solicitation of proxies is prohibited for public companies in Switzerland. Thus, our practice will vary from the requirement of Nasdaq Listing Rule 5620(b), which sets forth certain requirements regarding the solicitation of proxies.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Shareholder approval</w:t>
      </w:r>
    </w:p>
    <w:p>
      <w:pPr>
        <w:spacing w:after="0" w:line="202" w:lineRule="exact"/>
        <w:rPr>
          <w:sz w:val="20"/>
          <w:szCs w:val="20"/>
          <w:color w:val="auto"/>
        </w:rPr>
      </w:pPr>
    </w:p>
    <w:p>
      <w:pPr>
        <w:ind w:left="40" w:right="79" w:firstLine="305"/>
        <w:spacing w:after="0" w:line="256" w:lineRule="auto"/>
        <w:rPr>
          <w:sz w:val="20"/>
          <w:szCs w:val="20"/>
          <w:color w:val="auto"/>
        </w:rPr>
      </w:pPr>
      <w:r>
        <w:rPr>
          <w:rFonts w:ascii="Times New Roman" w:cs="Times New Roman" w:eastAsia="Times New Roman" w:hAnsi="Times New Roman"/>
          <w:sz w:val="17"/>
          <w:szCs w:val="17"/>
          <w:color w:val="auto"/>
        </w:rPr>
        <w:t>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requirements of Nasdaq Listing Rule 5635, which generally requires an issuer to obtain shareholder approval for the issuance of securities in connection with such events.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16H. Mine safety disclosure</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Not applicable.</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16I. Disclosure regarding foreign jurisdictions that prevent inspections</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16J. Insider trading policies</w:t>
      </w:r>
    </w:p>
    <w:p>
      <w:pPr>
        <w:spacing w:after="0" w:line="227" w:lineRule="exact"/>
        <w:rPr>
          <w:sz w:val="20"/>
          <w:szCs w:val="20"/>
          <w:color w:val="auto"/>
        </w:rPr>
      </w:pPr>
    </w:p>
    <w:p>
      <w:pPr>
        <w:jc w:val="both"/>
        <w:ind w:left="40" w:right="99" w:firstLine="305"/>
        <w:spacing w:after="0" w:line="274" w:lineRule="auto"/>
        <w:rPr>
          <w:sz w:val="20"/>
          <w:szCs w:val="20"/>
          <w:color w:val="auto"/>
        </w:rPr>
      </w:pPr>
      <w:r>
        <w:rPr>
          <w:rFonts w:ascii="Times New Roman" w:cs="Times New Roman" w:eastAsia="Times New Roman" w:hAnsi="Times New Roman"/>
          <w:sz w:val="17"/>
          <w:szCs w:val="17"/>
          <w:color w:val="auto"/>
        </w:rPr>
        <w:t>The Company has an insider trading policy in place, which governs the purchase, sale, and other dispositions of our securities, by directors, senior management, and employees that is reasonably designed to promote compliance with applicable insider trading laws, rules and regulations, and any listing standards applicable to the Company. A copy of the insider trading policy is attached as Exhibit 11.1 to this Annual Report.</w:t>
      </w:r>
    </w:p>
    <w:p>
      <w:pPr>
        <w:spacing w:after="0" w:line="2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16K. Cybersecurity</w:t>
      </w:r>
    </w:p>
    <w:p>
      <w:pPr>
        <w:spacing w:after="0" w:line="215" w:lineRule="exact"/>
        <w:rPr>
          <w:sz w:val="20"/>
          <w:szCs w:val="20"/>
          <w:color w:val="auto"/>
        </w:rPr>
      </w:pPr>
    </w:p>
    <w:p>
      <w:pPr>
        <w:ind w:left="40" w:right="79" w:firstLine="305"/>
        <w:spacing w:after="0" w:line="290" w:lineRule="auto"/>
        <w:rPr>
          <w:sz w:val="20"/>
          <w:szCs w:val="20"/>
          <w:color w:val="auto"/>
        </w:rPr>
      </w:pPr>
      <w:r>
        <w:rPr>
          <w:rFonts w:ascii="Times New Roman" w:cs="Times New Roman" w:eastAsia="Times New Roman" w:hAnsi="Times New Roman"/>
          <w:sz w:val="16"/>
          <w:szCs w:val="16"/>
          <w:color w:val="auto"/>
        </w:rPr>
        <w:t>To more effectively protect against, detect and respond to cybersecurity threats, the Company maintains a cybersecurity risk management program, which is supervised by our EVP Artificial Intelligence and Information Systems, whose team is responsible for leading enterprise-wide cybersecurity strategy, policy, standards, architecture and processes. The Company’s EVP Artificial Intelligence and Information Systems and his team possess expertise with cybersecurity, as demonstrated by prior work experience. The Company has designed its cybersecurity program based on the COBIT 2019 framework (and other certain industry standards) with the aim of protecting our networks, applications and systems and the confidentiality of sensitive information maintained as part of our business operations as well as securing our resources against cybersecurity threats. A breach, compromise or other security incident involving such information and resources could have a material impact on the Company’s operations.</w:t>
      </w:r>
    </w:p>
    <w:p>
      <w:pPr>
        <w:spacing w:after="0" w:line="100" w:lineRule="exact"/>
        <w:rPr>
          <w:sz w:val="20"/>
          <w:szCs w:val="20"/>
          <w:color w:val="auto"/>
        </w:rPr>
      </w:pPr>
    </w:p>
    <w:p>
      <w:pPr>
        <w:ind w:left="40" w:right="139" w:firstLine="305"/>
        <w:spacing w:after="0" w:line="268" w:lineRule="auto"/>
        <w:rPr>
          <w:sz w:val="20"/>
          <w:szCs w:val="20"/>
          <w:color w:val="auto"/>
        </w:rPr>
      </w:pPr>
      <w:r>
        <w:rPr>
          <w:rFonts w:ascii="Times New Roman" w:cs="Times New Roman" w:eastAsia="Times New Roman" w:hAnsi="Times New Roman"/>
          <w:sz w:val="17"/>
          <w:szCs w:val="17"/>
          <w:color w:val="auto"/>
        </w:rPr>
        <w:t>The goal of our cybersecurity program is to design, implement and maintain effective operational risk techniques and strategies, protect intellectual property and other proprietary and sensitive information, including personal information, minimize operational and fraud losses, and enhance our overall performance. As part of our cybersecurity program, we utilize security monitoring capabilities that alert us of suspicious activity, supported by an incident response program that is designed to support our ability to restore critical business operations in a controlled and step-wise manner. The Company also has procedures for evaluating the privacy, data protection and information security practices of our third-party service providers that provide us with IT services or that otherwise have access to our systems or our confidential or sensitive data. Additionally, we continually evaluate our internal systems, processes and controls to</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61" w:name="page162"/>
    <w:bookmarkEnd w:id="16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 w:right="379"/>
        <w:spacing w:after="0" w:line="309" w:lineRule="auto"/>
        <w:rPr>
          <w:sz w:val="20"/>
          <w:szCs w:val="20"/>
          <w:color w:val="auto"/>
        </w:rPr>
      </w:pPr>
      <w:r>
        <w:rPr>
          <w:rFonts w:ascii="Times New Roman" w:cs="Times New Roman" w:eastAsia="Times New Roman" w:hAnsi="Times New Roman"/>
          <w:sz w:val="17"/>
          <w:szCs w:val="17"/>
          <w:color w:val="auto"/>
        </w:rPr>
        <w:t>identify potential vulnerabilities, mitigate potential loss from cyber-attacks and also engage third-party security experts for risk assessment and system enhancements.</w:t>
      </w:r>
    </w:p>
    <w:p>
      <w:pPr>
        <w:spacing w:after="0" w:line="68" w:lineRule="exact"/>
        <w:rPr>
          <w:sz w:val="20"/>
          <w:szCs w:val="20"/>
          <w:color w:val="auto"/>
        </w:rPr>
      </w:pPr>
    </w:p>
    <w:p>
      <w:pPr>
        <w:ind w:left="40" w:right="59" w:firstLine="305"/>
        <w:spacing w:after="0" w:line="269" w:lineRule="auto"/>
        <w:rPr>
          <w:sz w:val="20"/>
          <w:szCs w:val="20"/>
          <w:color w:val="auto"/>
        </w:rPr>
      </w:pPr>
      <w:r>
        <w:rPr>
          <w:rFonts w:ascii="Times New Roman" w:cs="Times New Roman" w:eastAsia="Times New Roman" w:hAnsi="Times New Roman"/>
          <w:sz w:val="17"/>
          <w:szCs w:val="17"/>
          <w:color w:val="auto"/>
        </w:rPr>
        <w:t>Furthermore, our cybersecurity program is focused on companywide awareness geared toward enabling our employees and other key personnel to effectively handle the ever-increasing threat vectors such as phishing and other sophisticated social engineering attacks. Our management takes the position that cybersecurity is owned companywide as a collective team, not just by the EVP Artificial Intelligence and Information Systems. Our security awareness program focuses on improving awareness through training, including realistic phishing simulation campaigns. Our key areas of focus in 2026 and beyond will include requiring further training for employees that fail simulated phishing campaigns and encouraging our employees to report any suspicious activity they encounter.</w:t>
      </w:r>
    </w:p>
    <w:p>
      <w:pPr>
        <w:spacing w:after="0" w:line="116" w:lineRule="exact"/>
        <w:rPr>
          <w:sz w:val="20"/>
          <w:szCs w:val="20"/>
          <w:color w:val="auto"/>
        </w:rPr>
      </w:pPr>
    </w:p>
    <w:p>
      <w:pPr>
        <w:jc w:val="both"/>
        <w:ind w:left="40" w:right="79" w:firstLine="305"/>
        <w:spacing w:after="0" w:line="304" w:lineRule="auto"/>
        <w:rPr>
          <w:sz w:val="20"/>
          <w:szCs w:val="20"/>
          <w:color w:val="auto"/>
        </w:rPr>
      </w:pPr>
      <w:r>
        <w:rPr>
          <w:rFonts w:ascii="Times New Roman" w:cs="Times New Roman" w:eastAsia="Times New Roman" w:hAnsi="Times New Roman"/>
          <w:sz w:val="16"/>
          <w:szCs w:val="16"/>
          <w:color w:val="auto"/>
        </w:rPr>
        <w:t>Our Board of Directors has overall oversight responsibility for our overall enterprise risk management, including cybersecurity risks and threats, and the EVP Artificial Intelligence and Information Systems reports to the Board of Directors at least annually on such cybersecurity risks or threats as well as current trends and developments within the cybersecurity landscape.</w:t>
      </w:r>
    </w:p>
    <w:p>
      <w:pPr>
        <w:spacing w:after="0" w:line="88" w:lineRule="exact"/>
        <w:rPr>
          <w:sz w:val="20"/>
          <w:szCs w:val="20"/>
          <w:color w:val="auto"/>
        </w:rPr>
      </w:pPr>
    </w:p>
    <w:p>
      <w:pPr>
        <w:jc w:val="both"/>
        <w:ind w:left="40" w:right="199" w:firstLine="305"/>
        <w:spacing w:after="0" w:line="279" w:lineRule="auto"/>
        <w:rPr>
          <w:sz w:val="20"/>
          <w:szCs w:val="20"/>
          <w:color w:val="auto"/>
        </w:rPr>
      </w:pPr>
      <w:r>
        <w:rPr>
          <w:rFonts w:ascii="Times New Roman" w:cs="Times New Roman" w:eastAsia="Times New Roman" w:hAnsi="Times New Roman"/>
          <w:sz w:val="17"/>
          <w:szCs w:val="17"/>
          <w:color w:val="auto"/>
        </w:rPr>
        <w:t>Finally, the EVP Artificial Intelligence and Information Systems is also a member of the Company’s SOX Committee, which drives awareness, ownership and alignment across broad governance and risk stakeholder groups for effective cybersecurity risk management and reporting.</w:t>
      </w:r>
    </w:p>
    <w:p>
      <w:pPr>
        <w:spacing w:after="0" w:line="105" w:lineRule="exact"/>
        <w:rPr>
          <w:sz w:val="20"/>
          <w:szCs w:val="20"/>
          <w:color w:val="auto"/>
        </w:rPr>
      </w:pPr>
    </w:p>
    <w:p>
      <w:pPr>
        <w:ind w:left="40" w:right="139" w:firstLine="305"/>
        <w:spacing w:after="0" w:line="272" w:lineRule="auto"/>
        <w:rPr>
          <w:sz w:val="20"/>
          <w:szCs w:val="20"/>
          <w:color w:val="auto"/>
        </w:rPr>
      </w:pPr>
      <w:r>
        <w:rPr>
          <w:rFonts w:ascii="Times New Roman" w:cs="Times New Roman" w:eastAsia="Times New Roman" w:hAnsi="Times New Roman"/>
          <w:sz w:val="17"/>
          <w:szCs w:val="17"/>
          <w:color w:val="auto"/>
        </w:rPr>
        <w:t>Despite our efforts, we cannot eliminate all risks from cybersecurity threats, or provide assurances that we have not experienced an undetected cybersecurity incident. For more information about these risks, please see “Risk factors—A breakdown or breach of our information technology systems and cybersecurity efforts, or those of our key business partners, CROs or service providers, could subject us to liability or reputational damage or interrupt the operation of our business” in this annual report on Form 20-F.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162" w:name="page163"/>
    <w:bookmarkEnd w:id="16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17. Financial statements</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We have responded to Item 18 in lieu of this item.</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18. Financial statements</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Financial Statements are filed as part of this Annual Report, see page F-1.</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19. Exhibits</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460" w:type="dxa"/>
            <w:vAlign w:val="bottom"/>
          </w:tcPr>
          <w:p>
            <w:pPr>
              <w:spacing w:after="0"/>
              <w:rPr>
                <w:sz w:val="19"/>
                <w:szCs w:val="19"/>
                <w:color w:val="auto"/>
              </w:rPr>
            </w:pPr>
          </w:p>
        </w:tc>
        <w:tc>
          <w:tcPr>
            <w:tcW w:w="8460" w:type="dxa"/>
            <w:vAlign w:val="bottom"/>
            <w:gridSpan w:val="26"/>
          </w:tcPr>
          <w:p>
            <w:pPr>
              <w:ind w:left="160"/>
              <w:spacing w:after="0"/>
              <w:rPr>
                <w:sz w:val="20"/>
                <w:szCs w:val="20"/>
                <w:color w:val="auto"/>
              </w:rPr>
            </w:pPr>
            <w:r>
              <w:rPr>
                <w:rFonts w:ascii="Times New Roman" w:cs="Times New Roman" w:eastAsia="Times New Roman" w:hAnsi="Times New Roman"/>
                <w:sz w:val="17"/>
                <w:szCs w:val="17"/>
                <w:color w:val="auto"/>
              </w:rPr>
              <w:t>(a) The following documents are filed as part of Annual Report on Form 20-F:</w:t>
            </w:r>
          </w:p>
        </w:tc>
      </w:tr>
      <w:tr>
        <w:trPr>
          <w:trHeight w:val="407"/>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3.1</w:t>
            </w:r>
          </w:p>
        </w:tc>
        <w:tc>
          <w:tcPr>
            <w:tcW w:w="680" w:type="dxa"/>
            <w:vAlign w:val="bottom"/>
          </w:tcPr>
          <w:p>
            <w:pPr>
              <w:spacing w:after="0"/>
              <w:rPr>
                <w:sz w:val="24"/>
                <w:szCs w:val="24"/>
                <w:color w:val="auto"/>
              </w:rPr>
            </w:pPr>
          </w:p>
        </w:tc>
        <w:tc>
          <w:tcPr>
            <w:tcW w:w="7780" w:type="dxa"/>
            <w:vAlign w:val="bottom"/>
            <w:gridSpan w:val="25"/>
          </w:tcPr>
          <w:p>
            <w:pPr>
              <w:spacing w:after="0"/>
              <w:rPr>
                <w:sz w:val="20"/>
                <w:szCs w:val="20"/>
                <w:color w:val="auto"/>
              </w:rPr>
            </w:pPr>
            <w:r>
              <w:rPr>
                <w:rFonts w:ascii="Times New Roman" w:cs="Times New Roman" w:eastAsia="Times New Roman" w:hAnsi="Times New Roman"/>
                <w:sz w:val="17"/>
                <w:szCs w:val="17"/>
                <w:color w:val="0000EE"/>
              </w:rPr>
              <w:t>Articles of Association of AC Immune SA dated March 6, 2026</w:t>
            </w:r>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46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4.1</w:t>
            </w:r>
          </w:p>
        </w:tc>
        <w:tc>
          <w:tcPr>
            <w:tcW w:w="680" w:type="dxa"/>
            <w:vAlign w:val="bottom"/>
          </w:tcPr>
          <w:p>
            <w:pPr>
              <w:spacing w:after="0"/>
              <w:rPr>
                <w:sz w:val="15"/>
                <w:szCs w:val="15"/>
                <w:color w:val="auto"/>
              </w:rPr>
            </w:pPr>
          </w:p>
        </w:tc>
        <w:tc>
          <w:tcPr>
            <w:tcW w:w="7660" w:type="dxa"/>
            <w:vAlign w:val="bottom"/>
            <w:tcBorders>
              <w:bottom w:val="single" w:sz="8" w:color="0000EE"/>
            </w:tcBorders>
            <w:gridSpan w:val="23"/>
          </w:tcPr>
          <w:p>
            <w:pPr>
              <w:spacing w:after="0" w:line="183" w:lineRule="exact"/>
              <w:rPr>
                <w:rFonts w:ascii="Times New Roman" w:cs="Times New Roman" w:eastAsia="Times New Roman" w:hAnsi="Times New Roman"/>
                <w:sz w:val="17"/>
                <w:szCs w:val="17"/>
                <w:color w:val="0000EE"/>
                <w:w w:val="99"/>
              </w:rPr>
            </w:pPr>
            <w:hyperlink r:id="rId198">
              <w:r>
                <w:rPr>
                  <w:rFonts w:ascii="Times New Roman" w:cs="Times New Roman" w:eastAsia="Times New Roman" w:hAnsi="Times New Roman"/>
                  <w:sz w:val="17"/>
                  <w:szCs w:val="17"/>
                  <w:color w:val="0000EE"/>
                  <w:w w:val="99"/>
                </w:rPr>
                <w:t>Research Collaboration and License Agreement between AC Immune SA Corporation and Genentech, Inc. dated</w:t>
              </w:r>
            </w:hyperlink>
          </w:p>
        </w:tc>
        <w:tc>
          <w:tcPr>
            <w:tcW w:w="120" w:type="dxa"/>
            <w:vAlign w:val="bottom"/>
            <w:gridSpan w:val="2"/>
          </w:tcPr>
          <w:p>
            <w:pPr>
              <w:spacing w:after="0"/>
              <w:rPr>
                <w:sz w:val="15"/>
                <w:szCs w:val="15"/>
                <w:color w:val="auto"/>
              </w:rPr>
            </w:pPr>
          </w:p>
        </w:tc>
      </w:tr>
      <w:tr>
        <w:trPr>
          <w:trHeight w:val="183"/>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60" w:type="dxa"/>
            <w:vAlign w:val="bottom"/>
            <w:tcBorders>
              <w:bottom w:val="single" w:sz="8" w:color="0000EE"/>
            </w:tcBorders>
            <w:gridSpan w:val="23"/>
          </w:tcPr>
          <w:p>
            <w:pPr>
              <w:spacing w:after="0" w:line="183" w:lineRule="exact"/>
              <w:rPr>
                <w:rFonts w:ascii="Times New Roman" w:cs="Times New Roman" w:eastAsia="Times New Roman" w:hAnsi="Times New Roman"/>
                <w:sz w:val="17"/>
                <w:szCs w:val="17"/>
                <w:color w:val="0000EE"/>
                <w:w w:val="99"/>
              </w:rPr>
            </w:pPr>
            <w:hyperlink r:id="rId198">
              <w:r>
                <w:rPr>
                  <w:rFonts w:ascii="Times New Roman" w:cs="Times New Roman" w:eastAsia="Times New Roman" w:hAnsi="Times New Roman"/>
                  <w:sz w:val="17"/>
                  <w:szCs w:val="17"/>
                  <w:color w:val="0000EE"/>
                  <w:w w:val="99"/>
                </w:rPr>
                <w:t>November 6, 2006 (incorporated herein by reference to Exhibit 10.1 to the Company’s Registration Statement on</w:t>
              </w:r>
            </w:hyperlink>
          </w:p>
        </w:tc>
        <w:tc>
          <w:tcPr>
            <w:tcW w:w="120" w:type="dxa"/>
            <w:vAlign w:val="bottom"/>
            <w:gridSpan w:val="2"/>
          </w:tcPr>
          <w:p>
            <w:pPr>
              <w:spacing w:after="0"/>
              <w:rPr>
                <w:sz w:val="15"/>
                <w:szCs w:val="15"/>
                <w:color w:val="auto"/>
              </w:rPr>
            </w:pPr>
          </w:p>
        </w:tc>
      </w:tr>
      <w:tr>
        <w:trPr>
          <w:trHeight w:val="183"/>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780" w:type="dxa"/>
            <w:vAlign w:val="bottom"/>
            <w:tcBorders>
              <w:bottom w:val="single" w:sz="8" w:color="0000EE"/>
            </w:tcBorders>
            <w:gridSpan w:val="7"/>
          </w:tcPr>
          <w:p>
            <w:pPr>
              <w:spacing w:after="0" w:line="183" w:lineRule="exact"/>
              <w:rPr>
                <w:rFonts w:ascii="Times New Roman" w:cs="Times New Roman" w:eastAsia="Times New Roman" w:hAnsi="Times New Roman"/>
                <w:sz w:val="17"/>
                <w:szCs w:val="17"/>
                <w:color w:val="0000EE"/>
                <w:w w:val="99"/>
              </w:rPr>
            </w:pPr>
            <w:hyperlink r:id="rId198">
              <w:r>
                <w:rPr>
                  <w:rFonts w:ascii="Times New Roman" w:cs="Times New Roman" w:eastAsia="Times New Roman" w:hAnsi="Times New Roman"/>
                  <w:sz w:val="17"/>
                  <w:szCs w:val="17"/>
                  <w:color w:val="0000EE"/>
                  <w:w w:val="99"/>
                </w:rPr>
                <w:t>Form F-1 (File No. 333-211714) filed with the SEC on May 31, 2016)</w:t>
              </w:r>
            </w:hyperlink>
          </w:p>
        </w:tc>
        <w:tc>
          <w:tcPr>
            <w:tcW w:w="3000" w:type="dxa"/>
            <w:vAlign w:val="bottom"/>
            <w:gridSpan w:val="18"/>
          </w:tcPr>
          <w:p>
            <w:pPr>
              <w:spacing w:after="0"/>
              <w:rPr>
                <w:sz w:val="15"/>
                <w:szCs w:val="15"/>
                <w:color w:val="auto"/>
              </w:rPr>
            </w:pPr>
          </w:p>
        </w:tc>
      </w:tr>
      <w:tr>
        <w:trPr>
          <w:trHeight w:val="183"/>
        </w:trPr>
        <w:tc>
          <w:tcPr>
            <w:tcW w:w="46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4.2</w:t>
            </w:r>
          </w:p>
        </w:tc>
        <w:tc>
          <w:tcPr>
            <w:tcW w:w="680" w:type="dxa"/>
            <w:vAlign w:val="bottom"/>
          </w:tcPr>
          <w:p>
            <w:pPr>
              <w:spacing w:after="0"/>
              <w:rPr>
                <w:sz w:val="15"/>
                <w:szCs w:val="15"/>
                <w:color w:val="auto"/>
              </w:rPr>
            </w:pPr>
          </w:p>
        </w:tc>
        <w:tc>
          <w:tcPr>
            <w:tcW w:w="7440" w:type="dxa"/>
            <w:vAlign w:val="bottom"/>
            <w:tcBorders>
              <w:bottom w:val="single" w:sz="8" w:color="0000EE"/>
            </w:tcBorders>
            <w:gridSpan w:val="18"/>
          </w:tcPr>
          <w:p>
            <w:pPr>
              <w:spacing w:after="0" w:line="183" w:lineRule="exact"/>
              <w:rPr>
                <w:rFonts w:ascii="Times New Roman" w:cs="Times New Roman" w:eastAsia="Times New Roman" w:hAnsi="Times New Roman"/>
                <w:sz w:val="17"/>
                <w:szCs w:val="17"/>
                <w:color w:val="0000EE"/>
                <w:w w:val="99"/>
              </w:rPr>
            </w:pPr>
            <w:hyperlink r:id="rId199">
              <w:r>
                <w:rPr>
                  <w:rFonts w:ascii="Times New Roman" w:cs="Times New Roman" w:eastAsia="Times New Roman" w:hAnsi="Times New Roman"/>
                  <w:sz w:val="17"/>
                  <w:szCs w:val="17"/>
                  <w:color w:val="0000EE"/>
                  <w:w w:val="99"/>
                </w:rPr>
                <w:t>Amendment to the Research Collaboration and License Agreement between AC Immune SA Corporation and</w:t>
              </w:r>
            </w:hyperlink>
          </w:p>
        </w:tc>
        <w:tc>
          <w:tcPr>
            <w:tcW w:w="340" w:type="dxa"/>
            <w:vAlign w:val="bottom"/>
            <w:gridSpan w:val="7"/>
          </w:tcPr>
          <w:p>
            <w:pPr>
              <w:spacing w:after="0"/>
              <w:rPr>
                <w:sz w:val="15"/>
                <w:szCs w:val="15"/>
                <w:color w:val="auto"/>
              </w:rPr>
            </w:pPr>
          </w:p>
        </w:tc>
      </w:tr>
      <w:tr>
        <w:trPr>
          <w:trHeight w:val="183"/>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980" w:type="dxa"/>
            <w:vAlign w:val="bottom"/>
            <w:tcBorders>
              <w:bottom w:val="single" w:sz="8" w:color="0000EE"/>
            </w:tcBorders>
            <w:gridSpan w:val="12"/>
          </w:tcPr>
          <w:p>
            <w:pPr>
              <w:spacing w:after="0" w:line="183" w:lineRule="exact"/>
              <w:rPr>
                <w:rFonts w:ascii="Times New Roman" w:cs="Times New Roman" w:eastAsia="Times New Roman" w:hAnsi="Times New Roman"/>
                <w:sz w:val="17"/>
                <w:szCs w:val="17"/>
                <w:color w:val="0000EE"/>
                <w:w w:val="99"/>
              </w:rPr>
            </w:pPr>
            <w:hyperlink r:id="rId199">
              <w:r>
                <w:rPr>
                  <w:rFonts w:ascii="Times New Roman" w:cs="Times New Roman" w:eastAsia="Times New Roman" w:hAnsi="Times New Roman"/>
                  <w:sz w:val="17"/>
                  <w:szCs w:val="17"/>
                  <w:color w:val="0000EE"/>
                  <w:w w:val="99"/>
                </w:rPr>
                <w:t>Genentech, Inc. dated May 7, 2015 (incorporated herein by reference to Exhibit 10.2 to the Company’s</w:t>
              </w:r>
            </w:hyperlink>
          </w:p>
        </w:tc>
        <w:tc>
          <w:tcPr>
            <w:tcW w:w="800" w:type="dxa"/>
            <w:vAlign w:val="bottom"/>
            <w:gridSpan w:val="13"/>
          </w:tcPr>
          <w:p>
            <w:pPr>
              <w:spacing w:after="0"/>
              <w:rPr>
                <w:sz w:val="15"/>
                <w:szCs w:val="15"/>
                <w:color w:val="auto"/>
              </w:rPr>
            </w:pPr>
          </w:p>
        </w:tc>
      </w:tr>
      <w:tr>
        <w:trPr>
          <w:trHeight w:val="183"/>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780" w:type="dxa"/>
            <w:vAlign w:val="bottom"/>
            <w:gridSpan w:val="25"/>
          </w:tcPr>
          <w:p>
            <w:pPr>
              <w:spacing w:after="0" w:line="183" w:lineRule="exact"/>
              <w:rPr>
                <w:rFonts w:ascii="Times New Roman" w:cs="Times New Roman" w:eastAsia="Times New Roman" w:hAnsi="Times New Roman"/>
                <w:sz w:val="17"/>
                <w:szCs w:val="17"/>
                <w:color w:val="0000EE"/>
              </w:rPr>
            </w:pPr>
            <w:hyperlink r:id="rId199">
              <w:r>
                <w:rPr>
                  <w:rFonts w:ascii="Times New Roman" w:cs="Times New Roman" w:eastAsia="Times New Roman" w:hAnsi="Times New Roman"/>
                  <w:sz w:val="17"/>
                  <w:szCs w:val="17"/>
                  <w:color w:val="0000EE"/>
                </w:rPr>
                <w:t>Registration Statement on Form F-1 (File No. 333-211714) filed with the SEC on May 31, 2016)</w:t>
              </w:r>
            </w:hyperlink>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46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4.3</w:t>
            </w:r>
          </w:p>
        </w:tc>
        <w:tc>
          <w:tcPr>
            <w:tcW w:w="680" w:type="dxa"/>
            <w:vAlign w:val="bottom"/>
          </w:tcPr>
          <w:p>
            <w:pPr>
              <w:spacing w:after="0"/>
              <w:rPr>
                <w:sz w:val="15"/>
                <w:szCs w:val="15"/>
                <w:color w:val="auto"/>
              </w:rPr>
            </w:pPr>
          </w:p>
        </w:tc>
        <w:tc>
          <w:tcPr>
            <w:tcW w:w="7660" w:type="dxa"/>
            <w:vAlign w:val="bottom"/>
            <w:tcBorders>
              <w:bottom w:val="single" w:sz="8" w:color="0000EE"/>
            </w:tcBorders>
            <w:gridSpan w:val="23"/>
          </w:tcPr>
          <w:p>
            <w:pPr>
              <w:spacing w:after="0" w:line="183" w:lineRule="exact"/>
              <w:rPr>
                <w:rFonts w:ascii="Times New Roman" w:cs="Times New Roman" w:eastAsia="Times New Roman" w:hAnsi="Times New Roman"/>
                <w:sz w:val="17"/>
                <w:szCs w:val="17"/>
                <w:color w:val="0000EE"/>
                <w:w w:val="99"/>
              </w:rPr>
            </w:pPr>
            <w:hyperlink r:id="rId200">
              <w:r>
                <w:rPr>
                  <w:rFonts w:ascii="Times New Roman" w:cs="Times New Roman" w:eastAsia="Times New Roman" w:hAnsi="Times New Roman"/>
                  <w:sz w:val="17"/>
                  <w:szCs w:val="17"/>
                  <w:color w:val="0000EE"/>
                  <w:w w:val="99"/>
                </w:rPr>
                <w:t>Research Collaboration and License Agreement between AC Immune SA Corporation and Genentech, Inc. dated</w:t>
              </w:r>
            </w:hyperlink>
          </w:p>
        </w:tc>
        <w:tc>
          <w:tcPr>
            <w:tcW w:w="120" w:type="dxa"/>
            <w:vAlign w:val="bottom"/>
            <w:gridSpan w:val="2"/>
          </w:tcPr>
          <w:p>
            <w:pPr>
              <w:spacing w:after="0"/>
              <w:rPr>
                <w:sz w:val="15"/>
                <w:szCs w:val="15"/>
                <w:color w:val="auto"/>
              </w:rPr>
            </w:pPr>
          </w:p>
        </w:tc>
      </w:tr>
      <w:tr>
        <w:trPr>
          <w:trHeight w:val="183"/>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340" w:type="dxa"/>
            <w:vAlign w:val="bottom"/>
            <w:tcBorders>
              <w:bottom w:val="single" w:sz="8" w:color="0000EE"/>
            </w:tcBorders>
            <w:gridSpan w:val="15"/>
          </w:tcPr>
          <w:p>
            <w:pPr>
              <w:spacing w:after="0" w:line="183" w:lineRule="exact"/>
              <w:rPr>
                <w:rFonts w:ascii="Times New Roman" w:cs="Times New Roman" w:eastAsia="Times New Roman" w:hAnsi="Times New Roman"/>
                <w:sz w:val="17"/>
                <w:szCs w:val="17"/>
                <w:color w:val="0000EE"/>
                <w:w w:val="99"/>
              </w:rPr>
            </w:pPr>
            <w:hyperlink r:id="rId200">
              <w:r>
                <w:rPr>
                  <w:rFonts w:ascii="Times New Roman" w:cs="Times New Roman" w:eastAsia="Times New Roman" w:hAnsi="Times New Roman"/>
                  <w:sz w:val="17"/>
                  <w:szCs w:val="17"/>
                  <w:color w:val="0000EE"/>
                  <w:w w:val="99"/>
                </w:rPr>
                <w:t>June 15, 2012 (incorporated herein by reference to Exhibit 10.3 to the Company’s Registration Statement on</w:t>
              </w:r>
            </w:hyperlink>
          </w:p>
        </w:tc>
        <w:tc>
          <w:tcPr>
            <w:tcW w:w="440" w:type="dxa"/>
            <w:vAlign w:val="bottom"/>
            <w:gridSpan w:val="10"/>
          </w:tcPr>
          <w:p>
            <w:pPr>
              <w:spacing w:after="0"/>
              <w:rPr>
                <w:sz w:val="15"/>
                <w:szCs w:val="15"/>
                <w:color w:val="auto"/>
              </w:rPr>
            </w:pPr>
          </w:p>
        </w:tc>
      </w:tr>
      <w:tr>
        <w:trPr>
          <w:trHeight w:val="183"/>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780" w:type="dxa"/>
            <w:vAlign w:val="bottom"/>
            <w:gridSpan w:val="25"/>
          </w:tcPr>
          <w:p>
            <w:pPr>
              <w:spacing w:after="0" w:line="183" w:lineRule="exact"/>
              <w:rPr>
                <w:rFonts w:ascii="Times New Roman" w:cs="Times New Roman" w:eastAsia="Times New Roman" w:hAnsi="Times New Roman"/>
                <w:sz w:val="17"/>
                <w:szCs w:val="17"/>
                <w:color w:val="0000EE"/>
              </w:rPr>
            </w:pPr>
            <w:hyperlink r:id="rId200">
              <w:r>
                <w:rPr>
                  <w:rFonts w:ascii="Times New Roman" w:cs="Times New Roman" w:eastAsia="Times New Roman" w:hAnsi="Times New Roman"/>
                  <w:sz w:val="17"/>
                  <w:szCs w:val="17"/>
                  <w:color w:val="0000EE"/>
                </w:rPr>
                <w:t>Form F-1 (File No. 333-211714) filed with the SEC on May 31, 2016)</w:t>
              </w:r>
            </w:hyperlink>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46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4.4</w:t>
            </w:r>
          </w:p>
        </w:tc>
        <w:tc>
          <w:tcPr>
            <w:tcW w:w="680" w:type="dxa"/>
            <w:vAlign w:val="bottom"/>
          </w:tcPr>
          <w:p>
            <w:pPr>
              <w:spacing w:after="0"/>
              <w:rPr>
                <w:sz w:val="15"/>
                <w:szCs w:val="15"/>
                <w:color w:val="auto"/>
              </w:rPr>
            </w:pPr>
          </w:p>
        </w:tc>
        <w:tc>
          <w:tcPr>
            <w:tcW w:w="7780" w:type="dxa"/>
            <w:vAlign w:val="bottom"/>
            <w:gridSpan w:val="25"/>
          </w:tcPr>
          <w:p>
            <w:pPr>
              <w:spacing w:after="0" w:line="183" w:lineRule="exact"/>
              <w:rPr>
                <w:rFonts w:ascii="Times New Roman" w:cs="Times New Roman" w:eastAsia="Times New Roman" w:hAnsi="Times New Roman"/>
                <w:sz w:val="17"/>
                <w:szCs w:val="17"/>
                <w:color w:val="0000EE"/>
              </w:rPr>
            </w:pPr>
            <w:hyperlink r:id="rId201">
              <w:r>
                <w:rPr>
                  <w:rFonts w:ascii="Times New Roman" w:cs="Times New Roman" w:eastAsia="Times New Roman" w:hAnsi="Times New Roman"/>
                  <w:sz w:val="17"/>
                  <w:szCs w:val="17"/>
                  <w:color w:val="0000EE"/>
                </w:rPr>
                <w:t>License and Collaboration Agreement between Piramal Imaging Ltd., Piramal Imaging SA and AC Immune SA,</w:t>
              </w:r>
            </w:hyperlink>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0" w:type="dxa"/>
            <w:vAlign w:val="bottom"/>
            <w:gridSpan w:val="4"/>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780" w:type="dxa"/>
            <w:vAlign w:val="bottom"/>
            <w:gridSpan w:val="25"/>
          </w:tcPr>
          <w:p>
            <w:pPr>
              <w:spacing w:after="0" w:line="183" w:lineRule="exact"/>
              <w:rPr>
                <w:rFonts w:ascii="Times New Roman" w:cs="Times New Roman" w:eastAsia="Times New Roman" w:hAnsi="Times New Roman"/>
                <w:sz w:val="17"/>
                <w:szCs w:val="17"/>
                <w:color w:val="0000EE"/>
              </w:rPr>
            </w:pPr>
            <w:hyperlink r:id="rId201">
              <w:r>
                <w:rPr>
                  <w:rFonts w:ascii="Times New Roman" w:cs="Times New Roman" w:eastAsia="Times New Roman" w:hAnsi="Times New Roman"/>
                  <w:sz w:val="17"/>
                  <w:szCs w:val="17"/>
                  <w:color w:val="0000EE"/>
                </w:rPr>
                <w:t>dated May 9, 2014 (incorporated herein by reference to Exhibit 10.4 to the Company’s Registration Statement on</w:t>
              </w:r>
            </w:hyperlink>
          </w:p>
        </w:tc>
      </w:tr>
      <w:tr>
        <w:trPr>
          <w:trHeight w:val="183"/>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780" w:type="dxa"/>
            <w:vAlign w:val="bottom"/>
            <w:tcBorders>
              <w:top w:val="single" w:sz="8" w:color="0000EE"/>
              <w:bottom w:val="single" w:sz="8" w:color="0000EE"/>
            </w:tcBorders>
            <w:gridSpan w:val="7"/>
          </w:tcPr>
          <w:p>
            <w:pPr>
              <w:spacing w:after="0" w:line="183" w:lineRule="exact"/>
              <w:rPr>
                <w:rFonts w:ascii="Times New Roman" w:cs="Times New Roman" w:eastAsia="Times New Roman" w:hAnsi="Times New Roman"/>
                <w:sz w:val="17"/>
                <w:szCs w:val="17"/>
                <w:color w:val="0000EE"/>
                <w:w w:val="99"/>
              </w:rPr>
            </w:pPr>
            <w:hyperlink r:id="rId201">
              <w:r>
                <w:rPr>
                  <w:rFonts w:ascii="Times New Roman" w:cs="Times New Roman" w:eastAsia="Times New Roman" w:hAnsi="Times New Roman"/>
                  <w:sz w:val="17"/>
                  <w:szCs w:val="17"/>
                  <w:color w:val="0000EE"/>
                  <w:w w:val="99"/>
                </w:rPr>
                <w:t>Form F-1 (File No. 333-211714) filed with the SEC on May 31, 2016)</w:t>
              </w:r>
            </w:hyperlink>
          </w:p>
        </w:tc>
        <w:tc>
          <w:tcPr>
            <w:tcW w:w="2880" w:type="dxa"/>
            <w:vAlign w:val="bottom"/>
            <w:tcBorders>
              <w:top w:val="single" w:sz="8" w:color="0000EE"/>
            </w:tcBorders>
            <w:gridSpan w:val="16"/>
          </w:tcPr>
          <w:p>
            <w:pPr>
              <w:spacing w:after="0"/>
              <w:rPr>
                <w:sz w:val="15"/>
                <w:szCs w:val="15"/>
                <w:color w:val="auto"/>
              </w:rPr>
            </w:pPr>
          </w:p>
        </w:tc>
        <w:tc>
          <w:tcPr>
            <w:tcW w:w="120" w:type="dxa"/>
            <w:vAlign w:val="bottom"/>
            <w:gridSpan w:val="2"/>
          </w:tcPr>
          <w:p>
            <w:pPr>
              <w:spacing w:after="0"/>
              <w:rPr>
                <w:sz w:val="15"/>
                <w:szCs w:val="15"/>
                <w:color w:val="auto"/>
              </w:rPr>
            </w:pPr>
          </w:p>
        </w:tc>
      </w:tr>
      <w:tr>
        <w:trPr>
          <w:trHeight w:val="183"/>
        </w:trPr>
        <w:tc>
          <w:tcPr>
            <w:tcW w:w="46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4.5</w:t>
            </w:r>
          </w:p>
        </w:tc>
        <w:tc>
          <w:tcPr>
            <w:tcW w:w="680" w:type="dxa"/>
            <w:vAlign w:val="bottom"/>
          </w:tcPr>
          <w:p>
            <w:pPr>
              <w:spacing w:after="0"/>
              <w:rPr>
                <w:sz w:val="15"/>
                <w:szCs w:val="15"/>
                <w:color w:val="auto"/>
              </w:rPr>
            </w:pPr>
          </w:p>
        </w:tc>
        <w:tc>
          <w:tcPr>
            <w:tcW w:w="7780" w:type="dxa"/>
            <w:vAlign w:val="bottom"/>
            <w:gridSpan w:val="25"/>
          </w:tcPr>
          <w:p>
            <w:pPr>
              <w:spacing w:after="0" w:line="183" w:lineRule="exact"/>
              <w:rPr>
                <w:rFonts w:ascii="Times New Roman" w:cs="Times New Roman" w:eastAsia="Times New Roman" w:hAnsi="Times New Roman"/>
                <w:sz w:val="17"/>
                <w:szCs w:val="17"/>
                <w:color w:val="0000EE"/>
              </w:rPr>
            </w:pPr>
            <w:hyperlink r:id="rId202">
              <w:r>
                <w:rPr>
                  <w:rFonts w:ascii="Times New Roman" w:cs="Times New Roman" w:eastAsia="Times New Roman" w:hAnsi="Times New Roman"/>
                  <w:sz w:val="17"/>
                  <w:szCs w:val="17"/>
                  <w:color w:val="0000EE"/>
                </w:rPr>
                <w:t>License, Development and Commercialization Agreement between Janssen Pharmaceuticals, Inc. and AC</w:t>
              </w:r>
            </w:hyperlink>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0" w:type="dxa"/>
            <w:vAlign w:val="bottom"/>
            <w:gridSpan w:val="4"/>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40" w:type="dxa"/>
            <w:vAlign w:val="bottom"/>
            <w:tcBorders>
              <w:bottom w:val="single" w:sz="8" w:color="0000EE"/>
            </w:tcBorders>
            <w:gridSpan w:val="14"/>
          </w:tcPr>
          <w:p>
            <w:pPr>
              <w:spacing w:after="0" w:line="183" w:lineRule="exact"/>
              <w:rPr>
                <w:rFonts w:ascii="Times New Roman" w:cs="Times New Roman" w:eastAsia="Times New Roman" w:hAnsi="Times New Roman"/>
                <w:sz w:val="17"/>
                <w:szCs w:val="17"/>
                <w:color w:val="0000EE"/>
                <w:w w:val="99"/>
              </w:rPr>
            </w:pPr>
            <w:hyperlink r:id="rId202">
              <w:r>
                <w:rPr>
                  <w:rFonts w:ascii="Times New Roman" w:cs="Times New Roman" w:eastAsia="Times New Roman" w:hAnsi="Times New Roman"/>
                  <w:sz w:val="17"/>
                  <w:szCs w:val="17"/>
                  <w:color w:val="0000EE"/>
                  <w:w w:val="99"/>
                </w:rPr>
                <w:t>Immune SA, dated December 24, 2014 (incorporated herein by reference to Exhibit 10.5 to the Company’s</w:t>
              </w:r>
            </w:hyperlink>
          </w:p>
        </w:tc>
        <w:tc>
          <w:tcPr>
            <w:tcW w:w="540" w:type="dxa"/>
            <w:vAlign w:val="bottom"/>
            <w:gridSpan w:val="11"/>
          </w:tcPr>
          <w:p>
            <w:pPr>
              <w:spacing w:after="0"/>
              <w:rPr>
                <w:sz w:val="15"/>
                <w:szCs w:val="15"/>
                <w:color w:val="auto"/>
              </w:rPr>
            </w:pPr>
          </w:p>
        </w:tc>
      </w:tr>
      <w:tr>
        <w:trPr>
          <w:trHeight w:val="183"/>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780" w:type="dxa"/>
            <w:vAlign w:val="bottom"/>
            <w:gridSpan w:val="25"/>
          </w:tcPr>
          <w:p>
            <w:pPr>
              <w:spacing w:after="0" w:line="183" w:lineRule="exact"/>
              <w:rPr>
                <w:rFonts w:ascii="Times New Roman" w:cs="Times New Roman" w:eastAsia="Times New Roman" w:hAnsi="Times New Roman"/>
                <w:sz w:val="17"/>
                <w:szCs w:val="17"/>
                <w:color w:val="0000EE"/>
              </w:rPr>
            </w:pPr>
            <w:hyperlink r:id="rId202">
              <w:r>
                <w:rPr>
                  <w:rFonts w:ascii="Times New Roman" w:cs="Times New Roman" w:eastAsia="Times New Roman" w:hAnsi="Times New Roman"/>
                  <w:sz w:val="17"/>
                  <w:szCs w:val="17"/>
                  <w:color w:val="0000EE"/>
                </w:rPr>
                <w:t>Registration Statement on Form F-1 (File No. 333-211714) filed with the SEC on May 31, 2016)</w:t>
              </w:r>
            </w:hyperlink>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0" w:type="dxa"/>
            <w:vAlign w:val="bottom"/>
            <w:gridSpan w:val="4"/>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46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4.6</w:t>
            </w:r>
          </w:p>
        </w:tc>
        <w:tc>
          <w:tcPr>
            <w:tcW w:w="680" w:type="dxa"/>
            <w:vAlign w:val="bottom"/>
          </w:tcPr>
          <w:p>
            <w:pPr>
              <w:spacing w:after="0"/>
              <w:rPr>
                <w:sz w:val="15"/>
                <w:szCs w:val="15"/>
                <w:color w:val="auto"/>
              </w:rPr>
            </w:pPr>
          </w:p>
        </w:tc>
        <w:tc>
          <w:tcPr>
            <w:tcW w:w="7640" w:type="dxa"/>
            <w:vAlign w:val="bottom"/>
            <w:tcBorders>
              <w:bottom w:val="single" w:sz="8" w:color="0000EE"/>
            </w:tcBorders>
            <w:gridSpan w:val="22"/>
          </w:tcPr>
          <w:p>
            <w:pPr>
              <w:spacing w:after="0" w:line="183" w:lineRule="exact"/>
              <w:rPr>
                <w:rFonts w:ascii="Times New Roman" w:cs="Times New Roman" w:eastAsia="Times New Roman" w:hAnsi="Times New Roman"/>
                <w:sz w:val="17"/>
                <w:szCs w:val="17"/>
                <w:color w:val="0000EE"/>
                <w:w w:val="99"/>
              </w:rPr>
            </w:pPr>
            <w:hyperlink r:id="rId203">
              <w:r>
                <w:rPr>
                  <w:rFonts w:ascii="Times New Roman" w:cs="Times New Roman" w:eastAsia="Times New Roman" w:hAnsi="Times New Roman"/>
                  <w:sz w:val="17"/>
                  <w:szCs w:val="17"/>
                  <w:color w:val="0000EE"/>
                  <w:w w:val="99"/>
                </w:rPr>
                <w:t>Form of Indemnity Agreement (incorporated herein by reference to Exhibit 4.6 to the Company’s Annual Report</w:t>
              </w:r>
            </w:hyperlink>
          </w:p>
        </w:tc>
        <w:tc>
          <w:tcPr>
            <w:tcW w:w="140" w:type="dxa"/>
            <w:vAlign w:val="bottom"/>
            <w:gridSpan w:val="3"/>
          </w:tcPr>
          <w:p>
            <w:pPr>
              <w:spacing w:after="0"/>
              <w:rPr>
                <w:sz w:val="15"/>
                <w:szCs w:val="15"/>
                <w:color w:val="auto"/>
              </w:rPr>
            </w:pPr>
          </w:p>
        </w:tc>
      </w:tr>
      <w:tr>
        <w:trPr>
          <w:trHeight w:val="183"/>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120" w:type="dxa"/>
            <w:vAlign w:val="bottom"/>
            <w:tcBorders>
              <w:bottom w:val="single" w:sz="8" w:color="0000EE"/>
            </w:tcBorders>
            <w:gridSpan w:val="8"/>
          </w:tcPr>
          <w:p>
            <w:pPr>
              <w:spacing w:after="0" w:line="183" w:lineRule="exact"/>
              <w:rPr>
                <w:rFonts w:ascii="Times New Roman" w:cs="Times New Roman" w:eastAsia="Times New Roman" w:hAnsi="Times New Roman"/>
                <w:sz w:val="17"/>
                <w:szCs w:val="17"/>
                <w:color w:val="0000EE"/>
                <w:w w:val="99"/>
              </w:rPr>
            </w:pPr>
            <w:hyperlink r:id="rId203">
              <w:r>
                <w:rPr>
                  <w:rFonts w:ascii="Times New Roman" w:cs="Times New Roman" w:eastAsia="Times New Roman" w:hAnsi="Times New Roman"/>
                  <w:sz w:val="17"/>
                  <w:szCs w:val="17"/>
                  <w:color w:val="0000EE"/>
                  <w:w w:val="99"/>
                </w:rPr>
                <w:t>on Form 20-F (File No. 001-37891) filed with the SEC on March 16, 2023)</w:t>
              </w:r>
            </w:hyperlink>
          </w:p>
        </w:tc>
        <w:tc>
          <w:tcPr>
            <w:tcW w:w="2660" w:type="dxa"/>
            <w:vAlign w:val="bottom"/>
            <w:gridSpan w:val="17"/>
          </w:tcPr>
          <w:p>
            <w:pPr>
              <w:spacing w:after="0"/>
              <w:rPr>
                <w:sz w:val="15"/>
                <w:szCs w:val="15"/>
                <w:color w:val="auto"/>
              </w:rPr>
            </w:pPr>
          </w:p>
        </w:tc>
      </w:tr>
      <w:tr>
        <w:trPr>
          <w:trHeight w:val="183"/>
        </w:trPr>
        <w:tc>
          <w:tcPr>
            <w:tcW w:w="46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4.7</w:t>
            </w:r>
          </w:p>
        </w:tc>
        <w:tc>
          <w:tcPr>
            <w:tcW w:w="680" w:type="dxa"/>
            <w:vAlign w:val="bottom"/>
          </w:tcPr>
          <w:p>
            <w:pPr>
              <w:spacing w:after="0"/>
              <w:rPr>
                <w:sz w:val="15"/>
                <w:szCs w:val="15"/>
                <w:color w:val="auto"/>
              </w:rPr>
            </w:pPr>
          </w:p>
        </w:tc>
        <w:tc>
          <w:tcPr>
            <w:tcW w:w="7780" w:type="dxa"/>
            <w:vAlign w:val="bottom"/>
            <w:gridSpan w:val="25"/>
          </w:tcPr>
          <w:p>
            <w:pPr>
              <w:spacing w:after="0" w:line="183" w:lineRule="exact"/>
              <w:rPr>
                <w:rFonts w:ascii="Times New Roman" w:cs="Times New Roman" w:eastAsia="Times New Roman" w:hAnsi="Times New Roman"/>
                <w:sz w:val="17"/>
                <w:szCs w:val="17"/>
                <w:color w:val="0000EE"/>
              </w:rPr>
            </w:pPr>
            <w:hyperlink r:id="rId204">
              <w:r>
                <w:rPr>
                  <w:rFonts w:ascii="Times New Roman" w:cs="Times New Roman" w:eastAsia="Times New Roman" w:hAnsi="Times New Roman"/>
                  <w:sz w:val="17"/>
                  <w:szCs w:val="17"/>
                  <w:color w:val="0000EE"/>
                </w:rPr>
                <w:t>AC Immune SA 2013 Equity Incentive Plan (incorporated herein by reference to Exhibit 10.7 to the Company’s</w:t>
              </w:r>
            </w:hyperlink>
          </w:p>
        </w:tc>
      </w:tr>
      <w:tr>
        <w:trPr>
          <w:trHeight w:val="183"/>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20" w:type="dxa"/>
            <w:vAlign w:val="bottom"/>
            <w:tcBorders>
              <w:top w:val="single" w:sz="8" w:color="0000EE"/>
            </w:tcBorders>
            <w:gridSpan w:val="21"/>
          </w:tcPr>
          <w:p>
            <w:pPr>
              <w:spacing w:after="0" w:line="183" w:lineRule="exact"/>
              <w:rPr>
                <w:rFonts w:ascii="Times New Roman" w:cs="Times New Roman" w:eastAsia="Times New Roman" w:hAnsi="Times New Roman"/>
                <w:sz w:val="17"/>
                <w:szCs w:val="17"/>
                <w:color w:val="0000EE"/>
              </w:rPr>
            </w:pPr>
            <w:hyperlink r:id="rId204">
              <w:r>
                <w:rPr>
                  <w:rFonts w:ascii="Times New Roman" w:cs="Times New Roman" w:eastAsia="Times New Roman" w:hAnsi="Times New Roman"/>
                  <w:sz w:val="17"/>
                  <w:szCs w:val="17"/>
                  <w:color w:val="0000EE"/>
                </w:rPr>
                <w:t>Registration Statement on Form F-1 (File No. 333-211714) filed with the SEC on May 31, 2016)</w:t>
              </w:r>
            </w:hyperlink>
          </w:p>
        </w:tc>
        <w:tc>
          <w:tcPr>
            <w:tcW w:w="160" w:type="dxa"/>
            <w:vAlign w:val="bottom"/>
            <w:gridSpan w:val="4"/>
          </w:tcPr>
          <w:p>
            <w:pPr>
              <w:spacing w:after="0"/>
              <w:rPr>
                <w:sz w:val="15"/>
                <w:szCs w:val="15"/>
                <w:color w:val="auto"/>
              </w:rPr>
            </w:pPr>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4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46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4.8</w:t>
            </w:r>
          </w:p>
        </w:tc>
        <w:tc>
          <w:tcPr>
            <w:tcW w:w="680" w:type="dxa"/>
            <w:vAlign w:val="bottom"/>
          </w:tcPr>
          <w:p>
            <w:pPr>
              <w:spacing w:after="0"/>
              <w:rPr>
                <w:sz w:val="15"/>
                <w:szCs w:val="15"/>
                <w:color w:val="auto"/>
              </w:rPr>
            </w:pPr>
          </w:p>
        </w:tc>
        <w:tc>
          <w:tcPr>
            <w:tcW w:w="7780" w:type="dxa"/>
            <w:vAlign w:val="bottom"/>
            <w:gridSpan w:val="25"/>
          </w:tcPr>
          <w:p>
            <w:pPr>
              <w:spacing w:after="0" w:line="183" w:lineRule="exact"/>
              <w:rPr>
                <w:rFonts w:ascii="Times New Roman" w:cs="Times New Roman" w:eastAsia="Times New Roman" w:hAnsi="Times New Roman"/>
                <w:sz w:val="17"/>
                <w:szCs w:val="17"/>
                <w:color w:val="0000EE"/>
              </w:rPr>
            </w:pPr>
            <w:hyperlink r:id="rId205">
              <w:r>
                <w:rPr>
                  <w:rFonts w:ascii="Times New Roman" w:cs="Times New Roman" w:eastAsia="Times New Roman" w:hAnsi="Times New Roman"/>
                  <w:sz w:val="17"/>
                  <w:szCs w:val="17"/>
                  <w:color w:val="0000EE"/>
                </w:rPr>
                <w:t>AC Immune SA 2016 Stock Option and Incentive Plan, As Amended and Restated as of June 28, 2019</w:t>
              </w:r>
            </w:hyperlink>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8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780" w:type="dxa"/>
            <w:vAlign w:val="bottom"/>
            <w:gridSpan w:val="25"/>
          </w:tcPr>
          <w:p>
            <w:pPr>
              <w:spacing w:after="0" w:line="183" w:lineRule="exact"/>
              <w:rPr>
                <w:rFonts w:ascii="Times New Roman" w:cs="Times New Roman" w:eastAsia="Times New Roman" w:hAnsi="Times New Roman"/>
                <w:sz w:val="17"/>
                <w:szCs w:val="17"/>
                <w:color w:val="0000EE"/>
              </w:rPr>
            </w:pPr>
            <w:hyperlink r:id="rId205">
              <w:r>
                <w:rPr>
                  <w:rFonts w:ascii="Times New Roman" w:cs="Times New Roman" w:eastAsia="Times New Roman" w:hAnsi="Times New Roman"/>
                  <w:sz w:val="17"/>
                  <w:szCs w:val="17"/>
                  <w:color w:val="0000EE"/>
                </w:rPr>
                <w:t>(incorporated herein by reference to Exhibit 99 to the Company’s Registration Statement on Form S-8, filed with</w:t>
              </w:r>
            </w:hyperlink>
          </w:p>
        </w:tc>
      </w:tr>
      <w:tr>
        <w:trPr>
          <w:trHeight w:val="183"/>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920" w:type="dxa"/>
            <w:vAlign w:val="bottom"/>
            <w:tcBorders>
              <w:top w:val="single" w:sz="8" w:color="0000EE"/>
              <w:bottom w:val="single" w:sz="8" w:color="0000EE"/>
            </w:tcBorders>
            <w:gridSpan w:val="2"/>
          </w:tcPr>
          <w:p>
            <w:pPr>
              <w:spacing w:after="0" w:line="183" w:lineRule="exact"/>
              <w:rPr>
                <w:rFonts w:ascii="Times New Roman" w:cs="Times New Roman" w:eastAsia="Times New Roman" w:hAnsi="Times New Roman"/>
                <w:sz w:val="17"/>
                <w:szCs w:val="17"/>
                <w:color w:val="0000EE"/>
                <w:w w:val="99"/>
              </w:rPr>
            </w:pPr>
            <w:hyperlink r:id="rId205">
              <w:r>
                <w:rPr>
                  <w:rFonts w:ascii="Times New Roman" w:cs="Times New Roman" w:eastAsia="Times New Roman" w:hAnsi="Times New Roman"/>
                  <w:sz w:val="17"/>
                  <w:szCs w:val="17"/>
                  <w:color w:val="0000EE"/>
                  <w:w w:val="99"/>
                </w:rPr>
                <w:t>the SEC on August 5, 2019)</w:t>
              </w:r>
            </w:hyperlink>
          </w:p>
        </w:tc>
        <w:tc>
          <w:tcPr>
            <w:tcW w:w="5720" w:type="dxa"/>
            <w:vAlign w:val="bottom"/>
            <w:tcBorders>
              <w:top w:val="single" w:sz="8" w:color="0000EE"/>
            </w:tcBorders>
            <w:gridSpan w:val="20"/>
          </w:tcPr>
          <w:p>
            <w:pPr>
              <w:spacing w:after="0"/>
              <w:rPr>
                <w:sz w:val="15"/>
                <w:szCs w:val="15"/>
                <w:color w:val="auto"/>
              </w:rPr>
            </w:pPr>
          </w:p>
        </w:tc>
        <w:tc>
          <w:tcPr>
            <w:tcW w:w="140" w:type="dxa"/>
            <w:vAlign w:val="bottom"/>
            <w:gridSpan w:val="3"/>
          </w:tcPr>
          <w:p>
            <w:pPr>
              <w:spacing w:after="0"/>
              <w:rPr>
                <w:sz w:val="15"/>
                <w:szCs w:val="15"/>
                <w:color w:val="auto"/>
              </w:rPr>
            </w:pPr>
          </w:p>
        </w:tc>
      </w:tr>
      <w:tr>
        <w:trPr>
          <w:trHeight w:val="183"/>
        </w:trPr>
        <w:tc>
          <w:tcPr>
            <w:tcW w:w="46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4.9</w:t>
            </w:r>
          </w:p>
        </w:tc>
        <w:tc>
          <w:tcPr>
            <w:tcW w:w="680" w:type="dxa"/>
            <w:vAlign w:val="bottom"/>
          </w:tcPr>
          <w:p>
            <w:pPr>
              <w:spacing w:after="0"/>
              <w:rPr>
                <w:sz w:val="15"/>
                <w:szCs w:val="15"/>
                <w:color w:val="auto"/>
              </w:rPr>
            </w:pPr>
          </w:p>
        </w:tc>
        <w:tc>
          <w:tcPr>
            <w:tcW w:w="7720" w:type="dxa"/>
            <w:vAlign w:val="bottom"/>
            <w:tcBorders>
              <w:bottom w:val="single" w:sz="8" w:color="0000EE"/>
            </w:tcBorders>
            <w:gridSpan w:val="24"/>
          </w:tcPr>
          <w:p>
            <w:pPr>
              <w:spacing w:after="0" w:line="183" w:lineRule="exact"/>
              <w:rPr>
                <w:rFonts w:ascii="Times New Roman" w:cs="Times New Roman" w:eastAsia="Times New Roman" w:hAnsi="Times New Roman"/>
                <w:sz w:val="17"/>
                <w:szCs w:val="17"/>
                <w:color w:val="0000EE"/>
                <w:w w:val="99"/>
              </w:rPr>
            </w:pPr>
            <w:hyperlink r:id="rId206">
              <w:r>
                <w:rPr>
                  <w:rFonts w:ascii="Times New Roman" w:cs="Times New Roman" w:eastAsia="Times New Roman" w:hAnsi="Times New Roman"/>
                  <w:sz w:val="17"/>
                  <w:szCs w:val="17"/>
                  <w:color w:val="0000EE"/>
                  <w:w w:val="99"/>
                </w:rPr>
                <w:t>License Agreement between AC Immune SA and Eli Lilly and Company, dated December 11, 2018 (incorporated</w:t>
              </w:r>
            </w:hyperlink>
          </w:p>
        </w:tc>
        <w:tc>
          <w:tcPr>
            <w:tcW w:w="60" w:type="dxa"/>
            <w:vAlign w:val="bottom"/>
          </w:tcPr>
          <w:p>
            <w:pPr>
              <w:spacing w:after="0"/>
              <w:rPr>
                <w:sz w:val="15"/>
                <w:szCs w:val="15"/>
                <w:color w:val="auto"/>
              </w:rPr>
            </w:pPr>
          </w:p>
        </w:tc>
      </w:tr>
      <w:tr>
        <w:trPr>
          <w:trHeight w:val="183"/>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560" w:type="dxa"/>
            <w:vAlign w:val="bottom"/>
            <w:tcBorders>
              <w:bottom w:val="single" w:sz="8" w:color="0000EE"/>
            </w:tcBorders>
            <w:gridSpan w:val="20"/>
          </w:tcPr>
          <w:p>
            <w:pPr>
              <w:spacing w:after="0" w:line="183" w:lineRule="exact"/>
              <w:rPr>
                <w:rFonts w:ascii="Times New Roman" w:cs="Times New Roman" w:eastAsia="Times New Roman" w:hAnsi="Times New Roman"/>
                <w:sz w:val="17"/>
                <w:szCs w:val="17"/>
                <w:color w:val="0000EE"/>
                <w:w w:val="99"/>
              </w:rPr>
            </w:pPr>
            <w:hyperlink r:id="rId206">
              <w:r>
                <w:rPr>
                  <w:rFonts w:ascii="Times New Roman" w:cs="Times New Roman" w:eastAsia="Times New Roman" w:hAnsi="Times New Roman"/>
                  <w:sz w:val="17"/>
                  <w:szCs w:val="17"/>
                  <w:color w:val="0000EE"/>
                  <w:w w:val="99"/>
                </w:rPr>
                <w:t>herein by reference to Exhibit 4.14 to the Amendment No. 1 to the Company’s Annual Report on Form 20-F/A,</w:t>
              </w:r>
            </w:hyperlink>
          </w:p>
        </w:tc>
        <w:tc>
          <w:tcPr>
            <w:tcW w:w="220" w:type="dxa"/>
            <w:vAlign w:val="bottom"/>
            <w:gridSpan w:val="5"/>
          </w:tcPr>
          <w:p>
            <w:pPr>
              <w:spacing w:after="0"/>
              <w:rPr>
                <w:sz w:val="15"/>
                <w:szCs w:val="15"/>
                <w:color w:val="auto"/>
              </w:rPr>
            </w:pPr>
          </w:p>
        </w:tc>
      </w:tr>
      <w:tr>
        <w:trPr>
          <w:trHeight w:val="183"/>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560" w:type="dxa"/>
            <w:vAlign w:val="bottom"/>
            <w:tcBorders>
              <w:bottom w:val="single" w:sz="8" w:color="0000EE"/>
            </w:tcBorders>
            <w:gridSpan w:val="3"/>
          </w:tcPr>
          <w:p>
            <w:pPr>
              <w:spacing w:after="0" w:line="183" w:lineRule="exact"/>
              <w:rPr>
                <w:rFonts w:ascii="Times New Roman" w:cs="Times New Roman" w:eastAsia="Times New Roman" w:hAnsi="Times New Roman"/>
                <w:sz w:val="17"/>
                <w:szCs w:val="17"/>
                <w:color w:val="0000EE"/>
                <w:w w:val="98"/>
              </w:rPr>
            </w:pPr>
            <w:hyperlink r:id="rId206">
              <w:r>
                <w:rPr>
                  <w:rFonts w:ascii="Times New Roman" w:cs="Times New Roman" w:eastAsia="Times New Roman" w:hAnsi="Times New Roman"/>
                  <w:sz w:val="17"/>
                  <w:szCs w:val="17"/>
                  <w:color w:val="0000EE"/>
                  <w:w w:val="98"/>
                </w:rPr>
                <w:t>filed with the SEC on April 19, 2019)</w:t>
              </w:r>
            </w:hyperlink>
          </w:p>
        </w:tc>
        <w:tc>
          <w:tcPr>
            <w:tcW w:w="5220" w:type="dxa"/>
            <w:vAlign w:val="bottom"/>
            <w:gridSpan w:val="22"/>
          </w:tcPr>
          <w:p>
            <w:pPr>
              <w:spacing w:after="0"/>
              <w:rPr>
                <w:sz w:val="15"/>
                <w:szCs w:val="15"/>
                <w:color w:val="auto"/>
              </w:rPr>
            </w:pPr>
          </w:p>
        </w:tc>
      </w:tr>
      <w:tr>
        <w:trPr>
          <w:trHeight w:val="183"/>
        </w:trPr>
        <w:tc>
          <w:tcPr>
            <w:tcW w:w="46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4.10</w:t>
            </w:r>
          </w:p>
        </w:tc>
        <w:tc>
          <w:tcPr>
            <w:tcW w:w="680" w:type="dxa"/>
            <w:vAlign w:val="bottom"/>
          </w:tcPr>
          <w:p>
            <w:pPr>
              <w:spacing w:after="0"/>
              <w:rPr>
                <w:sz w:val="15"/>
                <w:szCs w:val="15"/>
                <w:color w:val="auto"/>
              </w:rPr>
            </w:pPr>
          </w:p>
        </w:tc>
        <w:tc>
          <w:tcPr>
            <w:tcW w:w="7400" w:type="dxa"/>
            <w:vAlign w:val="bottom"/>
            <w:tcBorders>
              <w:bottom w:val="single" w:sz="8" w:color="0000EE"/>
            </w:tcBorders>
            <w:gridSpan w:val="16"/>
          </w:tcPr>
          <w:p>
            <w:pPr>
              <w:spacing w:after="0" w:line="183" w:lineRule="exact"/>
              <w:rPr>
                <w:rFonts w:ascii="Times New Roman" w:cs="Times New Roman" w:eastAsia="Times New Roman" w:hAnsi="Times New Roman"/>
                <w:sz w:val="17"/>
                <w:szCs w:val="17"/>
                <w:color w:val="0000EE"/>
                <w:w w:val="98"/>
              </w:rPr>
            </w:pPr>
            <w:hyperlink r:id="rId207">
              <w:r>
                <w:rPr>
                  <w:rFonts w:ascii="Times New Roman" w:cs="Times New Roman" w:eastAsia="Times New Roman" w:hAnsi="Times New Roman"/>
                  <w:sz w:val="17"/>
                  <w:szCs w:val="17"/>
                  <w:color w:val="0000EE"/>
                  <w:w w:val="98"/>
                </w:rPr>
                <w:t>Convertible Note Agreement between AC Immune SA and Eli Lilly and Company, dated December 11, 2018</w:t>
              </w:r>
            </w:hyperlink>
          </w:p>
        </w:tc>
        <w:tc>
          <w:tcPr>
            <w:tcW w:w="380" w:type="dxa"/>
            <w:vAlign w:val="bottom"/>
            <w:gridSpan w:val="9"/>
          </w:tcPr>
          <w:p>
            <w:pPr>
              <w:spacing w:after="0"/>
              <w:rPr>
                <w:sz w:val="15"/>
                <w:szCs w:val="15"/>
                <w:color w:val="auto"/>
              </w:rPr>
            </w:pPr>
          </w:p>
        </w:tc>
      </w:tr>
      <w:tr>
        <w:trPr>
          <w:trHeight w:val="183"/>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780" w:type="dxa"/>
            <w:vAlign w:val="bottom"/>
            <w:gridSpan w:val="25"/>
          </w:tcPr>
          <w:p>
            <w:pPr>
              <w:spacing w:after="0" w:line="183" w:lineRule="exact"/>
              <w:rPr>
                <w:rFonts w:ascii="Times New Roman" w:cs="Times New Roman" w:eastAsia="Times New Roman" w:hAnsi="Times New Roman"/>
                <w:sz w:val="17"/>
                <w:szCs w:val="17"/>
                <w:color w:val="0000EE"/>
              </w:rPr>
            </w:pPr>
            <w:hyperlink r:id="rId207">
              <w:r>
                <w:rPr>
                  <w:rFonts w:ascii="Times New Roman" w:cs="Times New Roman" w:eastAsia="Times New Roman" w:hAnsi="Times New Roman"/>
                  <w:sz w:val="17"/>
                  <w:szCs w:val="17"/>
                  <w:color w:val="0000EE"/>
                </w:rPr>
                <w:t>(incorporated herein by reference to Exhibit 4.15 to the Company’s Annual Report on Form 20-F, filed with the</w:t>
              </w:r>
            </w:hyperlink>
          </w:p>
        </w:tc>
      </w:tr>
      <w:tr>
        <w:trPr>
          <w:trHeight w:val="183"/>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700" w:type="dxa"/>
            <w:vAlign w:val="bottom"/>
            <w:tcBorders>
              <w:top w:val="single" w:sz="8" w:color="0000EE"/>
              <w:bottom w:val="single" w:sz="8" w:color="0000EE"/>
            </w:tcBorders>
          </w:tcPr>
          <w:p>
            <w:pPr>
              <w:spacing w:after="0" w:line="183" w:lineRule="exact"/>
              <w:rPr>
                <w:rFonts w:ascii="Times New Roman" w:cs="Times New Roman" w:eastAsia="Times New Roman" w:hAnsi="Times New Roman"/>
                <w:sz w:val="17"/>
                <w:szCs w:val="17"/>
                <w:color w:val="0000EE"/>
                <w:w w:val="98"/>
              </w:rPr>
            </w:pPr>
            <w:hyperlink r:id="rId207">
              <w:r>
                <w:rPr>
                  <w:rFonts w:ascii="Times New Roman" w:cs="Times New Roman" w:eastAsia="Times New Roman" w:hAnsi="Times New Roman"/>
                  <w:sz w:val="17"/>
                  <w:szCs w:val="17"/>
                  <w:color w:val="0000EE"/>
                  <w:w w:val="98"/>
                </w:rPr>
                <w:t>SEC on March 21, 2019)</w:t>
              </w:r>
            </w:hyperlink>
          </w:p>
        </w:tc>
        <w:tc>
          <w:tcPr>
            <w:tcW w:w="5840" w:type="dxa"/>
            <w:vAlign w:val="bottom"/>
            <w:tcBorders>
              <w:top w:val="single" w:sz="8" w:color="0000EE"/>
            </w:tcBorders>
            <w:gridSpan w:val="18"/>
          </w:tcPr>
          <w:p>
            <w:pPr>
              <w:spacing w:after="0"/>
              <w:rPr>
                <w:sz w:val="15"/>
                <w:szCs w:val="15"/>
                <w:color w:val="auto"/>
              </w:rPr>
            </w:pPr>
          </w:p>
        </w:tc>
        <w:tc>
          <w:tcPr>
            <w:tcW w:w="240" w:type="dxa"/>
            <w:vAlign w:val="bottom"/>
            <w:gridSpan w:val="6"/>
          </w:tcPr>
          <w:p>
            <w:pPr>
              <w:spacing w:after="0"/>
              <w:rPr>
                <w:sz w:val="15"/>
                <w:szCs w:val="15"/>
                <w:color w:val="auto"/>
              </w:rPr>
            </w:pPr>
          </w:p>
        </w:tc>
      </w:tr>
      <w:tr>
        <w:trPr>
          <w:trHeight w:val="183"/>
        </w:trPr>
        <w:tc>
          <w:tcPr>
            <w:tcW w:w="46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4.11</w:t>
            </w:r>
          </w:p>
        </w:tc>
        <w:tc>
          <w:tcPr>
            <w:tcW w:w="680" w:type="dxa"/>
            <w:vAlign w:val="bottom"/>
          </w:tcPr>
          <w:p>
            <w:pPr>
              <w:spacing w:after="0"/>
              <w:rPr>
                <w:sz w:val="15"/>
                <w:szCs w:val="15"/>
                <w:color w:val="auto"/>
              </w:rPr>
            </w:pPr>
          </w:p>
        </w:tc>
        <w:tc>
          <w:tcPr>
            <w:tcW w:w="6800" w:type="dxa"/>
            <w:vAlign w:val="bottom"/>
            <w:tcBorders>
              <w:bottom w:val="single" w:sz="8" w:color="0000EE"/>
            </w:tcBorders>
            <w:gridSpan w:val="10"/>
          </w:tcPr>
          <w:p>
            <w:pPr>
              <w:spacing w:after="0" w:line="183" w:lineRule="exact"/>
              <w:rPr>
                <w:rFonts w:ascii="Times New Roman" w:cs="Times New Roman" w:eastAsia="Times New Roman" w:hAnsi="Times New Roman"/>
                <w:sz w:val="17"/>
                <w:szCs w:val="17"/>
                <w:color w:val="0000EE"/>
                <w:w w:val="99"/>
              </w:rPr>
            </w:pPr>
            <w:hyperlink r:id="rId208">
              <w:r>
                <w:rPr>
                  <w:rFonts w:ascii="Times New Roman" w:cs="Times New Roman" w:eastAsia="Times New Roman" w:hAnsi="Times New Roman"/>
                  <w:sz w:val="17"/>
                  <w:szCs w:val="17"/>
                  <w:color w:val="0000EE"/>
                  <w:w w:val="99"/>
                </w:rPr>
                <w:t>First Amendment to License Agreement between AC Immune SA and Eli Lilly and Company, dated</w:t>
              </w:r>
            </w:hyperlink>
          </w:p>
        </w:tc>
        <w:tc>
          <w:tcPr>
            <w:tcW w:w="980" w:type="dxa"/>
            <w:vAlign w:val="bottom"/>
            <w:gridSpan w:val="15"/>
          </w:tcPr>
          <w:p>
            <w:pPr>
              <w:spacing w:after="0"/>
              <w:rPr>
                <w:sz w:val="15"/>
                <w:szCs w:val="15"/>
                <w:color w:val="auto"/>
              </w:rPr>
            </w:pPr>
          </w:p>
        </w:tc>
      </w:tr>
      <w:tr>
        <w:trPr>
          <w:trHeight w:val="183"/>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780" w:type="dxa"/>
            <w:vAlign w:val="bottom"/>
            <w:gridSpan w:val="25"/>
          </w:tcPr>
          <w:p>
            <w:pPr>
              <w:spacing w:after="0" w:line="183" w:lineRule="exact"/>
              <w:rPr>
                <w:rFonts w:ascii="Times New Roman" w:cs="Times New Roman" w:eastAsia="Times New Roman" w:hAnsi="Times New Roman"/>
                <w:sz w:val="17"/>
                <w:szCs w:val="17"/>
                <w:color w:val="0000EE"/>
              </w:rPr>
            </w:pPr>
            <w:hyperlink r:id="rId208">
              <w:r>
                <w:rPr>
                  <w:rFonts w:ascii="Times New Roman" w:cs="Times New Roman" w:eastAsia="Times New Roman" w:hAnsi="Times New Roman"/>
                  <w:sz w:val="17"/>
                  <w:szCs w:val="17"/>
                  <w:color w:val="0000EE"/>
                </w:rPr>
                <w:t>September 19, 2019 (incorporated herein by reference to Exhibit 10.1 to the Company’s Report on Form 6-K,</w:t>
              </w:r>
            </w:hyperlink>
          </w:p>
        </w:tc>
      </w:tr>
      <w:tr>
        <w:trPr>
          <w:trHeight w:val="183"/>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20" w:type="dxa"/>
            <w:vAlign w:val="bottom"/>
            <w:tcBorders>
              <w:top w:val="single" w:sz="8" w:color="0000EE"/>
            </w:tcBorders>
            <w:gridSpan w:val="17"/>
          </w:tcPr>
          <w:p>
            <w:pPr>
              <w:spacing w:after="0" w:line="183" w:lineRule="exact"/>
              <w:rPr>
                <w:rFonts w:ascii="Times New Roman" w:cs="Times New Roman" w:eastAsia="Times New Roman" w:hAnsi="Times New Roman"/>
                <w:sz w:val="17"/>
                <w:szCs w:val="17"/>
                <w:color w:val="0000EE"/>
              </w:rPr>
            </w:pPr>
            <w:hyperlink r:id="rId208">
              <w:r>
                <w:rPr>
                  <w:rFonts w:ascii="Times New Roman" w:cs="Times New Roman" w:eastAsia="Times New Roman" w:hAnsi="Times New Roman"/>
                  <w:sz w:val="17"/>
                  <w:szCs w:val="17"/>
                  <w:color w:val="0000EE"/>
                </w:rPr>
                <w:t>filed with the SEC on September 20, 2019)</w:t>
              </w:r>
            </w:hyperlink>
          </w:p>
        </w:tc>
        <w:tc>
          <w:tcPr>
            <w:tcW w:w="360" w:type="dxa"/>
            <w:vAlign w:val="bottom"/>
            <w:gridSpan w:val="8"/>
          </w:tcPr>
          <w:p>
            <w:pPr>
              <w:spacing w:after="0"/>
              <w:rPr>
                <w:sz w:val="15"/>
                <w:szCs w:val="15"/>
                <w:color w:val="auto"/>
              </w:rPr>
            </w:pPr>
          </w:p>
        </w:tc>
      </w:tr>
      <w:tr>
        <w:trPr>
          <w:trHeight w:val="627"/>
        </w:trPr>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20" w:type="dxa"/>
            <w:vAlign w:val="bottom"/>
            <w:tcBorders>
              <w:top w:val="single" w:sz="8" w:color="0000EE"/>
            </w:tcBorders>
            <w:gridSpan w:val="4"/>
          </w:tcPr>
          <w:p>
            <w:pPr>
              <w:spacing w:after="0"/>
              <w:rPr>
                <w:sz w:val="24"/>
                <w:szCs w:val="24"/>
                <w:color w:val="auto"/>
              </w:rPr>
            </w:pPr>
          </w:p>
        </w:tc>
        <w:tc>
          <w:tcPr>
            <w:tcW w:w="1400" w:type="dxa"/>
            <w:vAlign w:val="bottom"/>
          </w:tcPr>
          <w:p>
            <w:pPr>
              <w:jc w:val="right"/>
              <w:ind w:right="775"/>
              <w:spacing w:after="0"/>
              <w:rPr>
                <w:sz w:val="20"/>
                <w:szCs w:val="20"/>
                <w:color w:val="auto"/>
              </w:rPr>
            </w:pPr>
            <w:r>
              <w:rPr>
                <w:rFonts w:ascii="Times New Roman" w:cs="Times New Roman" w:eastAsia="Times New Roman" w:hAnsi="Times New Roman"/>
                <w:sz w:val="17"/>
                <w:szCs w:val="17"/>
                <w:color w:val="auto"/>
              </w:rPr>
              <w:t>158</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27"/>
        </w:trPr>
        <w:tc>
          <w:tcPr>
            <w:tcW w:w="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91" w:right="1440" w:bottom="1440" w:gutter="0" w:footer="0" w:header="0"/>
        </w:sectPr>
      </w:pPr>
    </w:p>
    <w:bookmarkStart w:id="163" w:name="page164"/>
    <w:bookmarkEnd w:id="16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auto"/>
              </w:rPr>
              <w:t>4.12</w:t>
            </w:r>
          </w:p>
        </w:tc>
        <w:tc>
          <w:tcPr>
            <w:tcW w:w="7720" w:type="dxa"/>
            <w:vAlign w:val="bottom"/>
            <w:tcBorders>
              <w:bottom w:val="single" w:sz="8" w:color="0000EE"/>
            </w:tcBorders>
            <w:gridSpan w:val="29"/>
          </w:tcPr>
          <w:p>
            <w:pPr>
              <w:spacing w:after="0"/>
              <w:rPr>
                <w:rFonts w:ascii="Times New Roman" w:cs="Times New Roman" w:eastAsia="Times New Roman" w:hAnsi="Times New Roman"/>
                <w:sz w:val="17"/>
                <w:szCs w:val="17"/>
                <w:color w:val="0000EE"/>
                <w:w w:val="99"/>
              </w:rPr>
            </w:pPr>
            <w:hyperlink r:id="rId209">
              <w:r>
                <w:rPr>
                  <w:rFonts w:ascii="Times New Roman" w:cs="Times New Roman" w:eastAsia="Times New Roman" w:hAnsi="Times New Roman"/>
                  <w:sz w:val="17"/>
                  <w:szCs w:val="17"/>
                  <w:color w:val="0000EE"/>
                  <w:w w:val="99"/>
                </w:rPr>
                <w:t>Second Amendment to License Agreement between AC Immune SA and Eli Lilly and Company, dated March 20,</w:t>
              </w:r>
            </w:hyperlink>
          </w:p>
        </w:tc>
      </w:tr>
      <w:tr>
        <w:trPr>
          <w:trHeight w:val="183"/>
        </w:trPr>
        <w:tc>
          <w:tcPr>
            <w:tcW w:w="1140" w:type="dxa"/>
            <w:vAlign w:val="bottom"/>
          </w:tcPr>
          <w:p>
            <w:pPr>
              <w:spacing w:after="0"/>
              <w:rPr>
                <w:sz w:val="15"/>
                <w:szCs w:val="15"/>
                <w:color w:val="auto"/>
              </w:rPr>
            </w:pPr>
          </w:p>
        </w:tc>
        <w:tc>
          <w:tcPr>
            <w:tcW w:w="7280" w:type="dxa"/>
            <w:vAlign w:val="bottom"/>
            <w:tcBorders>
              <w:bottom w:val="single" w:sz="8" w:color="0000EE"/>
            </w:tcBorders>
            <w:gridSpan w:val="19"/>
          </w:tcPr>
          <w:p>
            <w:pPr>
              <w:spacing w:after="0" w:line="183" w:lineRule="exact"/>
              <w:rPr>
                <w:rFonts w:ascii="Times New Roman" w:cs="Times New Roman" w:eastAsia="Times New Roman" w:hAnsi="Times New Roman"/>
                <w:sz w:val="17"/>
                <w:szCs w:val="17"/>
                <w:color w:val="0000EE"/>
                <w:w w:val="99"/>
              </w:rPr>
            </w:pPr>
            <w:hyperlink r:id="rId209">
              <w:r>
                <w:rPr>
                  <w:rFonts w:ascii="Times New Roman" w:cs="Times New Roman" w:eastAsia="Times New Roman" w:hAnsi="Times New Roman"/>
                  <w:sz w:val="17"/>
                  <w:szCs w:val="17"/>
                  <w:color w:val="0000EE"/>
                  <w:w w:val="99"/>
                </w:rPr>
                <w:t>2020 (incorporated herein by reference to Exhibit 10.1 to the Company’s Current Report on Form 6-K (File</w:t>
              </w:r>
            </w:hyperlink>
          </w:p>
        </w:tc>
        <w:tc>
          <w:tcPr>
            <w:tcW w:w="440" w:type="dxa"/>
            <w:vAlign w:val="bottom"/>
            <w:gridSpan w:val="10"/>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7720" w:type="dxa"/>
            <w:vAlign w:val="bottom"/>
            <w:gridSpan w:val="29"/>
          </w:tcPr>
          <w:p>
            <w:pPr>
              <w:spacing w:after="0" w:line="183" w:lineRule="exact"/>
              <w:rPr>
                <w:rFonts w:ascii="Times New Roman" w:cs="Times New Roman" w:eastAsia="Times New Roman" w:hAnsi="Times New Roman"/>
                <w:sz w:val="17"/>
                <w:szCs w:val="17"/>
                <w:color w:val="0000EE"/>
              </w:rPr>
            </w:pPr>
            <w:hyperlink r:id="rId209">
              <w:r>
                <w:rPr>
                  <w:rFonts w:ascii="Times New Roman" w:cs="Times New Roman" w:eastAsia="Times New Roman" w:hAnsi="Times New Roman"/>
                  <w:sz w:val="17"/>
                  <w:szCs w:val="17"/>
                  <w:color w:val="0000EE"/>
                </w:rPr>
                <w:t>No. 001-37891) filed with the SEC on March 23, 2020)</w:t>
              </w:r>
            </w:hyperlink>
          </w:p>
        </w:tc>
      </w:tr>
      <w:tr>
        <w:trPr>
          <w:trHeight w:val="20"/>
        </w:trPr>
        <w:tc>
          <w:tcPr>
            <w:tcW w:w="114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4.13</w:t>
            </w:r>
          </w:p>
        </w:tc>
        <w:tc>
          <w:tcPr>
            <w:tcW w:w="6800" w:type="dxa"/>
            <w:vAlign w:val="bottom"/>
            <w:tcBorders>
              <w:bottom w:val="single" w:sz="8" w:color="0000EE"/>
            </w:tcBorders>
            <w:gridSpan w:val="16"/>
          </w:tcPr>
          <w:p>
            <w:pPr>
              <w:spacing w:after="0" w:line="183" w:lineRule="exact"/>
              <w:rPr>
                <w:rFonts w:ascii="Times New Roman" w:cs="Times New Roman" w:eastAsia="Times New Roman" w:hAnsi="Times New Roman"/>
                <w:sz w:val="17"/>
                <w:szCs w:val="17"/>
                <w:color w:val="0000EE"/>
                <w:w w:val="99"/>
              </w:rPr>
            </w:pPr>
            <w:hyperlink r:id="rId210">
              <w:r>
                <w:rPr>
                  <w:rFonts w:ascii="Times New Roman" w:cs="Times New Roman" w:eastAsia="Times New Roman" w:hAnsi="Times New Roman"/>
                  <w:sz w:val="17"/>
                  <w:szCs w:val="17"/>
                  <w:color w:val="0000EE"/>
                  <w:w w:val="99"/>
                </w:rPr>
                <w:t>Open Market Sale Agreement, dated as of May 5, 2021, between AC Immune SA and Jefferies LLC</w:t>
              </w:r>
            </w:hyperlink>
          </w:p>
        </w:tc>
        <w:tc>
          <w:tcPr>
            <w:tcW w:w="920" w:type="dxa"/>
            <w:vAlign w:val="bottom"/>
            <w:gridSpan w:val="13"/>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7460" w:type="dxa"/>
            <w:vAlign w:val="bottom"/>
            <w:tcBorders>
              <w:bottom w:val="single" w:sz="8" w:color="0000EE"/>
            </w:tcBorders>
            <w:gridSpan w:val="23"/>
          </w:tcPr>
          <w:p>
            <w:pPr>
              <w:spacing w:after="0" w:line="183" w:lineRule="exact"/>
              <w:rPr>
                <w:rFonts w:ascii="Times New Roman" w:cs="Times New Roman" w:eastAsia="Times New Roman" w:hAnsi="Times New Roman"/>
                <w:sz w:val="17"/>
                <w:szCs w:val="17"/>
                <w:color w:val="0000EE"/>
                <w:w w:val="99"/>
              </w:rPr>
            </w:pPr>
            <w:hyperlink r:id="rId210">
              <w:r>
                <w:rPr>
                  <w:rFonts w:ascii="Times New Roman" w:cs="Times New Roman" w:eastAsia="Times New Roman" w:hAnsi="Times New Roman"/>
                  <w:sz w:val="17"/>
                  <w:szCs w:val="17"/>
                  <w:color w:val="0000EE"/>
                  <w:w w:val="99"/>
                </w:rPr>
                <w:t>(incorporated herein by reference to Exhibit 1.1 to the Company’s Current Report on Form 6-K (File No. 001-</w:t>
              </w:r>
            </w:hyperlink>
          </w:p>
        </w:tc>
        <w:tc>
          <w:tcPr>
            <w:tcW w:w="260" w:type="dxa"/>
            <w:vAlign w:val="bottom"/>
            <w:gridSpan w:val="6"/>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7720" w:type="dxa"/>
            <w:vAlign w:val="bottom"/>
            <w:gridSpan w:val="29"/>
          </w:tcPr>
          <w:p>
            <w:pPr>
              <w:spacing w:after="0" w:line="183" w:lineRule="exact"/>
              <w:rPr>
                <w:rFonts w:ascii="Times New Roman" w:cs="Times New Roman" w:eastAsia="Times New Roman" w:hAnsi="Times New Roman"/>
                <w:sz w:val="17"/>
                <w:szCs w:val="17"/>
                <w:color w:val="0000EE"/>
              </w:rPr>
            </w:pPr>
            <w:hyperlink r:id="rId210">
              <w:r>
                <w:rPr>
                  <w:rFonts w:ascii="Times New Roman" w:cs="Times New Roman" w:eastAsia="Times New Roman" w:hAnsi="Times New Roman"/>
                  <w:sz w:val="17"/>
                  <w:szCs w:val="17"/>
                  <w:color w:val="0000EE"/>
                </w:rPr>
                <w:t>37891) filed with the SEC on May 5, 2021)</w:t>
              </w:r>
            </w:hyperlink>
          </w:p>
        </w:tc>
      </w:tr>
      <w:tr>
        <w:trPr>
          <w:trHeight w:val="20"/>
        </w:trPr>
        <w:tc>
          <w:tcPr>
            <w:tcW w:w="114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4.14</w:t>
            </w:r>
          </w:p>
        </w:tc>
        <w:tc>
          <w:tcPr>
            <w:tcW w:w="7720" w:type="dxa"/>
            <w:vAlign w:val="bottom"/>
            <w:gridSpan w:val="29"/>
          </w:tcPr>
          <w:p>
            <w:pPr>
              <w:spacing w:after="0" w:line="183" w:lineRule="exact"/>
              <w:rPr>
                <w:rFonts w:ascii="Times New Roman" w:cs="Times New Roman" w:eastAsia="Times New Roman" w:hAnsi="Times New Roman"/>
                <w:sz w:val="17"/>
                <w:szCs w:val="17"/>
                <w:color w:val="0000EE"/>
              </w:rPr>
            </w:pPr>
            <w:hyperlink r:id="rId211">
              <w:r>
                <w:rPr>
                  <w:rFonts w:ascii="Times New Roman" w:cs="Times New Roman" w:eastAsia="Times New Roman" w:hAnsi="Times New Roman"/>
                  <w:sz w:val="17"/>
                  <w:szCs w:val="17"/>
                  <w:color w:val="0000EE"/>
                </w:rPr>
                <w:t>Asset Purchase and Contribution in Kind Agreement, dated as of July 26, 2021, between AC Immune SA and</w:t>
              </w:r>
            </w:hyperlink>
          </w:p>
        </w:tc>
      </w:tr>
      <w:tr>
        <w:trPr>
          <w:trHeight w:val="20"/>
        </w:trPr>
        <w:tc>
          <w:tcPr>
            <w:tcW w:w="114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7680" w:type="dxa"/>
            <w:vAlign w:val="bottom"/>
            <w:tcBorders>
              <w:bottom w:val="single" w:sz="8" w:color="0000EE"/>
            </w:tcBorders>
            <w:gridSpan w:val="27"/>
          </w:tcPr>
          <w:p>
            <w:pPr>
              <w:spacing w:after="0" w:line="183" w:lineRule="exact"/>
              <w:rPr>
                <w:rFonts w:ascii="Times New Roman" w:cs="Times New Roman" w:eastAsia="Times New Roman" w:hAnsi="Times New Roman"/>
                <w:sz w:val="17"/>
                <w:szCs w:val="17"/>
                <w:color w:val="0000EE"/>
                <w:w w:val="99"/>
              </w:rPr>
            </w:pPr>
            <w:hyperlink r:id="rId211">
              <w:r>
                <w:rPr>
                  <w:rFonts w:ascii="Times New Roman" w:cs="Times New Roman" w:eastAsia="Times New Roman" w:hAnsi="Times New Roman"/>
                  <w:sz w:val="17"/>
                  <w:szCs w:val="17"/>
                  <w:color w:val="0000EE"/>
                  <w:w w:val="99"/>
                </w:rPr>
                <w:t>Affiris AG (incorporated herein by reference to Exhibit 10.1 to the Company’s Current Report on Form 6-K (File</w:t>
              </w:r>
            </w:hyperlink>
          </w:p>
        </w:tc>
        <w:tc>
          <w:tcPr>
            <w:tcW w:w="4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7720" w:type="dxa"/>
            <w:vAlign w:val="bottom"/>
            <w:gridSpan w:val="29"/>
          </w:tcPr>
          <w:p>
            <w:pPr>
              <w:spacing w:after="0" w:line="183" w:lineRule="exact"/>
              <w:rPr>
                <w:rFonts w:ascii="Times New Roman" w:cs="Times New Roman" w:eastAsia="Times New Roman" w:hAnsi="Times New Roman"/>
                <w:sz w:val="17"/>
                <w:szCs w:val="17"/>
                <w:color w:val="0000EE"/>
              </w:rPr>
            </w:pPr>
            <w:hyperlink r:id="rId211">
              <w:r>
                <w:rPr>
                  <w:rFonts w:ascii="Times New Roman" w:cs="Times New Roman" w:eastAsia="Times New Roman" w:hAnsi="Times New Roman"/>
                  <w:sz w:val="17"/>
                  <w:szCs w:val="17"/>
                  <w:color w:val="0000EE"/>
                </w:rPr>
                <w:t>No. 001-37891) filed with the SEC on August 4, 2021)</w:t>
              </w:r>
            </w:hyperlink>
          </w:p>
        </w:tc>
      </w:tr>
      <w:tr>
        <w:trPr>
          <w:trHeight w:val="20"/>
        </w:trPr>
        <w:tc>
          <w:tcPr>
            <w:tcW w:w="114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4.15</w:t>
            </w:r>
          </w:p>
        </w:tc>
        <w:tc>
          <w:tcPr>
            <w:tcW w:w="7720" w:type="dxa"/>
            <w:vAlign w:val="bottom"/>
            <w:gridSpan w:val="29"/>
          </w:tcPr>
          <w:p>
            <w:pPr>
              <w:spacing w:after="0" w:line="183" w:lineRule="exact"/>
              <w:rPr>
                <w:rFonts w:ascii="Times New Roman" w:cs="Times New Roman" w:eastAsia="Times New Roman" w:hAnsi="Times New Roman"/>
                <w:sz w:val="17"/>
                <w:szCs w:val="17"/>
                <w:color w:val="0000EE"/>
              </w:rPr>
            </w:pPr>
            <w:hyperlink r:id="rId212">
              <w:r>
                <w:rPr>
                  <w:rFonts w:ascii="Times New Roman" w:cs="Times New Roman" w:eastAsia="Times New Roman" w:hAnsi="Times New Roman"/>
                  <w:sz w:val="17"/>
                  <w:szCs w:val="17"/>
                  <w:color w:val="0000EE"/>
                </w:rPr>
                <w:t>Convertible Note Agreement, dated as of July 26, 2021, between AC Immune SA and Santo Venture GmbH</w:t>
              </w:r>
            </w:hyperlink>
          </w:p>
        </w:tc>
      </w:tr>
      <w:tr>
        <w:trPr>
          <w:trHeight w:val="20"/>
        </w:trPr>
        <w:tc>
          <w:tcPr>
            <w:tcW w:w="114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7720" w:type="dxa"/>
            <w:vAlign w:val="bottom"/>
            <w:gridSpan w:val="29"/>
          </w:tcPr>
          <w:p>
            <w:pPr>
              <w:spacing w:after="0" w:line="183" w:lineRule="exact"/>
              <w:rPr>
                <w:rFonts w:ascii="Times New Roman" w:cs="Times New Roman" w:eastAsia="Times New Roman" w:hAnsi="Times New Roman"/>
                <w:sz w:val="17"/>
                <w:szCs w:val="17"/>
                <w:color w:val="0000EE"/>
              </w:rPr>
            </w:pPr>
            <w:hyperlink r:id="rId212">
              <w:r>
                <w:rPr>
                  <w:rFonts w:ascii="Times New Roman" w:cs="Times New Roman" w:eastAsia="Times New Roman" w:hAnsi="Times New Roman"/>
                  <w:sz w:val="17"/>
                  <w:szCs w:val="17"/>
                  <w:color w:val="0000EE"/>
                </w:rPr>
                <w:t>(incorporated herein by reference to Exhibit 10.2 to the Company’s Current Report on Form 6-K (File No. 001-</w:t>
              </w:r>
            </w:hyperlink>
          </w:p>
        </w:tc>
      </w:tr>
      <w:tr>
        <w:trPr>
          <w:trHeight w:val="183"/>
        </w:trPr>
        <w:tc>
          <w:tcPr>
            <w:tcW w:w="1140" w:type="dxa"/>
            <w:vAlign w:val="bottom"/>
          </w:tcPr>
          <w:p>
            <w:pPr>
              <w:spacing w:after="0"/>
              <w:rPr>
                <w:sz w:val="15"/>
                <w:szCs w:val="15"/>
                <w:color w:val="auto"/>
              </w:rPr>
            </w:pPr>
          </w:p>
        </w:tc>
        <w:tc>
          <w:tcPr>
            <w:tcW w:w="7540" w:type="dxa"/>
            <w:vAlign w:val="bottom"/>
            <w:tcBorders>
              <w:top w:val="single" w:sz="8" w:color="0000EE"/>
            </w:tcBorders>
            <w:gridSpan w:val="24"/>
          </w:tcPr>
          <w:p>
            <w:pPr>
              <w:spacing w:after="0" w:line="183" w:lineRule="exact"/>
              <w:rPr>
                <w:rFonts w:ascii="Times New Roman" w:cs="Times New Roman" w:eastAsia="Times New Roman" w:hAnsi="Times New Roman"/>
                <w:sz w:val="17"/>
                <w:szCs w:val="17"/>
                <w:color w:val="0000EE"/>
              </w:rPr>
            </w:pPr>
            <w:hyperlink r:id="rId212">
              <w:r>
                <w:rPr>
                  <w:rFonts w:ascii="Times New Roman" w:cs="Times New Roman" w:eastAsia="Times New Roman" w:hAnsi="Times New Roman"/>
                  <w:sz w:val="17"/>
                  <w:szCs w:val="17"/>
                  <w:color w:val="0000EE"/>
                </w:rPr>
                <w:t>37891) filed with the SEC on August 4, 2021)</w:t>
              </w:r>
            </w:hyperlink>
          </w:p>
        </w:tc>
        <w:tc>
          <w:tcPr>
            <w:tcW w:w="180" w:type="dxa"/>
            <w:vAlign w:val="bottom"/>
            <w:gridSpan w:val="5"/>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4.16</w:t>
            </w:r>
          </w:p>
        </w:tc>
        <w:tc>
          <w:tcPr>
            <w:tcW w:w="7720" w:type="dxa"/>
            <w:vAlign w:val="bottom"/>
            <w:gridSpan w:val="29"/>
          </w:tcPr>
          <w:p>
            <w:pPr>
              <w:spacing w:after="0" w:line="183" w:lineRule="exact"/>
              <w:rPr>
                <w:rFonts w:ascii="Times New Roman" w:cs="Times New Roman" w:eastAsia="Times New Roman" w:hAnsi="Times New Roman"/>
                <w:sz w:val="17"/>
                <w:szCs w:val="17"/>
                <w:color w:val="0000EE"/>
              </w:rPr>
            </w:pPr>
            <w:hyperlink r:id="rId213">
              <w:r>
                <w:rPr>
                  <w:rFonts w:ascii="Times New Roman" w:cs="Times New Roman" w:eastAsia="Times New Roman" w:hAnsi="Times New Roman"/>
                  <w:sz w:val="17"/>
                  <w:szCs w:val="17"/>
                  <w:color w:val="0000EE"/>
                </w:rPr>
                <w:t>Convertible Note Agreement, dated as of July 26, 2021, between AC Immune SA and FCPB Affi GmbH</w:t>
              </w:r>
            </w:hyperlink>
          </w:p>
        </w:tc>
      </w:tr>
      <w:tr>
        <w:trPr>
          <w:trHeight w:val="20"/>
        </w:trPr>
        <w:tc>
          <w:tcPr>
            <w:tcW w:w="114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7720" w:type="dxa"/>
            <w:vAlign w:val="bottom"/>
            <w:gridSpan w:val="29"/>
          </w:tcPr>
          <w:p>
            <w:pPr>
              <w:spacing w:after="0" w:line="183" w:lineRule="exact"/>
              <w:rPr>
                <w:rFonts w:ascii="Times New Roman" w:cs="Times New Roman" w:eastAsia="Times New Roman" w:hAnsi="Times New Roman"/>
                <w:sz w:val="17"/>
                <w:szCs w:val="17"/>
                <w:color w:val="0000EE"/>
              </w:rPr>
            </w:pPr>
            <w:hyperlink r:id="rId213">
              <w:r>
                <w:rPr>
                  <w:rFonts w:ascii="Times New Roman" w:cs="Times New Roman" w:eastAsia="Times New Roman" w:hAnsi="Times New Roman"/>
                  <w:sz w:val="17"/>
                  <w:szCs w:val="17"/>
                  <w:color w:val="0000EE"/>
                </w:rPr>
                <w:t>(incorporated herein by reference to Exhibit 10.3 to the Company’s Current Report on Form 6-K (File No. 001-</w:t>
              </w:r>
            </w:hyperlink>
          </w:p>
        </w:tc>
      </w:tr>
      <w:tr>
        <w:trPr>
          <w:trHeight w:val="183"/>
        </w:trPr>
        <w:tc>
          <w:tcPr>
            <w:tcW w:w="1140" w:type="dxa"/>
            <w:vAlign w:val="bottom"/>
          </w:tcPr>
          <w:p>
            <w:pPr>
              <w:spacing w:after="0"/>
              <w:rPr>
                <w:sz w:val="15"/>
                <w:szCs w:val="15"/>
                <w:color w:val="auto"/>
              </w:rPr>
            </w:pPr>
          </w:p>
        </w:tc>
        <w:tc>
          <w:tcPr>
            <w:tcW w:w="3140" w:type="dxa"/>
            <w:vAlign w:val="bottom"/>
            <w:tcBorders>
              <w:top w:val="single" w:sz="8" w:color="0000EE"/>
              <w:bottom w:val="single" w:sz="8" w:color="0000EE"/>
            </w:tcBorders>
            <w:gridSpan w:val="7"/>
          </w:tcPr>
          <w:p>
            <w:pPr>
              <w:spacing w:after="0" w:line="183" w:lineRule="exact"/>
              <w:rPr>
                <w:rFonts w:ascii="Times New Roman" w:cs="Times New Roman" w:eastAsia="Times New Roman" w:hAnsi="Times New Roman"/>
                <w:sz w:val="17"/>
                <w:szCs w:val="17"/>
                <w:color w:val="0000EE"/>
                <w:w w:val="99"/>
              </w:rPr>
            </w:pPr>
            <w:hyperlink r:id="rId213">
              <w:r>
                <w:rPr>
                  <w:rFonts w:ascii="Times New Roman" w:cs="Times New Roman" w:eastAsia="Times New Roman" w:hAnsi="Times New Roman"/>
                  <w:sz w:val="17"/>
                  <w:szCs w:val="17"/>
                  <w:color w:val="0000EE"/>
                  <w:w w:val="99"/>
                </w:rPr>
                <w:t>37891) filed with the SEC on August 4, 2021)</w:t>
              </w:r>
            </w:hyperlink>
          </w:p>
        </w:tc>
        <w:tc>
          <w:tcPr>
            <w:tcW w:w="4400" w:type="dxa"/>
            <w:vAlign w:val="bottom"/>
            <w:tcBorders>
              <w:top w:val="single" w:sz="8" w:color="0000EE"/>
            </w:tcBorders>
            <w:gridSpan w:val="17"/>
          </w:tcPr>
          <w:p>
            <w:pPr>
              <w:spacing w:after="0"/>
              <w:rPr>
                <w:sz w:val="15"/>
                <w:szCs w:val="15"/>
                <w:color w:val="auto"/>
              </w:rPr>
            </w:pPr>
          </w:p>
        </w:tc>
        <w:tc>
          <w:tcPr>
            <w:tcW w:w="180" w:type="dxa"/>
            <w:vAlign w:val="bottom"/>
            <w:gridSpan w:val="5"/>
          </w:tcPr>
          <w:p>
            <w:pPr>
              <w:spacing w:after="0"/>
              <w:rPr>
                <w:sz w:val="15"/>
                <w:szCs w:val="15"/>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4.17</w:t>
            </w:r>
          </w:p>
        </w:tc>
        <w:tc>
          <w:tcPr>
            <w:tcW w:w="7620" w:type="dxa"/>
            <w:vAlign w:val="bottom"/>
            <w:tcBorders>
              <w:bottom w:val="single" w:sz="8" w:color="0000EE"/>
            </w:tcBorders>
            <w:gridSpan w:val="25"/>
          </w:tcPr>
          <w:p>
            <w:pPr>
              <w:spacing w:after="0" w:line="183" w:lineRule="exact"/>
              <w:rPr>
                <w:rFonts w:ascii="Times New Roman" w:cs="Times New Roman" w:eastAsia="Times New Roman" w:hAnsi="Times New Roman"/>
                <w:sz w:val="17"/>
                <w:szCs w:val="17"/>
                <w:color w:val="0000EE"/>
                <w:w w:val="99"/>
              </w:rPr>
            </w:pPr>
            <w:hyperlink r:id="rId214">
              <w:r>
                <w:rPr>
                  <w:rFonts w:ascii="Times New Roman" w:cs="Times New Roman" w:eastAsia="Times New Roman" w:hAnsi="Times New Roman"/>
                  <w:sz w:val="17"/>
                  <w:szCs w:val="17"/>
                  <w:color w:val="0000EE"/>
                  <w:w w:val="99"/>
                </w:rPr>
                <w:t>Option and License Agreement, dated as of May 13, 2024, between AC Immune SA and Takeda Pharmaceutical</w:t>
              </w:r>
            </w:hyperlink>
          </w:p>
        </w:tc>
        <w:tc>
          <w:tcPr>
            <w:tcW w:w="100" w:type="dxa"/>
            <w:vAlign w:val="bottom"/>
            <w:gridSpan w:val="4"/>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7680" w:type="dxa"/>
            <w:vAlign w:val="bottom"/>
            <w:tcBorders>
              <w:bottom w:val="single" w:sz="8" w:color="0000EE"/>
            </w:tcBorders>
            <w:gridSpan w:val="27"/>
          </w:tcPr>
          <w:p>
            <w:pPr>
              <w:spacing w:after="0" w:line="183" w:lineRule="exact"/>
              <w:rPr>
                <w:rFonts w:ascii="Times New Roman" w:cs="Times New Roman" w:eastAsia="Times New Roman" w:hAnsi="Times New Roman"/>
                <w:sz w:val="17"/>
                <w:szCs w:val="17"/>
                <w:color w:val="0000EE"/>
                <w:w w:val="99"/>
              </w:rPr>
            </w:pPr>
            <w:hyperlink r:id="rId214">
              <w:r>
                <w:rPr>
                  <w:rFonts w:ascii="Times New Roman" w:cs="Times New Roman" w:eastAsia="Times New Roman" w:hAnsi="Times New Roman"/>
                  <w:sz w:val="17"/>
                  <w:szCs w:val="17"/>
                  <w:color w:val="0000EE"/>
                  <w:w w:val="99"/>
                </w:rPr>
                <w:t>Company Limited (incorporated herein by reference to Exhibit 10.1 to the Company's Current Report on Form 6-</w:t>
              </w:r>
            </w:hyperlink>
          </w:p>
        </w:tc>
        <w:tc>
          <w:tcPr>
            <w:tcW w:w="4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4260" w:type="dxa"/>
            <w:vAlign w:val="bottom"/>
            <w:tcBorders>
              <w:bottom w:val="single" w:sz="8" w:color="0000EE"/>
            </w:tcBorders>
            <w:gridSpan w:val="9"/>
          </w:tcPr>
          <w:p>
            <w:pPr>
              <w:spacing w:after="0" w:line="183" w:lineRule="exact"/>
              <w:rPr>
                <w:rFonts w:ascii="Times New Roman" w:cs="Times New Roman" w:eastAsia="Times New Roman" w:hAnsi="Times New Roman"/>
                <w:sz w:val="17"/>
                <w:szCs w:val="17"/>
                <w:color w:val="0000EE"/>
                <w:w w:val="99"/>
              </w:rPr>
            </w:pPr>
            <w:hyperlink r:id="rId214">
              <w:r>
                <w:rPr>
                  <w:rFonts w:ascii="Times New Roman" w:cs="Times New Roman" w:eastAsia="Times New Roman" w:hAnsi="Times New Roman"/>
                  <w:sz w:val="17"/>
                  <w:szCs w:val="17"/>
                  <w:color w:val="0000EE"/>
                  <w:w w:val="99"/>
                </w:rPr>
                <w:t>K (File No. 001-37891) filed with the SEC on August 6, 2024)</w:t>
              </w:r>
            </w:hyperlink>
          </w:p>
        </w:tc>
        <w:tc>
          <w:tcPr>
            <w:tcW w:w="3460" w:type="dxa"/>
            <w:vAlign w:val="bottom"/>
            <w:gridSpan w:val="20"/>
          </w:tcPr>
          <w:p>
            <w:pPr>
              <w:spacing w:after="0"/>
              <w:rPr>
                <w:sz w:val="15"/>
                <w:szCs w:val="15"/>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4.18</w:t>
            </w:r>
          </w:p>
        </w:tc>
        <w:tc>
          <w:tcPr>
            <w:tcW w:w="6980" w:type="dxa"/>
            <w:vAlign w:val="bottom"/>
            <w:tcBorders>
              <w:bottom w:val="single" w:sz="8" w:color="0000EE"/>
            </w:tcBorders>
            <w:gridSpan w:val="17"/>
          </w:tcPr>
          <w:p>
            <w:pPr>
              <w:spacing w:after="0" w:line="183" w:lineRule="exact"/>
              <w:rPr>
                <w:rFonts w:ascii="Times New Roman" w:cs="Times New Roman" w:eastAsia="Times New Roman" w:hAnsi="Times New Roman"/>
                <w:sz w:val="17"/>
                <w:szCs w:val="17"/>
                <w:color w:val="0000EE"/>
                <w:w w:val="99"/>
              </w:rPr>
            </w:pPr>
            <w:hyperlink r:id="rId215">
              <w:r>
                <w:rPr>
                  <w:rFonts w:ascii="Times New Roman" w:cs="Times New Roman" w:eastAsia="Times New Roman" w:hAnsi="Times New Roman"/>
                  <w:sz w:val="17"/>
                  <w:szCs w:val="17"/>
                  <w:color w:val="0000EE"/>
                  <w:w w:val="99"/>
                </w:rPr>
                <w:t>Open Market Sale Agreement, dated as of August 6, 2024, between AC Immune SA and Jefferies LLC</w:t>
              </w:r>
            </w:hyperlink>
          </w:p>
        </w:tc>
        <w:tc>
          <w:tcPr>
            <w:tcW w:w="740" w:type="dxa"/>
            <w:vAlign w:val="bottom"/>
            <w:gridSpan w:val="1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7720" w:type="dxa"/>
            <w:vAlign w:val="bottom"/>
            <w:gridSpan w:val="29"/>
          </w:tcPr>
          <w:p>
            <w:pPr>
              <w:spacing w:after="0" w:line="183" w:lineRule="exact"/>
              <w:rPr>
                <w:rFonts w:ascii="Times New Roman" w:cs="Times New Roman" w:eastAsia="Times New Roman" w:hAnsi="Times New Roman"/>
                <w:sz w:val="17"/>
                <w:szCs w:val="17"/>
                <w:color w:val="0000EE"/>
              </w:rPr>
            </w:pPr>
            <w:hyperlink r:id="rId215">
              <w:r>
                <w:rPr>
                  <w:rFonts w:ascii="Times New Roman" w:cs="Times New Roman" w:eastAsia="Times New Roman" w:hAnsi="Times New Roman"/>
                  <w:sz w:val="17"/>
                  <w:szCs w:val="17"/>
                  <w:color w:val="0000EE"/>
                </w:rPr>
                <w:t>(incorporated herein by reference to Exhibit 1.1 to the Company's Current Report on Form 6-K (File No. 001-</w:t>
              </w:r>
            </w:hyperlink>
          </w:p>
        </w:tc>
      </w:tr>
      <w:tr>
        <w:trPr>
          <w:trHeight w:val="183"/>
        </w:trPr>
        <w:tc>
          <w:tcPr>
            <w:tcW w:w="1140" w:type="dxa"/>
            <w:vAlign w:val="bottom"/>
          </w:tcPr>
          <w:p>
            <w:pPr>
              <w:spacing w:after="0"/>
              <w:rPr>
                <w:sz w:val="15"/>
                <w:szCs w:val="15"/>
                <w:color w:val="auto"/>
              </w:rPr>
            </w:pPr>
          </w:p>
        </w:tc>
        <w:tc>
          <w:tcPr>
            <w:tcW w:w="7440" w:type="dxa"/>
            <w:vAlign w:val="bottom"/>
            <w:tcBorders>
              <w:top w:val="single" w:sz="8" w:color="0000EE"/>
            </w:tcBorders>
            <w:gridSpan w:val="22"/>
          </w:tcPr>
          <w:p>
            <w:pPr>
              <w:spacing w:after="0" w:line="183" w:lineRule="exact"/>
              <w:rPr>
                <w:rFonts w:ascii="Times New Roman" w:cs="Times New Roman" w:eastAsia="Times New Roman" w:hAnsi="Times New Roman"/>
                <w:sz w:val="17"/>
                <w:szCs w:val="17"/>
                <w:color w:val="0000EE"/>
              </w:rPr>
            </w:pPr>
            <w:hyperlink r:id="rId215">
              <w:r>
                <w:rPr>
                  <w:rFonts w:ascii="Times New Roman" w:cs="Times New Roman" w:eastAsia="Times New Roman" w:hAnsi="Times New Roman"/>
                  <w:sz w:val="17"/>
                  <w:szCs w:val="17"/>
                  <w:color w:val="0000EE"/>
                </w:rPr>
                <w:t>37891) filed with the SEC on August 6, 2024)</w:t>
              </w:r>
            </w:hyperlink>
          </w:p>
        </w:tc>
        <w:tc>
          <w:tcPr>
            <w:tcW w:w="280" w:type="dxa"/>
            <w:vAlign w:val="bottom"/>
            <w:gridSpan w:val="7"/>
          </w:tcPr>
          <w:p>
            <w:pPr>
              <w:spacing w:after="0"/>
              <w:rPr>
                <w:sz w:val="15"/>
                <w:szCs w:val="15"/>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4.19*</w:t>
            </w:r>
          </w:p>
        </w:tc>
        <w:tc>
          <w:tcPr>
            <w:tcW w:w="3120" w:type="dxa"/>
            <w:vAlign w:val="bottom"/>
            <w:tcBorders>
              <w:top w:val="single" w:sz="8" w:color="0000EE"/>
            </w:tcBorders>
            <w:gridSpan w:val="6"/>
          </w:tcPr>
          <w:p>
            <w:pPr>
              <w:spacing w:after="0" w:line="183" w:lineRule="exact"/>
              <w:rPr>
                <w:sz w:val="20"/>
                <w:szCs w:val="20"/>
                <w:color w:val="auto"/>
              </w:rPr>
            </w:pPr>
            <w:r>
              <w:rPr>
                <w:rFonts w:ascii="Times New Roman" w:cs="Times New Roman" w:eastAsia="Times New Roman" w:hAnsi="Times New Roman"/>
                <w:sz w:val="17"/>
                <w:szCs w:val="17"/>
                <w:color w:val="0000EE"/>
              </w:rPr>
              <w:t>Description of Securities</w:t>
            </w:r>
          </w:p>
        </w:tc>
        <w:tc>
          <w:tcPr>
            <w:tcW w:w="4600" w:type="dxa"/>
            <w:vAlign w:val="bottom"/>
            <w:gridSpan w:val="23"/>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gridSpan w:val="11"/>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4.20*</w:t>
            </w:r>
          </w:p>
        </w:tc>
        <w:tc>
          <w:tcPr>
            <w:tcW w:w="7720" w:type="dxa"/>
            <w:vAlign w:val="bottom"/>
            <w:gridSpan w:val="29"/>
          </w:tcPr>
          <w:p>
            <w:pPr>
              <w:spacing w:after="0" w:line="183" w:lineRule="exact"/>
              <w:rPr>
                <w:sz w:val="20"/>
                <w:szCs w:val="20"/>
                <w:color w:val="auto"/>
              </w:rPr>
            </w:pPr>
            <w:r>
              <w:rPr>
                <w:rFonts w:ascii="Times New Roman" w:cs="Times New Roman" w:eastAsia="Times New Roman" w:hAnsi="Times New Roman"/>
                <w:sz w:val="17"/>
                <w:szCs w:val="17"/>
                <w:color w:val="0000EE"/>
                <w:w w:val="99"/>
              </w:rPr>
              <w:t>First Amendment to Option and License Agreement, dated as of February 19, 2026, between AC Immune SA and</w:t>
            </w:r>
          </w:p>
        </w:tc>
      </w:tr>
      <w:tr>
        <w:trPr>
          <w:trHeight w:val="183"/>
        </w:trPr>
        <w:tc>
          <w:tcPr>
            <w:tcW w:w="1140" w:type="dxa"/>
            <w:vAlign w:val="bottom"/>
          </w:tcPr>
          <w:p>
            <w:pPr>
              <w:spacing w:after="0"/>
              <w:rPr>
                <w:sz w:val="15"/>
                <w:szCs w:val="15"/>
                <w:color w:val="auto"/>
              </w:rPr>
            </w:pPr>
          </w:p>
        </w:tc>
        <w:tc>
          <w:tcPr>
            <w:tcW w:w="2860" w:type="dxa"/>
            <w:vAlign w:val="bottom"/>
            <w:tcBorders>
              <w:top w:val="single" w:sz="8" w:color="0000EE"/>
              <w:bottom w:val="single" w:sz="8" w:color="0000EE"/>
            </w:tcBorders>
            <w:gridSpan w:val="4"/>
          </w:tcPr>
          <w:p>
            <w:pPr>
              <w:spacing w:after="0" w:line="183" w:lineRule="exact"/>
              <w:rPr>
                <w:sz w:val="20"/>
                <w:szCs w:val="20"/>
                <w:color w:val="auto"/>
              </w:rPr>
            </w:pPr>
            <w:r>
              <w:rPr>
                <w:rFonts w:ascii="Times New Roman" w:cs="Times New Roman" w:eastAsia="Times New Roman" w:hAnsi="Times New Roman"/>
                <w:sz w:val="17"/>
                <w:szCs w:val="17"/>
                <w:color w:val="0000EE"/>
                <w:w w:val="98"/>
              </w:rPr>
              <w:t>Takeda Pharmaceutical Company Limited</w:t>
            </w:r>
          </w:p>
        </w:tc>
        <w:tc>
          <w:tcPr>
            <w:tcW w:w="4840" w:type="dxa"/>
            <w:vAlign w:val="bottom"/>
            <w:tcBorders>
              <w:top w:val="single" w:sz="8" w:color="0000EE"/>
            </w:tcBorders>
            <w:gridSpan w:val="24"/>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8.1*</w:t>
            </w:r>
          </w:p>
        </w:tc>
        <w:tc>
          <w:tcPr>
            <w:tcW w:w="1300" w:type="dxa"/>
            <w:vAlign w:val="bottom"/>
            <w:tcBorders>
              <w:bottom w:val="single" w:sz="8" w:color="0000EE"/>
            </w:tcBorders>
          </w:tcPr>
          <w:p>
            <w:pPr>
              <w:spacing w:after="0" w:line="183" w:lineRule="exact"/>
              <w:rPr>
                <w:sz w:val="20"/>
                <w:szCs w:val="20"/>
                <w:color w:val="auto"/>
              </w:rPr>
            </w:pPr>
            <w:r>
              <w:rPr>
                <w:rFonts w:ascii="Times New Roman" w:cs="Times New Roman" w:eastAsia="Times New Roman" w:hAnsi="Times New Roman"/>
                <w:sz w:val="17"/>
                <w:szCs w:val="17"/>
                <w:color w:val="0000EE"/>
                <w:w w:val="98"/>
              </w:rPr>
              <w:t>List of subsidiaries</w:t>
            </w:r>
          </w:p>
        </w:tc>
        <w:tc>
          <w:tcPr>
            <w:tcW w:w="6420" w:type="dxa"/>
            <w:vAlign w:val="bottom"/>
            <w:gridSpan w:val="28"/>
          </w:tcPr>
          <w:p>
            <w:pPr>
              <w:spacing w:after="0"/>
              <w:rPr>
                <w:sz w:val="15"/>
                <w:szCs w:val="15"/>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11.1*</w:t>
            </w:r>
          </w:p>
        </w:tc>
        <w:tc>
          <w:tcPr>
            <w:tcW w:w="7720" w:type="dxa"/>
            <w:vAlign w:val="bottom"/>
            <w:gridSpan w:val="29"/>
          </w:tcPr>
          <w:p>
            <w:pPr>
              <w:spacing w:after="0" w:line="183" w:lineRule="exact"/>
              <w:rPr>
                <w:sz w:val="20"/>
                <w:szCs w:val="20"/>
                <w:color w:val="auto"/>
              </w:rPr>
            </w:pPr>
            <w:r>
              <w:rPr>
                <w:rFonts w:ascii="Times New Roman" w:cs="Times New Roman" w:eastAsia="Times New Roman" w:hAnsi="Times New Roman"/>
                <w:sz w:val="17"/>
                <w:szCs w:val="17"/>
                <w:color w:val="0000EE"/>
              </w:rPr>
              <w:t>Statement of Policy Concerning Trading in Company Securities</w:t>
            </w:r>
          </w:p>
        </w:tc>
      </w:tr>
      <w:tr>
        <w:trPr>
          <w:trHeight w:val="20"/>
        </w:trPr>
        <w:tc>
          <w:tcPr>
            <w:tcW w:w="1140" w:type="dxa"/>
            <w:vAlign w:val="bottom"/>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gridSpan w:val="11"/>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12.1*</w:t>
            </w:r>
          </w:p>
        </w:tc>
        <w:tc>
          <w:tcPr>
            <w:tcW w:w="4460" w:type="dxa"/>
            <w:vAlign w:val="bottom"/>
            <w:tcBorders>
              <w:bottom w:val="single" w:sz="8" w:color="0000EE"/>
            </w:tcBorders>
            <w:gridSpan w:val="11"/>
          </w:tcPr>
          <w:p>
            <w:pPr>
              <w:spacing w:after="0" w:line="183" w:lineRule="exact"/>
              <w:rPr>
                <w:sz w:val="20"/>
                <w:szCs w:val="20"/>
                <w:color w:val="auto"/>
              </w:rPr>
            </w:pPr>
            <w:r>
              <w:rPr>
                <w:rFonts w:ascii="Times New Roman" w:cs="Times New Roman" w:eastAsia="Times New Roman" w:hAnsi="Times New Roman"/>
                <w:sz w:val="17"/>
                <w:szCs w:val="17"/>
                <w:color w:val="0000EE"/>
                <w:w w:val="99"/>
              </w:rPr>
              <w:t>Certification of Andrea Pfeifer pursuant to 17 CFR 240.13a-14(a)</w:t>
            </w:r>
          </w:p>
        </w:tc>
        <w:tc>
          <w:tcPr>
            <w:tcW w:w="3260" w:type="dxa"/>
            <w:vAlign w:val="bottom"/>
            <w:gridSpan w:val="18"/>
          </w:tcPr>
          <w:p>
            <w:pPr>
              <w:spacing w:after="0"/>
              <w:rPr>
                <w:sz w:val="15"/>
                <w:szCs w:val="15"/>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12.2*</w:t>
            </w:r>
          </w:p>
        </w:tc>
        <w:tc>
          <w:tcPr>
            <w:tcW w:w="4820" w:type="dxa"/>
            <w:vAlign w:val="bottom"/>
            <w:tcBorders>
              <w:bottom w:val="single" w:sz="8" w:color="0000EE"/>
            </w:tcBorders>
            <w:gridSpan w:val="12"/>
          </w:tcPr>
          <w:p>
            <w:pPr>
              <w:spacing w:after="0" w:line="183" w:lineRule="exact"/>
              <w:rPr>
                <w:sz w:val="20"/>
                <w:szCs w:val="20"/>
                <w:color w:val="auto"/>
              </w:rPr>
            </w:pPr>
            <w:r>
              <w:rPr>
                <w:rFonts w:ascii="Times New Roman" w:cs="Times New Roman" w:eastAsia="Times New Roman" w:hAnsi="Times New Roman"/>
                <w:sz w:val="17"/>
                <w:szCs w:val="17"/>
                <w:color w:val="0000EE"/>
                <w:w w:val="99"/>
              </w:rPr>
              <w:t>Certification of Christopher Roberts pursuant to 17 CFR 240.13a-14(a)</w:t>
            </w:r>
          </w:p>
        </w:tc>
        <w:tc>
          <w:tcPr>
            <w:tcW w:w="2900" w:type="dxa"/>
            <w:vAlign w:val="bottom"/>
            <w:gridSpan w:val="17"/>
          </w:tcPr>
          <w:p>
            <w:pPr>
              <w:spacing w:after="0"/>
              <w:rPr>
                <w:sz w:val="15"/>
                <w:szCs w:val="15"/>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13.1*</w:t>
            </w:r>
          </w:p>
        </w:tc>
        <w:tc>
          <w:tcPr>
            <w:tcW w:w="5800" w:type="dxa"/>
            <w:vAlign w:val="bottom"/>
            <w:tcBorders>
              <w:bottom w:val="single" w:sz="8" w:color="0000EE"/>
            </w:tcBorders>
            <w:gridSpan w:val="13"/>
          </w:tcPr>
          <w:p>
            <w:pPr>
              <w:spacing w:after="0" w:line="183" w:lineRule="exact"/>
              <w:rPr>
                <w:sz w:val="20"/>
                <w:szCs w:val="20"/>
                <w:color w:val="auto"/>
              </w:rPr>
            </w:pPr>
            <w:r>
              <w:rPr>
                <w:rFonts w:ascii="Times New Roman" w:cs="Times New Roman" w:eastAsia="Times New Roman" w:hAnsi="Times New Roman"/>
                <w:sz w:val="17"/>
                <w:szCs w:val="17"/>
                <w:color w:val="0000EE"/>
                <w:w w:val="99"/>
              </w:rPr>
              <w:t>Certification of Andrea Pfeifer pursuant to 17 CFR 240.13a-14(b) and 18 U.S.C.1350</w:t>
            </w:r>
          </w:p>
        </w:tc>
        <w:tc>
          <w:tcPr>
            <w:tcW w:w="1920" w:type="dxa"/>
            <w:vAlign w:val="bottom"/>
            <w:gridSpan w:val="16"/>
          </w:tcPr>
          <w:p>
            <w:pPr>
              <w:spacing w:after="0"/>
              <w:rPr>
                <w:sz w:val="15"/>
                <w:szCs w:val="15"/>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13.2*</w:t>
            </w:r>
          </w:p>
        </w:tc>
        <w:tc>
          <w:tcPr>
            <w:tcW w:w="7720" w:type="dxa"/>
            <w:vAlign w:val="bottom"/>
            <w:gridSpan w:val="29"/>
          </w:tcPr>
          <w:p>
            <w:pPr>
              <w:spacing w:after="0" w:line="183" w:lineRule="exact"/>
              <w:rPr>
                <w:sz w:val="20"/>
                <w:szCs w:val="20"/>
                <w:color w:val="auto"/>
              </w:rPr>
            </w:pPr>
            <w:r>
              <w:rPr>
                <w:rFonts w:ascii="Times New Roman" w:cs="Times New Roman" w:eastAsia="Times New Roman" w:hAnsi="Times New Roman"/>
                <w:sz w:val="17"/>
                <w:szCs w:val="17"/>
                <w:color w:val="0000EE"/>
              </w:rPr>
              <w:t>Certification of Christopher Roberts pursuant to 17 CFR 240.13a-14(b) and 18 U.S.C.1350</w:t>
            </w: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15.1*</w:t>
            </w:r>
          </w:p>
        </w:tc>
        <w:tc>
          <w:tcPr>
            <w:tcW w:w="6160" w:type="dxa"/>
            <w:vAlign w:val="bottom"/>
            <w:tcBorders>
              <w:top w:val="single" w:sz="8" w:color="0000EE"/>
            </w:tcBorders>
            <w:gridSpan w:val="15"/>
          </w:tcPr>
          <w:p>
            <w:pPr>
              <w:spacing w:after="0" w:line="183" w:lineRule="exact"/>
              <w:rPr>
                <w:sz w:val="20"/>
                <w:szCs w:val="20"/>
                <w:color w:val="auto"/>
              </w:rPr>
            </w:pPr>
            <w:r>
              <w:rPr>
                <w:rFonts w:ascii="Times New Roman" w:cs="Times New Roman" w:eastAsia="Times New Roman" w:hAnsi="Times New Roman"/>
                <w:sz w:val="17"/>
                <w:szCs w:val="17"/>
                <w:color w:val="0000EE"/>
              </w:rPr>
              <w:t>Consent of PricewaterhouseCoopers SA</w:t>
            </w:r>
          </w:p>
        </w:tc>
        <w:tc>
          <w:tcPr>
            <w:tcW w:w="1560" w:type="dxa"/>
            <w:vAlign w:val="bottom"/>
            <w:gridSpan w:val="14"/>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3200" w:type="dxa"/>
            <w:vAlign w:val="bottom"/>
            <w:gridSpan w:val="11"/>
          </w:tcPr>
          <w:p>
            <w:pPr>
              <w:spacing w:after="0" w:line="20" w:lineRule="exact"/>
              <w:rPr>
                <w:sz w:val="1"/>
                <w:szCs w:val="1"/>
                <w:color w:val="auto"/>
              </w:rPr>
            </w:pPr>
          </w:p>
        </w:tc>
        <w:tc>
          <w:tcPr>
            <w:tcW w:w="1720" w:type="dxa"/>
            <w:vAlign w:val="bottom"/>
            <w:gridSpan w:val="1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97.1</w:t>
            </w:r>
          </w:p>
        </w:tc>
        <w:tc>
          <w:tcPr>
            <w:tcW w:w="7720" w:type="dxa"/>
            <w:vAlign w:val="bottom"/>
            <w:gridSpan w:val="29"/>
          </w:tcPr>
          <w:p>
            <w:pPr>
              <w:spacing w:after="0" w:line="183" w:lineRule="exact"/>
              <w:rPr>
                <w:rFonts w:ascii="Times New Roman" w:cs="Times New Roman" w:eastAsia="Times New Roman" w:hAnsi="Times New Roman"/>
                <w:sz w:val="17"/>
                <w:szCs w:val="17"/>
                <w:color w:val="0000EE"/>
              </w:rPr>
            </w:pPr>
            <w:hyperlink r:id="rId216">
              <w:r>
                <w:rPr>
                  <w:rFonts w:ascii="Times New Roman" w:cs="Times New Roman" w:eastAsia="Times New Roman" w:hAnsi="Times New Roman"/>
                  <w:sz w:val="17"/>
                  <w:szCs w:val="17"/>
                  <w:color w:val="0000EE"/>
                </w:rPr>
                <w:t>Compensation Recoupment Policy, dated as of October 6, 2023 (incorporated herein by reference to Exhibit 97.1</w:t>
              </w:r>
            </w:hyperlink>
          </w:p>
        </w:tc>
      </w:tr>
      <w:tr>
        <w:trPr>
          <w:trHeight w:val="183"/>
        </w:trPr>
        <w:tc>
          <w:tcPr>
            <w:tcW w:w="1140" w:type="dxa"/>
            <w:vAlign w:val="bottom"/>
          </w:tcPr>
          <w:p>
            <w:pPr>
              <w:spacing w:after="0"/>
              <w:rPr>
                <w:sz w:val="15"/>
                <w:szCs w:val="15"/>
                <w:color w:val="auto"/>
              </w:rPr>
            </w:pPr>
          </w:p>
        </w:tc>
        <w:tc>
          <w:tcPr>
            <w:tcW w:w="5920" w:type="dxa"/>
            <w:vAlign w:val="bottom"/>
            <w:tcBorders>
              <w:top w:val="single" w:sz="8" w:color="0000EE"/>
              <w:bottom w:val="single" w:sz="8" w:color="0000EE"/>
            </w:tcBorders>
            <w:gridSpan w:val="14"/>
          </w:tcPr>
          <w:p>
            <w:pPr>
              <w:spacing w:after="0" w:line="183" w:lineRule="exact"/>
              <w:rPr>
                <w:rFonts w:ascii="Times New Roman" w:cs="Times New Roman" w:eastAsia="Times New Roman" w:hAnsi="Times New Roman"/>
                <w:sz w:val="17"/>
                <w:szCs w:val="17"/>
                <w:color w:val="0000EE"/>
                <w:w w:val="98"/>
              </w:rPr>
            </w:pPr>
            <w:hyperlink r:id="rId216">
              <w:r>
                <w:rPr>
                  <w:rFonts w:ascii="Times New Roman" w:cs="Times New Roman" w:eastAsia="Times New Roman" w:hAnsi="Times New Roman"/>
                  <w:sz w:val="17"/>
                  <w:szCs w:val="17"/>
                  <w:color w:val="0000EE"/>
                  <w:w w:val="98"/>
                </w:rPr>
                <w:t>to the Company’s Annual Report on Form 20 F, filed with the SEC on March 14, 2024)</w:t>
              </w:r>
            </w:hyperlink>
          </w:p>
        </w:tc>
        <w:tc>
          <w:tcPr>
            <w:tcW w:w="1720" w:type="dxa"/>
            <w:vAlign w:val="bottom"/>
            <w:tcBorders>
              <w:top w:val="single" w:sz="8" w:color="0000EE"/>
            </w:tcBorders>
            <w:gridSpan w:val="12"/>
          </w:tcPr>
          <w:p>
            <w:pPr>
              <w:spacing w:after="0"/>
              <w:rPr>
                <w:sz w:val="15"/>
                <w:szCs w:val="15"/>
                <w:color w:val="auto"/>
              </w:rPr>
            </w:pPr>
          </w:p>
        </w:tc>
        <w:tc>
          <w:tcPr>
            <w:tcW w:w="80" w:type="dxa"/>
            <w:vAlign w:val="bottom"/>
            <w:gridSpan w:val="3"/>
          </w:tcPr>
          <w:p>
            <w:pPr>
              <w:spacing w:after="0"/>
              <w:rPr>
                <w:sz w:val="15"/>
                <w:szCs w:val="15"/>
                <w:color w:val="auto"/>
              </w:rPr>
            </w:pPr>
          </w:p>
        </w:tc>
      </w:tr>
      <w:tr>
        <w:trPr>
          <w:trHeight w:val="205"/>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7720" w:type="dxa"/>
            <w:vAlign w:val="bottom"/>
            <w:gridSpan w:val="29"/>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r>
      <w:tr>
        <w:trPr>
          <w:trHeight w:val="203"/>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7720" w:type="dxa"/>
            <w:vAlign w:val="bottom"/>
            <w:gridSpan w:val="29"/>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203"/>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7720" w:type="dxa"/>
            <w:vAlign w:val="bottom"/>
            <w:gridSpan w:val="29"/>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203"/>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7720" w:type="dxa"/>
            <w:vAlign w:val="bottom"/>
            <w:gridSpan w:val="29"/>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219"/>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7720" w:type="dxa"/>
            <w:vAlign w:val="bottom"/>
            <w:gridSpan w:val="29"/>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64770</wp:posOffset>
            </wp:positionV>
            <wp:extent cx="1410335" cy="158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7">
                      <a:extLst>
                        <a:ext uri="{28A0092B-C50C-407E-A947-70E740481C1C}"/>
                      </a:extLst>
                    </a:blip>
                    <a:srcRect/>
                    <a:stretch>
                      <a:fillRect/>
                    </a:stretch>
                  </pic:blipFill>
                  <pic:spPr bwMode="auto">
                    <a:xfrm>
                      <a:off x="0" y="0"/>
                      <a:ext cx="1410335" cy="15875"/>
                    </a:xfrm>
                    <a:prstGeom prst="rect">
                      <a:avLst/>
                    </a:prstGeom>
                    <a:noFill/>
                  </pic:spPr>
                </pic:pic>
              </a:graphicData>
            </a:graphic>
          </wp:anchor>
        </w:drawing>
      </w:r>
    </w:p>
    <w:p>
      <w:pPr>
        <w:spacing w:after="0" w:line="167" w:lineRule="exact"/>
        <w:rPr>
          <w:sz w:val="20"/>
          <w:szCs w:val="20"/>
          <w:color w:val="auto"/>
        </w:rPr>
      </w:pPr>
    </w:p>
    <w:p>
      <w:pPr>
        <w:ind w:left="340" w:hanging="295"/>
        <w:spacing w:after="0"/>
        <w:tabs>
          <w:tab w:leader="none" w:pos="34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10" w:lineRule="exact"/>
        <w:rPr>
          <w:rFonts w:ascii="Times New Roman" w:cs="Times New Roman" w:eastAsia="Times New Roman" w:hAnsi="Times New Roman"/>
          <w:sz w:val="17"/>
          <w:szCs w:val="17"/>
          <w:color w:val="auto"/>
        </w:rPr>
      </w:pPr>
    </w:p>
    <w:p>
      <w:pPr>
        <w:ind w:left="900" w:hanging="246"/>
        <w:spacing w:after="0"/>
        <w:tabs>
          <w:tab w:leader="none" w:pos="900"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 Schedules</w:t>
      </w:r>
    </w:p>
    <w:p>
      <w:pPr>
        <w:spacing w:after="0" w:line="210" w:lineRule="exact"/>
        <w:rPr>
          <w:rFonts w:ascii="Times New Roman" w:cs="Times New Roman" w:eastAsia="Times New Roman" w:hAnsi="Times New Roman"/>
          <w:sz w:val="17"/>
          <w:szCs w:val="17"/>
          <w:color w:val="auto"/>
        </w:rPr>
      </w:pP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8">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64" w:name="page165"/>
    <w:bookmarkEnd w:id="16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5" w:lineRule="exact"/>
        <w:rPr>
          <w:sz w:val="20"/>
          <w:szCs w:val="20"/>
          <w:color w:val="auto"/>
        </w:rPr>
      </w:pPr>
    </w:p>
    <w:p>
      <w:pPr>
        <w:ind w:left="40" w:right="439" w:firstLine="305"/>
        <w:spacing w:after="0" w:line="277" w:lineRule="auto"/>
        <w:rPr>
          <w:sz w:val="20"/>
          <w:szCs w:val="20"/>
          <w:color w:val="auto"/>
        </w:rPr>
      </w:pPr>
      <w:r>
        <w:rPr>
          <w:rFonts w:ascii="Times New Roman" w:cs="Times New Roman" w:eastAsia="Times New Roman" w:hAnsi="Times New Roman"/>
          <w:sz w:val="17"/>
          <w:szCs w:val="17"/>
          <w:color w:val="auto"/>
        </w:rPr>
        <w:t>The registrant hereby certifies that it meets all of the requirements for filing on Form 20-F and that it has duly caused and authorized the undersigned to sign this Annual Report on its behalf.</w:t>
      </w:r>
    </w:p>
    <w:p>
      <w:pPr>
        <w:spacing w:after="0" w:line="15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AC IMMUNE SA</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Date: March 13, 2026</w:t>
      </w:r>
    </w:p>
    <w:p>
      <w:pPr>
        <w:spacing w:after="0" w:line="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/s/ Andrea Pfeifer</w:t>
      </w:r>
    </w:p>
    <w:p>
      <w:pPr>
        <w:spacing w:after="0" w:line="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Name: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3077845</wp:posOffset>
            </wp:positionH>
            <wp:positionV relativeFrom="paragraph">
              <wp:posOffset>-123190</wp:posOffset>
            </wp:positionV>
            <wp:extent cx="26111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9">
                      <a:extLst>
                        <a:ext uri="{28A0092B-C50C-407E-A947-70E740481C1C}"/>
                      </a:extLst>
                    </a:blip>
                    <a:srcRect/>
                    <a:stretch>
                      <a:fillRect/>
                    </a:stretch>
                  </pic:blipFill>
                  <pic:spPr bwMode="auto">
                    <a:xfrm>
                      <a:off x="0" y="0"/>
                      <a:ext cx="2611120" cy="8255"/>
                    </a:xfrm>
                    <a:prstGeom prst="rect">
                      <a:avLst/>
                    </a:prstGeom>
                    <a:noFill/>
                  </pic:spPr>
                </pic:pic>
              </a:graphicData>
            </a:graphic>
          </wp:anchor>
        </w:drawing>
      </w:r>
    </w:p>
    <w:p>
      <w:pPr>
        <w:ind w:left="484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19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/s/ Christopher Roberts</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Name: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3077845</wp:posOffset>
            </wp:positionH>
            <wp:positionV relativeFrom="paragraph">
              <wp:posOffset>-123190</wp:posOffset>
            </wp:positionV>
            <wp:extent cx="26111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0">
                      <a:extLst>
                        <a:ext uri="{28A0092B-C50C-407E-A947-70E740481C1C}"/>
                      </a:extLst>
                    </a:blip>
                    <a:srcRect/>
                    <a:stretch>
                      <a:fillRect/>
                    </a:stretch>
                  </pic:blipFill>
                  <pic:spPr bwMode="auto">
                    <a:xfrm>
                      <a:off x="0" y="0"/>
                      <a:ext cx="2611120" cy="8255"/>
                    </a:xfrm>
                    <a:prstGeom prst="rect">
                      <a:avLst/>
                    </a:prstGeom>
                    <a:noFill/>
                  </pic:spPr>
                </pic:pic>
              </a:graphicData>
            </a:graphic>
          </wp:anchor>
        </w:drawing>
      </w:r>
    </w:p>
    <w:p>
      <w:pPr>
        <w:ind w:left="4840"/>
        <w:spacing w:after="0"/>
        <w:rPr>
          <w:sz w:val="20"/>
          <w:szCs w:val="20"/>
          <w:color w:val="auto"/>
        </w:rPr>
      </w:pPr>
      <w:r>
        <w:rPr>
          <w:rFonts w:ascii="Times New Roman" w:cs="Times New Roman" w:eastAsia="Times New Roman" w:hAnsi="Times New Roman"/>
          <w:sz w:val="17"/>
          <w:szCs w:val="17"/>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1">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65" w:name="page166"/>
    <w:bookmarkEnd w:id="16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8120" w:type="dxa"/>
            <w:vAlign w:val="bottom"/>
            <w:gridSpan w:val="8"/>
          </w:tcPr>
          <w:p>
            <w:pPr>
              <w:ind w:left="2240"/>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8140" w:type="dxa"/>
            <w:vAlign w:val="bottom"/>
            <w:gridSpan w:val="9"/>
          </w:tcPr>
          <w:p>
            <w:pPr>
              <w:spacing w:after="0"/>
              <w:rPr>
                <w:sz w:val="20"/>
                <w:szCs w:val="20"/>
                <w:color w:val="auto"/>
              </w:rPr>
            </w:pPr>
            <w:r>
              <w:rPr>
                <w:rFonts w:ascii="Times New Roman" w:cs="Times New Roman" w:eastAsia="Times New Roman" w:hAnsi="Times New Roman"/>
                <w:sz w:val="17"/>
                <w:szCs w:val="17"/>
                <w:b w:val="1"/>
                <w:bCs w:val="1"/>
                <w:color w:val="auto"/>
              </w:rPr>
              <w:t>Audited consolidated financial statements — AC IMMUNE SA</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8120" w:type="dxa"/>
            <w:vAlign w:val="bottom"/>
            <w:gridSpan w:val="8"/>
            <w:shd w:val="clear" w:color="auto" w:fill="CCEEFF"/>
          </w:tcPr>
          <w:p>
            <w:pPr>
              <w:spacing w:after="0" w:line="165" w:lineRule="exact"/>
              <w:rPr>
                <w:sz w:val="20"/>
                <w:szCs w:val="20"/>
                <w:color w:val="auto"/>
              </w:rPr>
            </w:pPr>
            <w:r>
              <w:rPr>
                <w:rFonts w:ascii="Times New Roman" w:cs="Times New Roman" w:eastAsia="Times New Roman" w:hAnsi="Times New Roman"/>
                <w:sz w:val="17"/>
                <w:szCs w:val="17"/>
                <w:color w:val="0000EE"/>
              </w:rPr>
              <w:t xml:space="preserve">Report of independent registered public accounting firm </w:t>
            </w:r>
            <w:r>
              <w:rPr>
                <w:rFonts w:ascii="Times New Roman" w:cs="Times New Roman" w:eastAsia="Times New Roman" w:hAnsi="Times New Roman"/>
                <w:sz w:val="17"/>
                <w:szCs w:val="17"/>
                <w:b w:val="1"/>
                <w:bCs w:val="1"/>
                <w:color w:val="000000"/>
              </w:rPr>
              <w:t>(PCAOB ID 1358)</w:t>
            </w:r>
          </w:p>
        </w:tc>
        <w:tc>
          <w:tcPr>
            <w:tcW w:w="780" w:type="dxa"/>
            <w:vAlign w:val="bottom"/>
            <w:shd w:val="clear" w:color="auto" w:fill="CCEEFF"/>
          </w:tcPr>
          <w:p>
            <w:pPr>
              <w:ind w:left="420"/>
              <w:spacing w:after="0" w:line="165" w:lineRule="exact"/>
              <w:rPr>
                <w:sz w:val="20"/>
                <w:szCs w:val="20"/>
                <w:color w:val="auto"/>
              </w:rPr>
            </w:pPr>
            <w:r>
              <w:rPr>
                <w:rFonts w:ascii="Times New Roman" w:cs="Times New Roman" w:eastAsia="Times New Roman" w:hAnsi="Times New Roman"/>
                <w:sz w:val="17"/>
                <w:szCs w:val="17"/>
                <w:color w:val="auto"/>
              </w:rPr>
              <w:t>F-2</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32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Borders>
              <w:bottom w:val="single" w:sz="8" w:color="0000EE"/>
            </w:tcBorders>
            <w:vMerge w:val="continue"/>
          </w:tcPr>
          <w:p>
            <w:pPr>
              <w:spacing w:after="0"/>
              <w:rPr>
                <w:sz w:val="14"/>
                <w:szCs w:val="14"/>
                <w:color w:val="auto"/>
              </w:rPr>
            </w:pPr>
          </w:p>
        </w:tc>
        <w:tc>
          <w:tcPr>
            <w:tcW w:w="4360" w:type="dxa"/>
            <w:vAlign w:val="bottom"/>
            <w:tcBorders>
              <w:bottom w:val="single" w:sz="8" w:color="0000EE"/>
            </w:tcBorders>
            <w:gridSpan w:val="4"/>
          </w:tcPr>
          <w:p>
            <w:pPr>
              <w:spacing w:after="0" w:line="163" w:lineRule="exact"/>
              <w:rPr>
                <w:sz w:val="20"/>
                <w:szCs w:val="20"/>
                <w:color w:val="auto"/>
              </w:rPr>
            </w:pPr>
            <w:r>
              <w:rPr>
                <w:rFonts w:ascii="Times New Roman" w:cs="Times New Roman" w:eastAsia="Times New Roman" w:hAnsi="Times New Roman"/>
                <w:sz w:val="17"/>
                <w:szCs w:val="17"/>
                <w:color w:val="0000EE"/>
                <w:w w:val="98"/>
              </w:rPr>
              <w:t>Consolidated Balance Sheets as of December 31, 2025 and 2024</w:t>
            </w:r>
          </w:p>
        </w:tc>
        <w:tc>
          <w:tcPr>
            <w:tcW w:w="3760" w:type="dxa"/>
            <w:vAlign w:val="bottom"/>
            <w:gridSpan w:val="4"/>
          </w:tcPr>
          <w:p>
            <w:pPr>
              <w:spacing w:after="0"/>
              <w:rPr>
                <w:sz w:val="14"/>
                <w:szCs w:val="14"/>
                <w:color w:val="auto"/>
              </w:rPr>
            </w:pPr>
          </w:p>
        </w:tc>
        <w:tc>
          <w:tcPr>
            <w:tcW w:w="780" w:type="dxa"/>
            <w:vAlign w:val="bottom"/>
          </w:tcPr>
          <w:p>
            <w:pPr>
              <w:ind w:left="420"/>
              <w:spacing w:after="0" w:line="163" w:lineRule="exact"/>
              <w:rPr>
                <w:sz w:val="20"/>
                <w:szCs w:val="20"/>
                <w:color w:val="auto"/>
              </w:rPr>
            </w:pPr>
            <w:r>
              <w:rPr>
                <w:rFonts w:ascii="Times New Roman" w:cs="Times New Roman" w:eastAsia="Times New Roman" w:hAnsi="Times New Roman"/>
                <w:sz w:val="17"/>
                <w:szCs w:val="17"/>
                <w:color w:val="auto"/>
              </w:rPr>
              <w:t>F-5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20" w:type="dxa"/>
            <w:vAlign w:val="bottom"/>
            <w:gridSpan w:val="8"/>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rPr>
              <w:t>Consolidated Statements of Income/(Loss) and Consolidated Statements of Comprehensive Income/(Loss) for the</w:t>
            </w: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0000EE"/>
              <w:bottom w:val="single" w:sz="8" w:color="0000EE"/>
            </w:tcBorders>
          </w:tcPr>
          <w:p>
            <w:pPr>
              <w:spacing w:after="0"/>
              <w:rPr>
                <w:sz w:val="17"/>
                <w:szCs w:val="17"/>
                <w:color w:val="auto"/>
              </w:rPr>
            </w:pPr>
          </w:p>
        </w:tc>
        <w:tc>
          <w:tcPr>
            <w:tcW w:w="3660" w:type="dxa"/>
            <w:vAlign w:val="bottom"/>
            <w:tcBorders>
              <w:top w:val="single" w:sz="8" w:color="0000EE"/>
              <w:bottom w:val="single" w:sz="8" w:color="0000EE"/>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w w:val="98"/>
              </w:rPr>
              <w:t>fiscal years ended December 31, 2025, 2024 and 2023</w:t>
            </w:r>
          </w:p>
        </w:tc>
        <w:tc>
          <w:tcPr>
            <w:tcW w:w="4020" w:type="dxa"/>
            <w:vAlign w:val="bottom"/>
            <w:tcBorders>
              <w:top w:val="single" w:sz="8" w:color="0000EE"/>
              <w:bottom w:val="single" w:sz="8" w:color="CCEEFF"/>
            </w:tcBorders>
            <w:gridSpan w:val="5"/>
            <w:shd w:val="clear" w:color="auto" w:fill="CCEEFF"/>
          </w:tcPr>
          <w:p>
            <w:pPr>
              <w:spacing w:after="0"/>
              <w:rPr>
                <w:sz w:val="17"/>
                <w:szCs w:val="17"/>
                <w:color w:val="auto"/>
              </w:rPr>
            </w:pP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CCEEFF"/>
              <w:bottom w:val="single" w:sz="8" w:color="CCEEFF"/>
            </w:tcBorders>
            <w:shd w:val="clear" w:color="auto" w:fill="CCEEFF"/>
          </w:tcPr>
          <w:p>
            <w:pPr>
              <w:ind w:left="420"/>
              <w:spacing w:after="0" w:line="183" w:lineRule="exact"/>
              <w:rPr>
                <w:sz w:val="20"/>
                <w:szCs w:val="20"/>
                <w:color w:val="auto"/>
              </w:rPr>
            </w:pPr>
            <w:r>
              <w:rPr>
                <w:rFonts w:ascii="Times New Roman" w:cs="Times New Roman" w:eastAsia="Times New Roman" w:hAnsi="Times New Roman"/>
                <w:sz w:val="17"/>
                <w:szCs w:val="17"/>
                <w:color w:val="auto"/>
              </w:rPr>
              <w:t>F-6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120" w:type="dxa"/>
            <w:vAlign w:val="bottom"/>
            <w:gridSpan w:val="8"/>
          </w:tcPr>
          <w:p>
            <w:pPr>
              <w:spacing w:after="0" w:line="163" w:lineRule="exact"/>
              <w:rPr>
                <w:sz w:val="20"/>
                <w:szCs w:val="20"/>
                <w:color w:val="auto"/>
              </w:rPr>
            </w:pPr>
            <w:r>
              <w:rPr>
                <w:rFonts w:ascii="Times New Roman" w:cs="Times New Roman" w:eastAsia="Times New Roman" w:hAnsi="Times New Roman"/>
                <w:sz w:val="17"/>
                <w:szCs w:val="17"/>
                <w:color w:val="0000EE"/>
              </w:rPr>
              <w:t>Consolidated Statements of Changes in Equity for the fiscal years ended December 31, 2025, 2024 and 2023</w:t>
            </w:r>
          </w:p>
        </w:tc>
        <w:tc>
          <w:tcPr>
            <w:tcW w:w="780" w:type="dxa"/>
            <w:vAlign w:val="bottom"/>
          </w:tcPr>
          <w:p>
            <w:pPr>
              <w:ind w:left="420"/>
              <w:spacing w:after="0" w:line="163" w:lineRule="exact"/>
              <w:rPr>
                <w:sz w:val="20"/>
                <w:szCs w:val="20"/>
                <w:color w:val="auto"/>
              </w:rPr>
            </w:pPr>
            <w:r>
              <w:rPr>
                <w:rFonts w:ascii="Times New Roman" w:cs="Times New Roman" w:eastAsia="Times New Roman" w:hAnsi="Times New Roman"/>
                <w:sz w:val="17"/>
                <w:szCs w:val="17"/>
                <w:color w:val="auto"/>
              </w:rPr>
              <w:t>F-7</w:t>
            </w:r>
          </w:p>
        </w:tc>
        <w:tc>
          <w:tcPr>
            <w:tcW w:w="0" w:type="dxa"/>
            <w:vAlign w:val="bottom"/>
          </w:tcPr>
          <w:p>
            <w:pPr>
              <w:spacing w:after="0"/>
              <w:rPr>
                <w:sz w:val="1"/>
                <w:szCs w:val="1"/>
                <w:color w:val="auto"/>
              </w:rPr>
            </w:pPr>
          </w:p>
        </w:tc>
      </w:tr>
      <w:tr>
        <w:trPr>
          <w:trHeight w:val="203"/>
        </w:trPr>
        <w:tc>
          <w:tcPr>
            <w:tcW w:w="20" w:type="dxa"/>
            <w:vAlign w:val="bottom"/>
            <w:tcBorders>
              <w:top w:val="single" w:sz="8" w:color="0000EE"/>
            </w:tcBorders>
          </w:tcPr>
          <w:p>
            <w:pPr>
              <w:spacing w:after="0"/>
              <w:rPr>
                <w:sz w:val="17"/>
                <w:szCs w:val="17"/>
                <w:color w:val="auto"/>
              </w:rPr>
            </w:pPr>
          </w:p>
        </w:tc>
        <w:tc>
          <w:tcPr>
            <w:tcW w:w="7340" w:type="dxa"/>
            <w:vAlign w:val="bottom"/>
            <w:tcBorders>
              <w:top w:val="single" w:sz="8" w:color="0000EE"/>
            </w:tcBorders>
            <w:gridSpan w:val="6"/>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rPr>
              <w:t>Consolidated Statements of Cash Flows for the fiscal years ended December 31, 2025, 2024 and 2023</w:t>
            </w:r>
          </w:p>
        </w:tc>
        <w:tc>
          <w:tcPr>
            <w:tcW w:w="780" w:type="dxa"/>
            <w:vAlign w:val="bottom"/>
            <w:gridSpan w:val="2"/>
            <w:shd w:val="clear" w:color="auto" w:fill="CCEEFF"/>
          </w:tcPr>
          <w:p>
            <w:pPr>
              <w:spacing w:after="0"/>
              <w:rPr>
                <w:sz w:val="17"/>
                <w:szCs w:val="17"/>
                <w:color w:val="auto"/>
              </w:rPr>
            </w:pPr>
          </w:p>
        </w:tc>
        <w:tc>
          <w:tcPr>
            <w:tcW w:w="780" w:type="dxa"/>
            <w:vAlign w:val="bottom"/>
            <w:shd w:val="clear" w:color="auto" w:fill="CCEEFF"/>
          </w:tcPr>
          <w:p>
            <w:pPr>
              <w:ind w:left="420"/>
              <w:spacing w:after="0" w:line="183" w:lineRule="exact"/>
              <w:rPr>
                <w:sz w:val="20"/>
                <w:szCs w:val="20"/>
                <w:color w:val="auto"/>
              </w:rPr>
            </w:pPr>
            <w:r>
              <w:rPr>
                <w:rFonts w:ascii="Times New Roman" w:cs="Times New Roman" w:eastAsia="Times New Roman" w:hAnsi="Times New Roman"/>
                <w:sz w:val="17"/>
                <w:szCs w:val="17"/>
                <w:color w:val="auto"/>
              </w:rPr>
              <w:t>F-8</w:t>
            </w:r>
          </w:p>
        </w:tc>
        <w:tc>
          <w:tcPr>
            <w:tcW w:w="0" w:type="dxa"/>
            <w:vAlign w:val="bottom"/>
          </w:tcPr>
          <w:p>
            <w:pPr>
              <w:spacing w:after="0"/>
              <w:rPr>
                <w:sz w:val="1"/>
                <w:szCs w:val="1"/>
                <w:color w:val="auto"/>
              </w:rPr>
            </w:pPr>
          </w:p>
        </w:tc>
      </w:tr>
      <w:tr>
        <w:trPr>
          <w:trHeight w:val="163"/>
        </w:trPr>
        <w:tc>
          <w:tcPr>
            <w:tcW w:w="20" w:type="dxa"/>
            <w:vAlign w:val="bottom"/>
            <w:tcBorders>
              <w:top w:val="single" w:sz="8" w:color="0000EE"/>
              <w:bottom w:val="single" w:sz="8" w:color="0000EE"/>
            </w:tcBorders>
          </w:tcPr>
          <w:p>
            <w:pPr>
              <w:spacing w:after="0"/>
              <w:rPr>
                <w:sz w:val="14"/>
                <w:szCs w:val="14"/>
                <w:color w:val="auto"/>
              </w:rPr>
            </w:pPr>
          </w:p>
        </w:tc>
        <w:tc>
          <w:tcPr>
            <w:tcW w:w="3200" w:type="dxa"/>
            <w:vAlign w:val="bottom"/>
            <w:tcBorders>
              <w:top w:val="single" w:sz="8" w:color="0000EE"/>
              <w:bottom w:val="single" w:sz="8" w:color="0000EE"/>
            </w:tcBorders>
          </w:tcPr>
          <w:p>
            <w:pPr>
              <w:spacing w:after="0" w:line="163" w:lineRule="exact"/>
              <w:rPr>
                <w:sz w:val="20"/>
                <w:szCs w:val="20"/>
                <w:color w:val="auto"/>
              </w:rPr>
            </w:pPr>
            <w:r>
              <w:rPr>
                <w:rFonts w:ascii="Times New Roman" w:cs="Times New Roman" w:eastAsia="Times New Roman" w:hAnsi="Times New Roman"/>
                <w:sz w:val="17"/>
                <w:szCs w:val="17"/>
                <w:color w:val="0000EE"/>
                <w:w w:val="98"/>
              </w:rPr>
              <w:t>Notes to the Consolidated Financial Statements</w:t>
            </w:r>
          </w:p>
        </w:tc>
        <w:tc>
          <w:tcPr>
            <w:tcW w:w="3680" w:type="dxa"/>
            <w:vAlign w:val="bottom"/>
            <w:tcBorders>
              <w:top w:val="single" w:sz="8" w:color="0000EE"/>
            </w:tcBorders>
            <w:gridSpan w:val="4"/>
          </w:tcPr>
          <w:p>
            <w:pPr>
              <w:spacing w:after="0"/>
              <w:rPr>
                <w:sz w:val="14"/>
                <w:szCs w:val="14"/>
                <w:color w:val="auto"/>
              </w:rPr>
            </w:pPr>
          </w:p>
        </w:tc>
        <w:tc>
          <w:tcPr>
            <w:tcW w:w="1240" w:type="dxa"/>
            <w:vAlign w:val="bottom"/>
            <w:tcBorders>
              <w:top w:val="single" w:sz="8" w:color="CCEEFF"/>
            </w:tcBorders>
            <w:gridSpan w:val="3"/>
          </w:tcPr>
          <w:p>
            <w:pPr>
              <w:spacing w:after="0"/>
              <w:rPr>
                <w:sz w:val="14"/>
                <w:szCs w:val="14"/>
                <w:color w:val="auto"/>
              </w:rPr>
            </w:pPr>
          </w:p>
        </w:tc>
        <w:tc>
          <w:tcPr>
            <w:tcW w:w="780" w:type="dxa"/>
            <w:vAlign w:val="bottom"/>
            <w:tcBorders>
              <w:top w:val="single" w:sz="8" w:color="CCEEFF"/>
            </w:tcBorders>
          </w:tcPr>
          <w:p>
            <w:pPr>
              <w:ind w:left="420"/>
              <w:spacing w:after="0" w:line="163" w:lineRule="exact"/>
              <w:rPr>
                <w:sz w:val="20"/>
                <w:szCs w:val="20"/>
                <w:color w:val="auto"/>
              </w:rPr>
            </w:pPr>
            <w:r>
              <w:rPr>
                <w:rFonts w:ascii="Times New Roman" w:cs="Times New Roman" w:eastAsia="Times New Roman" w:hAnsi="Times New Roman"/>
                <w:sz w:val="17"/>
                <w:szCs w:val="17"/>
                <w:color w:val="auto"/>
              </w:rPr>
              <w:t>F-9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2">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66" w:name="page167"/>
    <w:bookmarkEnd w:id="16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To the Board of Directors and Shareholders of AC Immune SA</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Opinions on the Financial Statements and Internal Control over Financial Reporting</w:t>
      </w:r>
    </w:p>
    <w:p>
      <w:pPr>
        <w:spacing w:after="0" w:line="240" w:lineRule="exact"/>
        <w:rPr>
          <w:sz w:val="20"/>
          <w:szCs w:val="20"/>
          <w:color w:val="auto"/>
        </w:rPr>
      </w:pPr>
    </w:p>
    <w:p>
      <w:pPr>
        <w:ind w:left="40" w:right="159"/>
        <w:spacing w:after="0" w:line="270" w:lineRule="auto"/>
        <w:rPr>
          <w:sz w:val="20"/>
          <w:szCs w:val="20"/>
          <w:color w:val="auto"/>
        </w:rPr>
      </w:pPr>
      <w:r>
        <w:rPr>
          <w:rFonts w:ascii="Times New Roman" w:cs="Times New Roman" w:eastAsia="Times New Roman" w:hAnsi="Times New Roman"/>
          <w:sz w:val="17"/>
          <w:szCs w:val="17"/>
          <w:color w:val="auto"/>
        </w:rPr>
        <w:t xml:space="preserve">We have audited the accompanying consolidated balance sheets of AC Immune SA and its subsidiary (the “Company”) as of December 31, 2025 and 2024, and the related consolidated statements of income/(loss), of comprehensive income/(loss), of changes in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(2013) issued by the Committee of Sponsoring Organizations of the Treadway Commission (COSO).</w:t>
      </w:r>
    </w:p>
    <w:p>
      <w:pPr>
        <w:spacing w:after="0" w:line="115" w:lineRule="exact"/>
        <w:rPr>
          <w:sz w:val="20"/>
          <w:szCs w:val="20"/>
          <w:color w:val="auto"/>
        </w:rPr>
      </w:pPr>
    </w:p>
    <w:p>
      <w:pPr>
        <w:ind w:left="40" w:right="59"/>
        <w:spacing w:after="0" w:line="270" w:lineRule="auto"/>
        <w:rPr>
          <w:sz w:val="20"/>
          <w:szCs w:val="20"/>
          <w:color w:val="auto"/>
        </w:rPr>
      </w:pPr>
      <w:r>
        <w:rPr>
          <w:rFonts w:ascii="Times New Roman" w:cs="Times New Roman" w:eastAsia="Times New Roman" w:hAnsi="Times New Roman"/>
          <w:sz w:val="17"/>
          <w:szCs w:val="17"/>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IFRS Accounting Standards as issued by the International Accounting Standards Board.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(2013) issued by the COSO.</w:t>
      </w:r>
    </w:p>
    <w:p>
      <w:pPr>
        <w:spacing w:after="0" w:line="3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Basis for Opinions</w:t>
      </w:r>
    </w:p>
    <w:p>
      <w:pPr>
        <w:spacing w:after="0" w:line="240" w:lineRule="exact"/>
        <w:rPr>
          <w:sz w:val="20"/>
          <w:szCs w:val="20"/>
          <w:color w:val="auto"/>
        </w:rPr>
      </w:pPr>
    </w:p>
    <w:p>
      <w:pPr>
        <w:ind w:left="40" w:right="119"/>
        <w:spacing w:after="0" w:line="289" w:lineRule="auto"/>
        <w:rPr>
          <w:sz w:val="20"/>
          <w:szCs w:val="20"/>
          <w:color w:val="auto"/>
        </w:rPr>
      </w:pPr>
      <w:r>
        <w:rPr>
          <w:rFonts w:ascii="Times New Roman" w:cs="Times New Roman" w:eastAsia="Times New Roman" w:hAnsi="Times New Roman"/>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appearing under Item 15B.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9" w:lineRule="exact"/>
        <w:rPr>
          <w:sz w:val="20"/>
          <w:szCs w:val="20"/>
          <w:color w:val="auto"/>
        </w:rPr>
      </w:pPr>
    </w:p>
    <w:p>
      <w:pPr>
        <w:ind w:left="40" w:right="279"/>
        <w:spacing w:after="0" w:line="27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10" w:lineRule="exact"/>
        <w:rPr>
          <w:sz w:val="20"/>
          <w:szCs w:val="20"/>
          <w:color w:val="auto"/>
        </w:rPr>
      </w:pPr>
    </w:p>
    <w:p>
      <w:pPr>
        <w:ind w:left="40" w:right="179"/>
        <w:spacing w:after="0" w:line="268"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3">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67" w:name="page168"/>
    <w:bookmarkEnd w:id="16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Definition and Limitations of Internal Control over Financial Reporting</w:t>
      </w:r>
    </w:p>
    <w:p>
      <w:pPr>
        <w:spacing w:after="0" w:line="240" w:lineRule="exact"/>
        <w:rPr>
          <w:sz w:val="20"/>
          <w:szCs w:val="20"/>
          <w:color w:val="auto"/>
        </w:rPr>
      </w:pPr>
    </w:p>
    <w:p>
      <w:pPr>
        <w:ind w:left="40" w:right="199"/>
        <w:spacing w:after="0" w:line="286"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spacing w:after="0" w:line="2" w:lineRule="exact"/>
        <w:rPr>
          <w:sz w:val="20"/>
          <w:szCs w:val="20"/>
          <w:color w:val="auto"/>
        </w:rPr>
      </w:pPr>
    </w:p>
    <w:p>
      <w:pPr>
        <w:ind w:left="40" w:right="199" w:firstLine="5"/>
        <w:spacing w:after="0" w:line="270" w:lineRule="auto"/>
        <w:tabs>
          <w:tab w:leader="none" w:pos="242"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02" w:lineRule="exact"/>
        <w:rPr>
          <w:sz w:val="20"/>
          <w:szCs w:val="20"/>
          <w:color w:val="auto"/>
        </w:rPr>
      </w:pPr>
    </w:p>
    <w:p>
      <w:pPr>
        <w:ind w:left="40" w:right="119"/>
        <w:spacing w:after="0" w:line="286"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Critical Audit Matters</w:t>
      </w:r>
    </w:p>
    <w:p>
      <w:pPr>
        <w:spacing w:after="0" w:line="240" w:lineRule="exact"/>
        <w:rPr>
          <w:sz w:val="20"/>
          <w:szCs w:val="20"/>
          <w:color w:val="auto"/>
        </w:rPr>
      </w:pPr>
    </w:p>
    <w:p>
      <w:pPr>
        <w:ind w:left="40" w:right="379"/>
        <w:spacing w:after="0" w:line="270"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Intangible asset – valuation</w:t>
      </w:r>
    </w:p>
    <w:p>
      <w:pPr>
        <w:spacing w:after="0" w:line="164" w:lineRule="exact"/>
        <w:rPr>
          <w:sz w:val="20"/>
          <w:szCs w:val="20"/>
          <w:color w:val="auto"/>
        </w:rPr>
      </w:pPr>
    </w:p>
    <w:p>
      <w:pPr>
        <w:ind w:left="40" w:right="139"/>
        <w:spacing w:after="0" w:line="268" w:lineRule="auto"/>
        <w:rPr>
          <w:sz w:val="20"/>
          <w:szCs w:val="20"/>
          <w:color w:val="auto"/>
        </w:rPr>
      </w:pPr>
      <w:r>
        <w:rPr>
          <w:rFonts w:ascii="Times New Roman" w:cs="Times New Roman" w:eastAsia="Times New Roman" w:hAnsi="Times New Roman"/>
          <w:sz w:val="17"/>
          <w:szCs w:val="17"/>
          <w:color w:val="auto"/>
        </w:rPr>
        <w:t>As described in Note 6 to the consolidated financial statements, the Company has CHF 50.4 million of an in-process research and development (IPR&amp;D) intangible asset as of December 31, 2025. The asset is not yet ready for use until the asset obtains market approval. Therefore, in accordance with IAS 36 ‘Impairment of asset’, the IPR&amp;D asset is reviewed at least annually for impairment by assessing the fair value less costs to sell (recoverable amount) and comparing this to the carrying value of the asset. The significant assumptions used in the model include anticipated research and development costs, anticipated costs of goods and sales and marketing expenditures, probability of achieving clinical and regulatory development milestones in accordance with certain industry benchmarks, target indication prevalence and incidence rates, anticipated market share, general commercialization expectations such as anticipated pricing and uptake, expected patent life and market exclusivity periods, and the discount rate used to discount future cash flows. The Company’s valuation model calculates the risk-adjusted, net cash flows through the period of market exclusivity across target sales regions.</w:t>
      </w:r>
    </w:p>
    <w:p>
      <w:pPr>
        <w:spacing w:after="0" w:line="114" w:lineRule="exact"/>
        <w:rPr>
          <w:sz w:val="20"/>
          <w:szCs w:val="20"/>
          <w:color w:val="auto"/>
        </w:rPr>
      </w:pPr>
    </w:p>
    <w:p>
      <w:pPr>
        <w:ind w:left="40" w:right="199"/>
        <w:spacing w:after="0" w:line="268" w:lineRule="auto"/>
        <w:rPr>
          <w:sz w:val="20"/>
          <w:szCs w:val="20"/>
          <w:color w:val="auto"/>
        </w:rPr>
      </w:pPr>
      <w:r>
        <w:rPr>
          <w:rFonts w:ascii="Times New Roman" w:cs="Times New Roman" w:eastAsia="Times New Roman" w:hAnsi="Times New Roman"/>
          <w:sz w:val="17"/>
          <w:szCs w:val="17"/>
          <w:color w:val="auto"/>
        </w:rPr>
        <w:t>The principal considerations for our determination that performing procedures relating to the intangible asset – valuation is a critical audit matter are (i) the significant judgment by management when determining the value of the intangible asset; (ii) a high degree of auditor judgment, subjectivity and effort in performing procedures and evaluating the audit evidence obtained related to the valuation of the intangible asset and management’s assumptions related to anticipated research and development costs, anticipated costs of goods and sales and marketing expenditures, probability of achieving clinical and regulatory development milestones in accordance with certain industry benchmarks, target indication prevalence and incidence rates, anticipated market share, general commercialization expectations such as anticipated pricing and uptake, expected patent life and market exclusivity periods, and the discount rate used to discount future cash flows; and (iii) the audit effort involved the use of professionals with specialized skill and knowledge.</w:t>
      </w:r>
    </w:p>
    <w:p>
      <w:pPr>
        <w:spacing w:after="0" w:line="117" w:lineRule="exact"/>
        <w:rPr>
          <w:sz w:val="20"/>
          <w:szCs w:val="20"/>
          <w:color w:val="auto"/>
        </w:rPr>
      </w:pPr>
    </w:p>
    <w:p>
      <w:pPr>
        <w:ind w:left="40" w:right="539"/>
        <w:spacing w:after="0" w:line="293" w:lineRule="auto"/>
        <w:rPr>
          <w:sz w:val="20"/>
          <w:szCs w:val="20"/>
          <w:color w:val="auto"/>
        </w:rPr>
      </w:pPr>
      <w:r>
        <w:rPr>
          <w:rFonts w:ascii="Times New Roman" w:cs="Times New Roman" w:eastAsia="Times New Roman" w:hAnsi="Times New Roman"/>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4">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68" w:name="page169"/>
    <w:bookmarkEnd w:id="16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 w:right="99"/>
        <w:spacing w:after="0" w:line="268" w:lineRule="auto"/>
        <w:rPr>
          <w:sz w:val="20"/>
          <w:szCs w:val="20"/>
          <w:color w:val="auto"/>
        </w:rPr>
      </w:pPr>
      <w:r>
        <w:rPr>
          <w:rFonts w:ascii="Times New Roman" w:cs="Times New Roman" w:eastAsia="Times New Roman" w:hAnsi="Times New Roman"/>
          <w:sz w:val="17"/>
          <w:szCs w:val="17"/>
          <w:color w:val="auto"/>
        </w:rPr>
        <w:t>relating to management’s valuation of the intangible asset. These procedures also included, among others, (i) testing management’s process for developing the fair value estimate; (ii) evaluating the appropriateness of the discounted cash flow model; (iii) testing the completeness and accuracy of underlying data used in the model; and (iv) evaluating the reasonableness of the significant assumptions used by management related to anticipated research and development costs, anticipated costs of goods and sales and marketing expenditures, probability of achieving clinical and regulatory development milestones in accordance with certain industry benchmarks, target indication prevalence and incidence rates, anticipated market share, general commercialization expectations such as anticipated pricing and uptake, expected patent life and market exclusivity periods, and the discount rate used to discount future cash flows. Evaluating management’s assumptions related to anticipated research and development costs, anticipated costs of goods and sales and marketing expenditures, probability of achieving clinical and regulatory development milestones in accordance with certain industry benchmarks, target indication prevalence and incidence rates, anticipated market share, general commercialization expectations such as anticipated pricing and uptake, expected patent life and market exclusivity periods, involved evaluating whether the assumption used by management were reasonable considering (i) the consistency with market and industry data; and (ii) whether these assumptions were consistent with evidence obtained in other areas of the audit. Professionals with specialized skill and knowledge were used to assist in the evaluation of the Company’s discounted cash flow model and the discount rate assumption.</w:t>
      </w:r>
    </w:p>
    <w:p>
      <w:pPr>
        <w:spacing w:after="0" w:line="200" w:lineRule="exact"/>
        <w:rPr>
          <w:sz w:val="20"/>
          <w:szCs w:val="20"/>
          <w:color w:val="auto"/>
        </w:rPr>
      </w:pP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PricewaterhouseCoopers SA</w:t>
      </w: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Lausanne, Switzerland</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March 13, 2026</w:t>
      </w:r>
    </w:p>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5">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69" w:name="page170"/>
    <w:bookmarkEnd w:id="16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Consolidated Financial Statements (IFRS Accounting Standards)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AC Immune SA</w:t>
      </w:r>
    </w:p>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(In CHF thousands)</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3"/>
          </w:tcPr>
          <w:p>
            <w:pPr>
              <w:jc w:val="center"/>
              <w:ind w:left="637"/>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140" w:type="dxa"/>
            <w:vAlign w:val="bottom"/>
          </w:tcPr>
          <w:p>
            <w:pPr>
              <w:ind w:left="604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1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6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23"/>
        </w:trPr>
        <w:tc>
          <w:tcPr>
            <w:tcW w:w="61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Non-current assets</w:t>
            </w:r>
          </w:p>
        </w:tc>
        <w:tc>
          <w:tcPr>
            <w:tcW w:w="6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Right-of-use assets</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Long-term financial assets</w:t>
            </w:r>
          </w:p>
        </w:tc>
        <w:tc>
          <w:tcPr>
            <w:tcW w:w="6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non-current assets</w:t>
            </w:r>
          </w:p>
        </w:tc>
        <w:tc>
          <w:tcPr>
            <w:tcW w:w="6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57,529</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94"/>
        </w:trPr>
        <w:tc>
          <w:tcPr>
            <w:tcW w:w="20" w:type="dxa"/>
            <w:vAlign w:val="bottom"/>
            <w:vMerge w:val="restart"/>
          </w:tcPr>
          <w:p>
            <w:pPr>
              <w:spacing w:after="0"/>
              <w:rPr>
                <w:sz w:val="16"/>
                <w:szCs w:val="16"/>
                <w:color w:val="auto"/>
              </w:rPr>
            </w:pPr>
          </w:p>
        </w:tc>
        <w:tc>
          <w:tcPr>
            <w:tcW w:w="6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Prepaid expenses</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8</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income</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8/13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Other current receivables</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financial assets</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6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3"/>
              </w:rPr>
              <w:t>7</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26,795</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36,275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6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96,722</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171,994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160" w:type="dxa"/>
            <w:vAlign w:val="bottom"/>
            <w:gridSpan w:val="2"/>
            <w:vMerge w:val="continue"/>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154,251</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230,913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1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Shareholders' equity and liabilities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Shareholders’ equity</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capital</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Share premium</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481,863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478,506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Treasury shares</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Currency translation differences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losses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(439,021)</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(368,239)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1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shareholders’ equity</w:t>
            </w: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44,884</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112,270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1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Non-current liabilities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deferred contract revenue</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Long-term lease liabilities</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employee defined benefit liabilities</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17</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8,646</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1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non-current liabilities</w:t>
            </w: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14,674</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17,805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1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 and other payables</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Accrued expenses</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9/12</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deferred contract revenue</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Short-term lease liabilities</w:t>
            </w:r>
          </w:p>
        </w:tc>
        <w:tc>
          <w:tcPr>
            <w:tcW w:w="6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6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94,693</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100,838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160" w:type="dxa"/>
            <w:vAlign w:val="bottom"/>
            <w:gridSpan w:val="2"/>
            <w:vMerge w:val="continue"/>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109,367</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118,643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4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shareholders’ equity and liabilities</w:t>
            </w:r>
          </w:p>
        </w:tc>
        <w:tc>
          <w:tcPr>
            <w:tcW w:w="6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154,251</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230,913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6">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70" w:name="page171"/>
    <w:bookmarkEnd w:id="17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AC Immune SA</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Consolidated Statements of Income/(Loss)</w:t>
      </w:r>
    </w:p>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 CHF thousands, except for per-share data)</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8"/>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w w:val="95"/>
              </w:rPr>
              <w:t>For the Year Ended</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Contract revenue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27,309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3,573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27,309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14,801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&amp; development expenses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(56,436)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(62,570)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General &amp; administrative expenses</w:t>
            </w:r>
          </w:p>
        </w:tc>
        <w:tc>
          <w:tcPr>
            <w:tcW w:w="1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(16,094)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(17,259)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operating income/(expense), net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Restructuring expenses, net</w:t>
            </w:r>
          </w:p>
        </w:tc>
        <w:tc>
          <w:tcPr>
            <w:tcW w:w="1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(72,891)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(79,687)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Operating loss</w:t>
            </w: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(69,318)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(52,378)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(53,624)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Financial income</w:t>
            </w:r>
          </w:p>
        </w:tc>
        <w:tc>
          <w:tcPr>
            <w:tcW w:w="1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Financial expense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Exchange differences</w:t>
            </w:r>
          </w:p>
        </w:tc>
        <w:tc>
          <w:tcPr>
            <w:tcW w:w="18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3"/>
              </w:rPr>
              <w:t>14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(2,803)</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(1,598)</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Finance result, net</w:t>
            </w:r>
          </w:p>
        </w:tc>
        <w:tc>
          <w:tcPr>
            <w:tcW w:w="1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(1,129)</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1,465</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restart"/>
          </w:tcPr>
          <w:p>
            <w:pPr>
              <w:spacing w:after="0"/>
              <w:rPr>
                <w:sz w:val="16"/>
                <w:szCs w:val="16"/>
                <w:color w:val="auto"/>
              </w:rPr>
            </w:pPr>
          </w:p>
        </w:tc>
        <w:tc>
          <w:tcPr>
            <w:tcW w:w="5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Loss before tax</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(70,447)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(50,913)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1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Loss for the period</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(70,447)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(50,916)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94"/>
        </w:trPr>
        <w:tc>
          <w:tcPr>
            <w:tcW w:w="20" w:type="dxa"/>
            <w:vAlign w:val="bottom"/>
            <w:vMerge w:val="restart"/>
          </w:tcPr>
          <w:p>
            <w:pPr>
              <w:spacing w:after="0"/>
              <w:rPr>
                <w:sz w:val="16"/>
                <w:szCs w:val="16"/>
                <w:color w:val="auto"/>
              </w:rPr>
            </w:pPr>
          </w:p>
        </w:tc>
        <w:tc>
          <w:tcPr>
            <w:tcW w:w="5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per share: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Basic and diluted loss for the period attributable to equity holders</w:t>
            </w:r>
          </w:p>
        </w:tc>
        <w:tc>
          <w:tcPr>
            <w:tcW w:w="18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Income/(Loss)</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 CHF thousands)</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8"/>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w w:val="95"/>
              </w:rPr>
              <w:t>For the Year Ended</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15"/>
                <w:szCs w:val="15"/>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for the period</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(70,447)</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(50,916)</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Items that may be reclassified to income or loss in subsequent periods (net of</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tax):</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Currency translation differences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Items that will not to be reclassified to income or loss in subsequent periods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(net of tax):</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Remeasurement gains/(losses) on defined-benefit plans (net of tax)</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comprehensive income/(loss)</w:t>
            </w:r>
          </w:p>
        </w:tc>
        <w:tc>
          <w:tcPr>
            <w:tcW w:w="18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(1,341)</w:t>
            </w: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(3,038)</w:t>
            </w: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0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comprehensive loss, net of tax</w:t>
            </w: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(71,788)</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(53,954)</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(55,963)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7">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71" w:name="page172"/>
    <w:bookmarkEnd w:id="17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AC Immune SA</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Equity</w:t>
      </w:r>
    </w:p>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(In CHF thousands)</w:t>
      </w:r>
    </w:p>
    <w:p>
      <w:pPr>
        <w:spacing w:after="0" w:line="308" w:lineRule="exact"/>
        <w:rPr>
          <w:sz w:val="20"/>
          <w:szCs w:val="20"/>
          <w:color w:val="auto"/>
        </w:rPr>
      </w:pPr>
    </w:p>
    <w:tbl>
      <w:tblPr>
        <w:tblLayout w:type="fixed"/>
        <w:tblInd w:w="4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Currency</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01"/>
              <w:spacing w:after="0"/>
              <w:rPr>
                <w:sz w:val="20"/>
                <w:szCs w:val="20"/>
                <w:color w:val="auto"/>
              </w:rPr>
            </w:pPr>
            <w:r>
              <w:rPr>
                <w:rFonts w:ascii="Times New Roman" w:cs="Times New Roman" w:eastAsia="Times New Roman" w:hAnsi="Times New Roman"/>
                <w:sz w:val="12"/>
                <w:szCs w:val="12"/>
                <w:b w:val="1"/>
                <w:bCs w:val="1"/>
                <w:color w:val="auto"/>
              </w:rPr>
              <w:t>Share</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21"/>
              <w:spacing w:after="0"/>
              <w:rPr>
                <w:sz w:val="20"/>
                <w:szCs w:val="20"/>
                <w:color w:val="auto"/>
              </w:rPr>
            </w:pPr>
            <w:r>
              <w:rPr>
                <w:rFonts w:ascii="Times New Roman" w:cs="Times New Roman" w:eastAsia="Times New Roman" w:hAnsi="Times New Roman"/>
                <w:sz w:val="12"/>
                <w:szCs w:val="12"/>
                <w:b w:val="1"/>
                <w:bCs w:val="1"/>
                <w:color w:val="auto"/>
              </w:rPr>
              <w:t>Share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Treasury</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translation</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00" w:type="dxa"/>
            <w:vAlign w:val="bottom"/>
            <w:gridSpan w:val="2"/>
          </w:tcPr>
          <w:p>
            <w:pPr>
              <w:ind w:left="3240"/>
              <w:spacing w:after="0"/>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tcPr>
          <w:p>
            <w:pPr>
              <w:jc w:val="center"/>
              <w:ind w:right="21"/>
              <w:spacing w:after="0"/>
              <w:rPr>
                <w:sz w:val="20"/>
                <w:szCs w:val="20"/>
                <w:color w:val="auto"/>
              </w:rPr>
            </w:pPr>
            <w:r>
              <w:rPr>
                <w:rFonts w:ascii="Times New Roman" w:cs="Times New Roman" w:eastAsia="Times New Roman" w:hAnsi="Times New Roman"/>
                <w:sz w:val="12"/>
                <w:szCs w:val="12"/>
                <w:b w:val="1"/>
                <w:bCs w:val="1"/>
                <w:color w:val="auto"/>
                <w:w w:val="91"/>
              </w:rPr>
              <w:t>Note</w:t>
            </w:r>
          </w:p>
        </w:tc>
        <w:tc>
          <w:tcPr>
            <w:tcW w:w="780" w:type="dxa"/>
            <w:vAlign w:val="bottom"/>
            <w:gridSpan w:val="2"/>
          </w:tcPr>
          <w:p>
            <w:pPr>
              <w:jc w:val="right"/>
              <w:ind w:right="81"/>
              <w:spacing w:after="0"/>
              <w:rPr>
                <w:sz w:val="20"/>
                <w:szCs w:val="20"/>
                <w:color w:val="auto"/>
              </w:rPr>
            </w:pPr>
            <w:r>
              <w:rPr>
                <w:rFonts w:ascii="Times New Roman" w:cs="Times New Roman" w:eastAsia="Times New Roman" w:hAnsi="Times New Roman"/>
                <w:sz w:val="12"/>
                <w:szCs w:val="12"/>
                <w:b w:val="1"/>
                <w:bCs w:val="1"/>
                <w:color w:val="auto"/>
              </w:rPr>
              <w:t>​​​   capital</w:t>
            </w:r>
          </w:p>
        </w:tc>
        <w:tc>
          <w:tcPr>
            <w:tcW w:w="40" w:type="dxa"/>
            <w:vAlign w:val="bottom"/>
          </w:tcPr>
          <w:p>
            <w:pPr>
              <w:spacing w:after="0"/>
              <w:rPr>
                <w:sz w:val="14"/>
                <w:szCs w:val="14"/>
                <w:color w:val="auto"/>
              </w:rPr>
            </w:pPr>
          </w:p>
        </w:tc>
        <w:tc>
          <w:tcPr>
            <w:tcW w:w="800" w:type="dxa"/>
            <w:vAlign w:val="bottom"/>
            <w:gridSpan w:val="2"/>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  premium</w:t>
            </w:r>
          </w:p>
        </w:tc>
        <w:tc>
          <w:tcPr>
            <w:tcW w:w="20" w:type="dxa"/>
            <w:vAlign w:val="bottom"/>
          </w:tcPr>
          <w:p>
            <w:pPr>
              <w:spacing w:after="0"/>
              <w:rPr>
                <w:sz w:val="14"/>
                <w:szCs w:val="14"/>
                <w:color w:val="auto"/>
              </w:rPr>
            </w:pP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losses</w:t>
            </w: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differences  ​​​</w:t>
            </w:r>
          </w:p>
        </w:tc>
        <w:tc>
          <w:tcPr>
            <w:tcW w:w="580" w:type="dxa"/>
            <w:vAlign w:val="bottom"/>
          </w:tcPr>
          <w:p>
            <w:pPr>
              <w:jc w:val="right"/>
              <w:ind w:right="161"/>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as of January 1, 2023</w:t>
            </w:r>
          </w:p>
        </w:tc>
        <w:tc>
          <w:tcPr>
            <w:tcW w:w="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1,797</w:t>
            </w:r>
          </w:p>
        </w:tc>
        <w:tc>
          <w:tcPr>
            <w:tcW w:w="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431,323</w:t>
            </w: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(264,015)</w:t>
            </w:r>
          </w:p>
        </w:tc>
        <w:tc>
          <w:tcPr>
            <w:tcW w:w="1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168,991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Loss for the period</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(54,233)</w:t>
            </w:r>
          </w:p>
        </w:tc>
        <w:tc>
          <w:tcPr>
            <w:tcW w:w="160" w:type="dxa"/>
            <w:vAlign w:val="bottom"/>
          </w:tcPr>
          <w:p>
            <w:pPr>
              <w:spacing w:after="0"/>
              <w:rPr>
                <w:sz w:val="13"/>
                <w:szCs w:val="13"/>
                <w:color w:val="auto"/>
              </w:rPr>
            </w:pPr>
          </w:p>
        </w:tc>
        <w:tc>
          <w:tcPr>
            <w:tcW w:w="94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(54,233)</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comprehensive loss</w:t>
            </w:r>
          </w:p>
        </w:tc>
        <w:tc>
          <w:tcPr>
            <w:tcW w:w="460" w:type="dxa"/>
            <w:vAlign w:val="bottom"/>
            <w:shd w:val="clear" w:color="auto" w:fill="CCEEFF"/>
          </w:tcPr>
          <w:p>
            <w:pPr>
              <w:jc w:val="center"/>
              <w:ind w:right="21"/>
              <w:spacing w:after="0"/>
              <w:rPr>
                <w:sz w:val="20"/>
                <w:szCs w:val="20"/>
                <w:color w:val="auto"/>
              </w:rPr>
            </w:pPr>
            <w:r>
              <w:rPr>
                <w:rFonts w:ascii="Times New Roman" w:cs="Times New Roman" w:eastAsia="Times New Roman" w:hAnsi="Times New Roman"/>
                <w:sz w:val="12"/>
                <w:szCs w:val="12"/>
                <w:color w:val="auto"/>
                <w:w w:val="82"/>
              </w:rPr>
              <w:t>17</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(1,669)</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(1,730)</w:t>
            </w:r>
          </w:p>
        </w:tc>
        <w:tc>
          <w:tcPr>
            <w:tcW w:w="0" w:type="dxa"/>
            <w:vAlign w:val="bottom"/>
          </w:tcPr>
          <w:p>
            <w:pPr>
              <w:spacing w:after="0"/>
              <w:rPr>
                <w:sz w:val="1"/>
                <w:szCs w:val="1"/>
                <w:color w:val="auto"/>
              </w:rPr>
            </w:pPr>
          </w:p>
        </w:tc>
      </w:tr>
      <w:tr>
        <w:trPr>
          <w:trHeight w:val="185"/>
        </w:trPr>
        <w:tc>
          <w:tcPr>
            <w:tcW w:w="34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Total comprehensive loss</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top w:val="single" w:sz="8" w:color="auto"/>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top w:val="single" w:sz="8" w:color="auto"/>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(55,902)</w:t>
            </w:r>
          </w:p>
        </w:tc>
        <w:tc>
          <w:tcPr>
            <w:tcW w:w="16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16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(55,963)</w:t>
            </w: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33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Share-based payments</w:t>
            </w:r>
          </w:p>
        </w:tc>
        <w:tc>
          <w:tcPr>
            <w:tcW w:w="460" w:type="dxa"/>
            <w:vAlign w:val="bottom"/>
          </w:tcPr>
          <w:p>
            <w:pPr>
              <w:jc w:val="center"/>
              <w:ind w:right="21"/>
              <w:spacing w:after="0"/>
              <w:rPr>
                <w:sz w:val="20"/>
                <w:szCs w:val="20"/>
                <w:color w:val="auto"/>
              </w:rPr>
            </w:pPr>
            <w:r>
              <w:rPr>
                <w:rFonts w:ascii="Times New Roman" w:cs="Times New Roman" w:eastAsia="Times New Roman" w:hAnsi="Times New Roman"/>
                <w:sz w:val="12"/>
                <w:szCs w:val="12"/>
                <w:color w:val="auto"/>
                <w:w w:val="82"/>
              </w:rPr>
              <w:t>18</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4,365</w:t>
            </w:r>
          </w:p>
        </w:tc>
        <w:tc>
          <w:tcPr>
            <w:tcW w:w="160" w:type="dxa"/>
            <w:vAlign w:val="bottom"/>
          </w:tcPr>
          <w:p>
            <w:pPr>
              <w:spacing w:after="0"/>
              <w:rPr>
                <w:sz w:val="13"/>
                <w:szCs w:val="13"/>
                <w:color w:val="auto"/>
              </w:rPr>
            </w:pPr>
          </w:p>
        </w:tc>
        <w:tc>
          <w:tcPr>
            <w:tcW w:w="94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4,365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40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Proceeds from public offerings, net of underwriting fees,</w:t>
            </w: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transaction costs and stamp duty</w:t>
            </w:r>
          </w:p>
        </w:tc>
        <w:tc>
          <w:tcPr>
            <w:tcW w:w="460" w:type="dxa"/>
            <w:vAlign w:val="bottom"/>
            <w:shd w:val="clear" w:color="auto" w:fill="CCEEFF"/>
          </w:tcPr>
          <w:p>
            <w:pPr>
              <w:jc w:val="center"/>
              <w:ind w:right="21"/>
              <w:spacing w:after="0"/>
              <w:rPr>
                <w:sz w:val="20"/>
                <w:szCs w:val="20"/>
                <w:color w:val="auto"/>
              </w:rPr>
            </w:pPr>
            <w:r>
              <w:rPr>
                <w:rFonts w:ascii="Times New Roman" w:cs="Times New Roman" w:eastAsia="Times New Roman" w:hAnsi="Times New Roman"/>
                <w:sz w:val="12"/>
                <w:szCs w:val="12"/>
                <w:color w:val="auto"/>
                <w:w w:val="82"/>
              </w:rPr>
              <w:t>11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40,249</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40,535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400" w:type="dxa"/>
            <w:vAlign w:val="bottom"/>
            <w:gridSpan w:val="2"/>
          </w:tcPr>
          <w:p>
            <w:pPr>
              <w:spacing w:after="0" w:line="137" w:lineRule="exact"/>
              <w:rPr>
                <w:sz w:val="20"/>
                <w:szCs w:val="20"/>
                <w:color w:val="auto"/>
              </w:rPr>
            </w:pPr>
            <w:r>
              <w:rPr>
                <w:rFonts w:ascii="Times New Roman" w:cs="Times New Roman" w:eastAsia="Times New Roman" w:hAnsi="Times New Roman"/>
                <w:sz w:val="12"/>
                <w:szCs w:val="12"/>
                <w:color w:val="auto"/>
              </w:rPr>
              <w:t>Proceeds from sale of treasury shares in public offerings, net of</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4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underwriting fees and transaction costs</w:t>
            </w:r>
          </w:p>
        </w:tc>
        <w:tc>
          <w:tcPr>
            <w:tcW w:w="460" w:type="dxa"/>
            <w:vAlign w:val="bottom"/>
          </w:tcPr>
          <w:p>
            <w:pPr>
              <w:jc w:val="center"/>
              <w:ind w:right="21"/>
              <w:spacing w:after="0"/>
              <w:rPr>
                <w:sz w:val="20"/>
                <w:szCs w:val="20"/>
                <w:color w:val="auto"/>
              </w:rPr>
            </w:pPr>
            <w:r>
              <w:rPr>
                <w:rFonts w:ascii="Times New Roman" w:cs="Times New Roman" w:eastAsia="Times New Roman" w:hAnsi="Times New Roman"/>
                <w:sz w:val="12"/>
                <w:szCs w:val="12"/>
                <w:color w:val="auto"/>
                <w:w w:val="82"/>
              </w:rPr>
              <w:t>11</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2,631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2,650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Issuance of shares, net of transaction costs:</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721"/>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4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Restricted share awards</w:t>
            </w:r>
          </w:p>
        </w:tc>
        <w:tc>
          <w:tcPr>
            <w:tcW w:w="460" w:type="dxa"/>
            <w:vAlign w:val="bottom"/>
          </w:tcPr>
          <w:p>
            <w:pPr>
              <w:jc w:val="center"/>
              <w:ind w:right="21"/>
              <w:spacing w:after="0"/>
              <w:rPr>
                <w:sz w:val="20"/>
                <w:szCs w:val="20"/>
                <w:color w:val="auto"/>
              </w:rPr>
            </w:pPr>
            <w:r>
              <w:rPr>
                <w:rFonts w:ascii="Times New Roman" w:cs="Times New Roman" w:eastAsia="Times New Roman" w:hAnsi="Times New Roman"/>
                <w:sz w:val="12"/>
                <w:szCs w:val="12"/>
                <w:color w:val="auto"/>
                <w:w w:val="82"/>
              </w:rPr>
              <w:t>18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645</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(645)</w:t>
            </w:r>
          </w:p>
        </w:tc>
        <w:tc>
          <w:tcPr>
            <w:tcW w:w="160" w:type="dxa"/>
            <w:vAlign w:val="bottom"/>
          </w:tcPr>
          <w:p>
            <w:pPr>
              <w:spacing w:after="0"/>
              <w:rPr>
                <w:sz w:val="13"/>
                <w:szCs w:val="13"/>
                <w:color w:val="auto"/>
              </w:rPr>
            </w:pPr>
          </w:p>
        </w:tc>
        <w:tc>
          <w:tcPr>
            <w:tcW w:w="94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Exercise of options</w:t>
            </w:r>
          </w:p>
        </w:tc>
        <w:tc>
          <w:tcPr>
            <w:tcW w:w="460" w:type="dxa"/>
            <w:vAlign w:val="bottom"/>
            <w:shd w:val="clear" w:color="auto" w:fill="CCEEFF"/>
          </w:tcPr>
          <w:p>
            <w:pPr>
              <w:jc w:val="center"/>
              <w:ind w:right="21"/>
              <w:spacing w:after="0"/>
              <w:rPr>
                <w:sz w:val="20"/>
                <w:szCs w:val="20"/>
                <w:color w:val="auto"/>
              </w:rPr>
            </w:pPr>
            <w:r>
              <w:rPr>
                <w:rFonts w:ascii="Times New Roman" w:cs="Times New Roman" w:eastAsia="Times New Roman" w:hAnsi="Times New Roman"/>
                <w:sz w:val="12"/>
                <w:szCs w:val="12"/>
                <w:color w:val="auto"/>
                <w:w w:val="82"/>
              </w:rPr>
              <w:t>18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0" w:type="dxa"/>
            <w:vAlign w:val="bottom"/>
          </w:tcPr>
          <w:p>
            <w:pPr>
              <w:spacing w:after="0"/>
              <w:rPr>
                <w:sz w:val="1"/>
                <w:szCs w:val="1"/>
                <w:color w:val="auto"/>
              </w:rPr>
            </w:pPr>
          </w:p>
        </w:tc>
      </w:tr>
      <w:tr>
        <w:trPr>
          <w:trHeight w:val="145"/>
        </w:trPr>
        <w:tc>
          <w:tcPr>
            <w:tcW w:w="34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Balance as of December 31, 2023</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2,089</w:t>
            </w:r>
          </w:p>
        </w:tc>
        <w:tc>
          <w:tcPr>
            <w:tcW w:w="4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474,907</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(316,197)</w:t>
            </w: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160,643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rPr>
              <w:t>Currency</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01"/>
              <w:spacing w:after="0"/>
              <w:rPr>
                <w:sz w:val="20"/>
                <w:szCs w:val="20"/>
                <w:color w:val="auto"/>
              </w:rPr>
            </w:pPr>
            <w:r>
              <w:rPr>
                <w:rFonts w:ascii="Times New Roman" w:cs="Times New Roman" w:eastAsia="Times New Roman" w:hAnsi="Times New Roman"/>
                <w:sz w:val="12"/>
                <w:szCs w:val="12"/>
                <w:b w:val="1"/>
                <w:bCs w:val="1"/>
                <w:color w:val="auto"/>
              </w:rPr>
              <w:t>Share</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01"/>
              <w:spacing w:after="0"/>
              <w:rPr>
                <w:sz w:val="20"/>
                <w:szCs w:val="20"/>
                <w:color w:val="auto"/>
              </w:rPr>
            </w:pPr>
            <w:r>
              <w:rPr>
                <w:rFonts w:ascii="Times New Roman" w:cs="Times New Roman" w:eastAsia="Times New Roman" w:hAnsi="Times New Roman"/>
                <w:sz w:val="12"/>
                <w:szCs w:val="12"/>
                <w:b w:val="1"/>
                <w:bCs w:val="1"/>
                <w:color w:val="auto"/>
              </w:rPr>
              <w:t>Share</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2"/>
              </w:rPr>
              <w:t>Treasury</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translation</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00" w:type="dxa"/>
            <w:vAlign w:val="bottom"/>
            <w:gridSpan w:val="2"/>
          </w:tcPr>
          <w:p>
            <w:pPr>
              <w:ind w:left="3240"/>
              <w:spacing w:after="0"/>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tcPr>
          <w:p>
            <w:pPr>
              <w:jc w:val="center"/>
              <w:ind w:right="21"/>
              <w:spacing w:after="0"/>
              <w:rPr>
                <w:sz w:val="20"/>
                <w:szCs w:val="20"/>
                <w:color w:val="auto"/>
              </w:rPr>
            </w:pPr>
            <w:r>
              <w:rPr>
                <w:rFonts w:ascii="Times New Roman" w:cs="Times New Roman" w:eastAsia="Times New Roman" w:hAnsi="Times New Roman"/>
                <w:sz w:val="12"/>
                <w:szCs w:val="12"/>
                <w:b w:val="1"/>
                <w:bCs w:val="1"/>
                <w:color w:val="auto"/>
                <w:w w:val="91"/>
              </w:rPr>
              <w:t>Note</w:t>
            </w:r>
          </w:p>
        </w:tc>
        <w:tc>
          <w:tcPr>
            <w:tcW w:w="800" w:type="dxa"/>
            <w:vAlign w:val="bottom"/>
            <w:gridSpan w:val="2"/>
          </w:tcPr>
          <w:p>
            <w:pPr>
              <w:jc w:val="right"/>
              <w:ind w:right="81"/>
              <w:spacing w:after="0"/>
              <w:rPr>
                <w:sz w:val="20"/>
                <w:szCs w:val="20"/>
                <w:color w:val="auto"/>
              </w:rPr>
            </w:pPr>
            <w:r>
              <w:rPr>
                <w:rFonts w:ascii="Times New Roman" w:cs="Times New Roman" w:eastAsia="Times New Roman" w:hAnsi="Times New Roman"/>
                <w:sz w:val="12"/>
                <w:szCs w:val="12"/>
                <w:b w:val="1"/>
                <w:bCs w:val="1"/>
                <w:color w:val="auto"/>
              </w:rPr>
              <w:t>​​​   capital</w:t>
            </w:r>
          </w:p>
        </w:tc>
        <w:tc>
          <w:tcPr>
            <w:tcW w:w="20" w:type="dxa"/>
            <w:vAlign w:val="bottom"/>
          </w:tcPr>
          <w:p>
            <w:pPr>
              <w:spacing w:after="0"/>
              <w:rPr>
                <w:sz w:val="14"/>
                <w:szCs w:val="14"/>
                <w:color w:val="auto"/>
              </w:rPr>
            </w:pPr>
          </w:p>
        </w:tc>
        <w:tc>
          <w:tcPr>
            <w:tcW w:w="800" w:type="dxa"/>
            <w:vAlign w:val="bottom"/>
            <w:gridSpan w:val="2"/>
          </w:tcPr>
          <w:p>
            <w:pPr>
              <w:jc w:val="right"/>
              <w:ind w:right="21"/>
              <w:spacing w:after="0"/>
              <w:rPr>
                <w:sz w:val="20"/>
                <w:szCs w:val="20"/>
                <w:color w:val="auto"/>
              </w:rPr>
            </w:pPr>
            <w:r>
              <w:rPr>
                <w:rFonts w:ascii="Times New Roman" w:cs="Times New Roman" w:eastAsia="Times New Roman" w:hAnsi="Times New Roman"/>
                <w:sz w:val="12"/>
                <w:szCs w:val="12"/>
                <w:b w:val="1"/>
                <w:bCs w:val="1"/>
                <w:color w:val="auto"/>
              </w:rPr>
              <w:t>​​​  premium</w:t>
            </w:r>
          </w:p>
        </w:tc>
        <w:tc>
          <w:tcPr>
            <w:tcW w:w="40" w:type="dxa"/>
            <w:vAlign w:val="bottom"/>
          </w:tcPr>
          <w:p>
            <w:pPr>
              <w:spacing w:after="0"/>
              <w:rPr>
                <w:sz w:val="14"/>
                <w:szCs w:val="14"/>
                <w:color w:val="auto"/>
              </w:rPr>
            </w:pP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7"/>
              </w:rPr>
              <w:t>losses</w:t>
            </w: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differences   ​​​</w:t>
            </w:r>
          </w:p>
        </w:tc>
        <w:tc>
          <w:tcPr>
            <w:tcW w:w="580" w:type="dxa"/>
            <w:vAlign w:val="bottom"/>
          </w:tcPr>
          <w:p>
            <w:pPr>
              <w:jc w:val="right"/>
              <w:ind w:right="161"/>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as of January 1, 2024</w:t>
            </w:r>
          </w:p>
        </w:tc>
        <w:tc>
          <w:tcPr>
            <w:tcW w:w="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2,089</w:t>
            </w:r>
          </w:p>
        </w:tc>
        <w:tc>
          <w:tcPr>
            <w:tcW w:w="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474,907</w:t>
            </w:r>
          </w:p>
        </w:tc>
        <w:tc>
          <w:tcPr>
            <w:tcW w:w="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(316,197)</w:t>
            </w:r>
          </w:p>
        </w:tc>
        <w:tc>
          <w:tcPr>
            <w:tcW w:w="14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160,643</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Loss for the period</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(50,916)</w:t>
            </w:r>
          </w:p>
        </w:tc>
        <w:tc>
          <w:tcPr>
            <w:tcW w:w="140" w:type="dxa"/>
            <w:vAlign w:val="bottom"/>
          </w:tcPr>
          <w:p>
            <w:pPr>
              <w:spacing w:after="0"/>
              <w:rPr>
                <w:sz w:val="13"/>
                <w:szCs w:val="13"/>
                <w:color w:val="auto"/>
              </w:rPr>
            </w:pPr>
          </w:p>
        </w:tc>
        <w:tc>
          <w:tcPr>
            <w:tcW w:w="94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(50,916)</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comprehensive loss</w:t>
            </w:r>
          </w:p>
        </w:tc>
        <w:tc>
          <w:tcPr>
            <w:tcW w:w="460" w:type="dxa"/>
            <w:vAlign w:val="bottom"/>
            <w:shd w:val="clear" w:color="auto" w:fill="CCEEFF"/>
          </w:tcPr>
          <w:p>
            <w:pPr>
              <w:jc w:val="center"/>
              <w:ind w:right="21"/>
              <w:spacing w:after="0"/>
              <w:rPr>
                <w:sz w:val="20"/>
                <w:szCs w:val="20"/>
                <w:color w:val="auto"/>
              </w:rPr>
            </w:pPr>
            <w:r>
              <w:rPr>
                <w:rFonts w:ascii="Times New Roman" w:cs="Times New Roman" w:eastAsia="Times New Roman" w:hAnsi="Times New Roman"/>
                <w:sz w:val="12"/>
                <w:szCs w:val="12"/>
                <w:color w:val="auto"/>
                <w:w w:val="82"/>
              </w:rPr>
              <w:t>17</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(3,084)</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(3,038)</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400" w:type="dxa"/>
            <w:vAlign w:val="bottom"/>
            <w:tcBorders>
              <w:bottom w:val="single" w:sz="8" w:color="CCEEFF"/>
            </w:tcBorders>
            <w:gridSpan w:val="2"/>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Total comprehensive loss</w:t>
            </w:r>
          </w:p>
        </w:tc>
        <w:tc>
          <w:tcPr>
            <w:tcW w:w="4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(54,000)</w:t>
            </w:r>
          </w:p>
        </w:tc>
        <w:tc>
          <w:tcPr>
            <w:tcW w:w="1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(53,954)</w:t>
            </w: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Share-based payments</w:t>
            </w:r>
          </w:p>
        </w:tc>
        <w:tc>
          <w:tcPr>
            <w:tcW w:w="460" w:type="dxa"/>
            <w:vAlign w:val="bottom"/>
          </w:tcPr>
          <w:p>
            <w:pPr>
              <w:jc w:val="center"/>
              <w:ind w:right="21"/>
              <w:spacing w:after="0"/>
              <w:rPr>
                <w:sz w:val="20"/>
                <w:szCs w:val="20"/>
                <w:color w:val="auto"/>
              </w:rPr>
            </w:pPr>
            <w:r>
              <w:rPr>
                <w:rFonts w:ascii="Times New Roman" w:cs="Times New Roman" w:eastAsia="Times New Roman" w:hAnsi="Times New Roman"/>
                <w:sz w:val="12"/>
                <w:szCs w:val="12"/>
                <w:color w:val="auto"/>
                <w:w w:val="82"/>
              </w:rPr>
              <w:t>18</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5,470</w:t>
            </w:r>
          </w:p>
        </w:tc>
        <w:tc>
          <w:tcPr>
            <w:tcW w:w="140" w:type="dxa"/>
            <w:vAlign w:val="bottom"/>
          </w:tcPr>
          <w:p>
            <w:pPr>
              <w:spacing w:after="0"/>
              <w:rPr>
                <w:sz w:val="13"/>
                <w:szCs w:val="13"/>
                <w:color w:val="auto"/>
              </w:rPr>
            </w:pPr>
          </w:p>
        </w:tc>
        <w:tc>
          <w:tcPr>
            <w:tcW w:w="94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5,470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40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Proceeds from public offerings, net of underwriting fees,</w:t>
            </w: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transaction costs and stamp duty</w:t>
            </w:r>
          </w:p>
        </w:tc>
        <w:tc>
          <w:tcPr>
            <w:tcW w:w="460" w:type="dxa"/>
            <w:vAlign w:val="bottom"/>
            <w:shd w:val="clear" w:color="auto" w:fill="CCEEFF"/>
          </w:tcPr>
          <w:p>
            <w:pPr>
              <w:jc w:val="center"/>
              <w:ind w:right="21"/>
              <w:spacing w:after="0"/>
              <w:rPr>
                <w:sz w:val="20"/>
                <w:szCs w:val="20"/>
                <w:color w:val="auto"/>
              </w:rPr>
            </w:pPr>
            <w:r>
              <w:rPr>
                <w:rFonts w:ascii="Times New Roman" w:cs="Times New Roman" w:eastAsia="Times New Roman" w:hAnsi="Times New Roman"/>
                <w:sz w:val="12"/>
                <w:szCs w:val="12"/>
                <w:color w:val="auto"/>
                <w:w w:val="82"/>
              </w:rPr>
              <w:t>11</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400" w:type="dxa"/>
            <w:vAlign w:val="bottom"/>
            <w:gridSpan w:val="2"/>
          </w:tcPr>
          <w:p>
            <w:pPr>
              <w:spacing w:after="0" w:line="137" w:lineRule="exact"/>
              <w:rPr>
                <w:sz w:val="20"/>
                <w:szCs w:val="20"/>
                <w:color w:val="auto"/>
              </w:rPr>
            </w:pPr>
            <w:r>
              <w:rPr>
                <w:rFonts w:ascii="Times New Roman" w:cs="Times New Roman" w:eastAsia="Times New Roman" w:hAnsi="Times New Roman"/>
                <w:sz w:val="12"/>
                <w:szCs w:val="12"/>
                <w:color w:val="auto"/>
              </w:rPr>
              <w:t>Proceeds from sale of treasury shares in public offerings, net of</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4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underwriting fees and transaction costs</w:t>
            </w:r>
          </w:p>
        </w:tc>
        <w:tc>
          <w:tcPr>
            <w:tcW w:w="460" w:type="dxa"/>
            <w:vAlign w:val="bottom"/>
          </w:tcPr>
          <w:p>
            <w:pPr>
              <w:jc w:val="center"/>
              <w:ind w:right="21"/>
              <w:spacing w:after="0"/>
              <w:rPr>
                <w:sz w:val="20"/>
                <w:szCs w:val="20"/>
                <w:color w:val="auto"/>
              </w:rPr>
            </w:pPr>
            <w:r>
              <w:rPr>
                <w:rFonts w:ascii="Times New Roman" w:cs="Times New Roman" w:eastAsia="Times New Roman" w:hAnsi="Times New Roman"/>
                <w:sz w:val="12"/>
                <w:szCs w:val="12"/>
                <w:color w:val="auto"/>
                <w:w w:val="82"/>
              </w:rPr>
              <w:t>11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114</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Issuance of shares, net of transaction costs:</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701"/>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4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Restricted share awards</w:t>
            </w:r>
          </w:p>
        </w:tc>
        <w:tc>
          <w:tcPr>
            <w:tcW w:w="460" w:type="dxa"/>
            <w:vAlign w:val="bottom"/>
          </w:tcPr>
          <w:p>
            <w:pPr>
              <w:jc w:val="center"/>
              <w:ind w:right="21"/>
              <w:spacing w:after="0"/>
              <w:rPr>
                <w:sz w:val="20"/>
                <w:szCs w:val="20"/>
                <w:color w:val="auto"/>
              </w:rPr>
            </w:pPr>
            <w:r>
              <w:rPr>
                <w:rFonts w:ascii="Times New Roman" w:cs="Times New Roman" w:eastAsia="Times New Roman" w:hAnsi="Times New Roman"/>
                <w:sz w:val="12"/>
                <w:szCs w:val="12"/>
                <w:color w:val="auto"/>
                <w:w w:val="82"/>
              </w:rPr>
              <w:t>18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3,489</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(3,512)</w:t>
            </w:r>
          </w:p>
        </w:tc>
        <w:tc>
          <w:tcPr>
            <w:tcW w:w="140" w:type="dxa"/>
            <w:vAlign w:val="bottom"/>
          </w:tcPr>
          <w:p>
            <w:pPr>
              <w:spacing w:after="0"/>
              <w:rPr>
                <w:sz w:val="13"/>
                <w:szCs w:val="13"/>
                <w:color w:val="auto"/>
              </w:rPr>
            </w:pPr>
          </w:p>
        </w:tc>
        <w:tc>
          <w:tcPr>
            <w:tcW w:w="94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Exercise of options</w:t>
            </w:r>
          </w:p>
        </w:tc>
        <w:tc>
          <w:tcPr>
            <w:tcW w:w="460" w:type="dxa"/>
            <w:vAlign w:val="bottom"/>
            <w:shd w:val="clear" w:color="auto" w:fill="CCEEFF"/>
          </w:tcPr>
          <w:p>
            <w:pPr>
              <w:jc w:val="center"/>
              <w:ind w:right="21"/>
              <w:spacing w:after="0"/>
              <w:rPr>
                <w:sz w:val="20"/>
                <w:szCs w:val="20"/>
                <w:color w:val="auto"/>
              </w:rPr>
            </w:pPr>
            <w:r>
              <w:rPr>
                <w:rFonts w:ascii="Times New Roman" w:cs="Times New Roman" w:eastAsia="Times New Roman" w:hAnsi="Times New Roman"/>
                <w:sz w:val="12"/>
                <w:szCs w:val="12"/>
                <w:color w:val="auto"/>
                <w:w w:val="82"/>
              </w:rPr>
              <w:t>18</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45"/>
        </w:trPr>
        <w:tc>
          <w:tcPr>
            <w:tcW w:w="34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Balance as of December 31, 2024</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2,226</w:t>
            </w: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478,506</w:t>
            </w: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(368,239)</w:t>
            </w:r>
          </w:p>
        </w:tc>
        <w:tc>
          <w:tcPr>
            <w:tcW w:w="1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112,270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2"/>
                <w:szCs w:val="12"/>
                <w:b w:val="1"/>
                <w:bCs w:val="1"/>
                <w:color w:val="auto"/>
              </w:rPr>
              <w:t>Currency</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01"/>
              <w:spacing w:after="0"/>
              <w:rPr>
                <w:sz w:val="20"/>
                <w:szCs w:val="20"/>
                <w:color w:val="auto"/>
              </w:rPr>
            </w:pPr>
            <w:r>
              <w:rPr>
                <w:rFonts w:ascii="Times New Roman" w:cs="Times New Roman" w:eastAsia="Times New Roman" w:hAnsi="Times New Roman"/>
                <w:sz w:val="12"/>
                <w:szCs w:val="12"/>
                <w:b w:val="1"/>
                <w:bCs w:val="1"/>
                <w:color w:val="auto"/>
              </w:rPr>
              <w:t>Share</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Share</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Treasury</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translation</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320" w:type="dxa"/>
            <w:vAlign w:val="bottom"/>
          </w:tcPr>
          <w:p>
            <w:pPr>
              <w:ind w:left="3240"/>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1"/>
              </w:rPr>
              <w:t>Note</w:t>
            </w:r>
          </w:p>
        </w:tc>
        <w:tc>
          <w:tcPr>
            <w:tcW w:w="640" w:type="dxa"/>
            <w:vAlign w:val="bottom"/>
          </w:tcPr>
          <w:p>
            <w:pPr>
              <w:jc w:val="right"/>
              <w:ind w:right="81"/>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premium</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losses</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differences</w:t>
            </w:r>
          </w:p>
        </w:tc>
        <w:tc>
          <w:tcPr>
            <w:tcW w:w="160" w:type="dxa"/>
            <w:vAlign w:val="bottom"/>
          </w:tcPr>
          <w:p>
            <w:pPr>
              <w:spacing w:after="0"/>
              <w:rPr>
                <w:sz w:val="14"/>
                <w:szCs w:val="14"/>
                <w:color w:val="auto"/>
              </w:rPr>
            </w:pPr>
          </w:p>
        </w:tc>
        <w:tc>
          <w:tcPr>
            <w:tcW w:w="700" w:type="dxa"/>
            <w:vAlign w:val="bottom"/>
          </w:tcPr>
          <w:p>
            <w:pPr>
              <w:jc w:val="right"/>
              <w:ind w:right="161"/>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as of January 1, 2025</w:t>
            </w:r>
          </w:p>
        </w:tc>
        <w:tc>
          <w:tcPr>
            <w:tcW w:w="5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2,226</w:t>
            </w:r>
          </w:p>
        </w:tc>
        <w:tc>
          <w:tcPr>
            <w:tcW w:w="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478,506</w:t>
            </w:r>
          </w:p>
        </w:tc>
        <w:tc>
          <w:tcPr>
            <w:tcW w:w="14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w:t>
            </w:r>
          </w:p>
        </w:tc>
        <w:tc>
          <w:tcPr>
            <w:tcW w:w="1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(368,239)</w:t>
            </w:r>
          </w:p>
        </w:tc>
        <w:tc>
          <w:tcPr>
            <w:tcW w:w="1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6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112,270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2"/>
                <w:szCs w:val="12"/>
                <w:color w:val="auto"/>
              </w:rPr>
              <w:t>Loss for the period</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(70,447)</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(70,447)</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comprehensive income/(loss)</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82"/>
              </w:rPr>
              <w:t>17</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(1,353)</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(1,341)</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20" w:type="dxa"/>
            <w:vAlign w:val="bottom"/>
            <w:tcBorders>
              <w:bottom w:val="single" w:sz="8" w:color="CCEEFF"/>
            </w:tcBorders>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Total comprehensive loss</w:t>
            </w:r>
          </w:p>
        </w:tc>
        <w:tc>
          <w:tcPr>
            <w:tcW w:w="5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(71,800)</w:t>
            </w:r>
          </w:p>
        </w:tc>
        <w:tc>
          <w:tcPr>
            <w:tcW w:w="16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6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(71,788)</w:t>
            </w: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2"/>
                <w:szCs w:val="12"/>
                <w:color w:val="auto"/>
              </w:rPr>
              <w:t>Share-based payments</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2"/>
              </w:rPr>
              <w:t>18</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4,396</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4,396</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Issuance of shares, net of transaction costs:</w:t>
            </w: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76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3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Restricted share awards</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2"/>
              </w:rPr>
              <w:t>18</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3,352</w:t>
            </w:r>
          </w:p>
        </w:tc>
        <w:tc>
          <w:tcPr>
            <w:tcW w:w="14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(3,378)</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Exercise of options</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82"/>
              </w:rPr>
              <w:t>18</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145"/>
        </w:trPr>
        <w:tc>
          <w:tcPr>
            <w:tcW w:w="33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Balance as of December 31, 2025</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2,253</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481,863</w:t>
            </w:r>
          </w:p>
        </w:tc>
        <w:tc>
          <w:tcPr>
            <w:tcW w:w="1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(218)</w:t>
            </w:r>
          </w:p>
        </w:tc>
        <w:tc>
          <w:tcPr>
            <w:tcW w:w="1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(439,021)</w:t>
            </w: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44,884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8">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72" w:name="page173"/>
    <w:bookmarkEnd w:id="17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AC Immune SA</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(In CHF thousands)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52"/>
        </w:trPr>
        <w:tc>
          <w:tcPr>
            <w:tcW w:w="5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gridSpan w:val="4"/>
          </w:tcPr>
          <w:p>
            <w:pPr>
              <w:jc w:val="right"/>
              <w:ind w:right="321"/>
              <w:spacing w:after="0"/>
              <w:rPr>
                <w:sz w:val="20"/>
                <w:szCs w:val="20"/>
                <w:color w:val="auto"/>
              </w:rPr>
            </w:pPr>
            <w:r>
              <w:rPr>
                <w:rFonts w:ascii="Times New Roman" w:cs="Times New Roman" w:eastAsia="Times New Roman" w:hAnsi="Times New Roman"/>
                <w:sz w:val="12"/>
                <w:szCs w:val="12"/>
                <w:b w:val="1"/>
                <w:bCs w:val="1"/>
                <w:color w:val="auto"/>
              </w:rPr>
              <w:t>For the Year Ended</w:t>
            </w: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5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481"/>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Note</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12"/>
                <w:szCs w:val="12"/>
                <w:b w:val="1"/>
                <w:bCs w:val="1"/>
                <w:color w:val="auto"/>
              </w:rPr>
              <w:t>2025</w:t>
            </w:r>
          </w:p>
        </w:tc>
        <w:tc>
          <w:tcPr>
            <w:tcW w:w="200" w:type="dxa"/>
            <w:vAlign w:val="bottom"/>
          </w:tcPr>
          <w:p>
            <w:pPr>
              <w:spacing w:after="0"/>
              <w:rPr>
                <w:sz w:val="13"/>
                <w:szCs w:val="13"/>
                <w:color w:val="auto"/>
              </w:rPr>
            </w:pP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12"/>
                <w:szCs w:val="12"/>
                <w:b w:val="1"/>
                <w:bCs w:val="1"/>
                <w:color w:val="auto"/>
              </w:rPr>
              <w:t>2024</w:t>
            </w:r>
          </w:p>
        </w:tc>
        <w:tc>
          <w:tcPr>
            <w:tcW w:w="200" w:type="dxa"/>
            <w:vAlign w:val="bottom"/>
          </w:tcPr>
          <w:p>
            <w:pPr>
              <w:spacing w:after="0"/>
              <w:rPr>
                <w:sz w:val="13"/>
                <w:szCs w:val="13"/>
                <w:color w:val="auto"/>
              </w:rPr>
            </w:pPr>
          </w:p>
        </w:tc>
        <w:tc>
          <w:tcPr>
            <w:tcW w:w="780" w:type="dxa"/>
            <w:vAlign w:val="bottom"/>
          </w:tcPr>
          <w:p>
            <w:pPr>
              <w:jc w:val="right"/>
              <w:ind w:right="221"/>
              <w:spacing w:after="0"/>
              <w:rPr>
                <w:sz w:val="20"/>
                <w:szCs w:val="20"/>
                <w:color w:val="auto"/>
              </w:rPr>
            </w:pPr>
            <w:r>
              <w:rPr>
                <w:rFonts w:ascii="Times New Roman" w:cs="Times New Roman" w:eastAsia="Times New Roman" w:hAnsi="Times New Roman"/>
                <w:sz w:val="12"/>
                <w:szCs w:val="12"/>
                <w:b w:val="1"/>
                <w:bCs w:val="1"/>
                <w:color w:val="auto"/>
              </w:rPr>
              <w:t>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5440" w:type="dxa"/>
            <w:vAlign w:val="bottom"/>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Operating activities</w:t>
            </w:r>
          </w:p>
        </w:tc>
        <w:tc>
          <w:tcPr>
            <w:tcW w:w="20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b w:val="1"/>
                <w:bCs w:val="1"/>
                <w:color w:val="auto"/>
              </w:rPr>
              <w:t>​​​</w:t>
            </w:r>
          </w:p>
        </w:tc>
        <w:tc>
          <w:tcPr>
            <w:tcW w:w="400" w:type="dxa"/>
            <w:vAlign w:val="bottom"/>
            <w:tcBorders>
              <w:top w:val="single" w:sz="8" w:color="auto"/>
            </w:tcBorders>
          </w:tcPr>
          <w:p>
            <w:pPr>
              <w:spacing w:after="0"/>
              <w:rPr>
                <w:sz w:val="12"/>
                <w:szCs w:val="12"/>
                <w:color w:val="auto"/>
              </w:rPr>
            </w:pPr>
          </w:p>
        </w:tc>
        <w:tc>
          <w:tcPr>
            <w:tcW w:w="180" w:type="dxa"/>
            <w:vAlign w:val="bottom"/>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 ​​​</w:t>
            </w: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 ​​​</w:t>
            </w: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 ​​​</w:t>
            </w:r>
          </w:p>
        </w:tc>
        <w:tc>
          <w:tcPr>
            <w:tcW w:w="780" w:type="dxa"/>
            <w:vAlign w:val="bottom"/>
            <w:tcBorders>
              <w:top w:val="single" w:sz="8" w:color="auto"/>
            </w:tcBorders>
          </w:tcPr>
          <w:p>
            <w:pPr>
              <w:spacing w:after="0"/>
              <w:rPr>
                <w:sz w:val="12"/>
                <w:szCs w:val="12"/>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57"/>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Loss for the period</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(70,447)</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(50,916)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(54,233)</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52"/>
        </w:trPr>
        <w:tc>
          <w:tcPr>
            <w:tcW w:w="54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Adjustments to reconcile net loss for the period to net cash flows:</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78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Depreciation of property, plant and equipment</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1,393</w:t>
            </w: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1,485</w:t>
            </w: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Depreciation of right-of-use assets</w:t>
            </w:r>
          </w:p>
        </w:tc>
        <w:tc>
          <w:tcPr>
            <w:tcW w:w="20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1,110</w:t>
            </w: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677</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Finance (income)/expense, net</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14</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803</w:t>
            </w: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20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18</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4,396</w:t>
            </w: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5,470</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4,365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Change in net employee defined benefit liability</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17</w:t>
            </w: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(1,551)</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(10)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Interest expense</w:t>
            </w:r>
          </w:p>
        </w:tc>
        <w:tc>
          <w:tcPr>
            <w:tcW w:w="20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5/14</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w:t>
            </w: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(Gain)/loss on lease modifications</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5</w:t>
            </w: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(73)</w:t>
            </w:r>
          </w:p>
        </w:tc>
        <w:tc>
          <w:tcPr>
            <w:tcW w:w="9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(Gain)/loss on sale of fixed assets</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2"/>
                <w:szCs w:val="12"/>
                <w:color w:val="auto"/>
              </w:rPr>
              <w:t>(15)</w:t>
            </w:r>
          </w:p>
        </w:tc>
        <w:tc>
          <w:tcPr>
            <w:tcW w:w="960" w:type="dxa"/>
            <w:vAlign w:val="bottom"/>
            <w:gridSpan w:val="2"/>
          </w:tcPr>
          <w:p>
            <w:pPr>
              <w:jc w:val="right"/>
              <w:ind w:right="181"/>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52"/>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Changes in working capital:</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(Increase)/decrease in prepaid expenses</w:t>
            </w:r>
          </w:p>
        </w:tc>
        <w:tc>
          <w:tcPr>
            <w:tcW w:w="20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8</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w:t>
            </w: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2,135</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(Increase)/decrease in accrued income</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8</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739</w:t>
            </w:r>
          </w:p>
        </w:tc>
        <w:tc>
          <w:tcPr>
            <w:tcW w:w="2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(853)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(Increase)/decrease in accounts receivable</w:t>
            </w:r>
          </w:p>
        </w:tc>
        <w:tc>
          <w:tcPr>
            <w:tcW w:w="20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9</w:t>
            </w:r>
          </w:p>
        </w:tc>
        <w:tc>
          <w:tcPr>
            <w:tcW w:w="180" w:type="dxa"/>
            <w:vAlign w:val="bottom"/>
          </w:tcPr>
          <w:p>
            <w:pPr>
              <w:spacing w:after="0"/>
              <w:rPr>
                <w:sz w:val="13"/>
                <w:szCs w:val="13"/>
                <w:color w:val="auto"/>
              </w:rPr>
            </w:pPr>
          </w:p>
        </w:tc>
        <w:tc>
          <w:tcPr>
            <w:tcW w:w="960" w:type="dxa"/>
            <w:vAlign w:val="bottom"/>
            <w:gridSpan w:val="2"/>
          </w:tcPr>
          <w:p>
            <w:pPr>
              <w:jc w:val="right"/>
              <w:ind w:right="181"/>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14,800</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(Increase)/decrease in other current receivables</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w:t>
            </w:r>
          </w:p>
        </w:tc>
        <w:tc>
          <w:tcPr>
            <w:tcW w:w="2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(396)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(Decrease)/increase in accrued expenses</w:t>
            </w:r>
          </w:p>
        </w:tc>
        <w:tc>
          <w:tcPr>
            <w:tcW w:w="20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180" w:type="dxa"/>
            <w:vAlign w:val="bottom"/>
          </w:tcPr>
          <w:p>
            <w:pPr>
              <w:spacing w:after="0"/>
              <w:rPr>
                <w:sz w:val="13"/>
                <w:szCs w:val="13"/>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2"/>
                <w:szCs w:val="12"/>
                <w:color w:val="auto"/>
              </w:rPr>
              <w:t>(3,861)</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1,373</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(Decrease)/increase in deferred contract revenue, short-term</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13</w:t>
            </w: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(1,350)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85,056</w:t>
            </w: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(Decrease)/increase in deferred income</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181"/>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2"/>
                <w:szCs w:val="12"/>
                <w:color w:val="auto"/>
              </w:rPr>
              <w:t>(138)</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(Decrease)/increase in trade and other payables</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(592)</w:t>
            </w: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977</w:t>
            </w: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(Decrease)/increase in deferred contract revenue, long-term</w:t>
            </w:r>
          </w:p>
        </w:tc>
        <w:tc>
          <w:tcPr>
            <w:tcW w:w="20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13</w:t>
            </w:r>
          </w:p>
        </w:tc>
        <w:tc>
          <w:tcPr>
            <w:tcW w:w="180" w:type="dxa"/>
            <w:vAlign w:val="bottom"/>
          </w:tcPr>
          <w:p>
            <w:pPr>
              <w:spacing w:after="0"/>
              <w:rPr>
                <w:sz w:val="13"/>
                <w:szCs w:val="13"/>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2"/>
                <w:szCs w:val="12"/>
                <w:color w:val="auto"/>
              </w:rPr>
              <w:t>(2,221)</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4,560</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440" w:type="dxa"/>
            <w:vAlign w:val="bottom"/>
            <w:tcBorders>
              <w:top w:val="single" w:sz="8" w:color="CCEEFF"/>
            </w:tcBorders>
            <w:shd w:val="clear" w:color="auto" w:fill="CCEEFF"/>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Cash provided by/(used in) operating activities</w:t>
            </w:r>
          </w:p>
        </w:tc>
        <w:tc>
          <w:tcPr>
            <w:tcW w:w="2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(70,970)</w:t>
            </w:r>
          </w:p>
        </w:tc>
        <w:tc>
          <w:tcPr>
            <w:tcW w:w="2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64,408</w:t>
            </w:r>
          </w:p>
        </w:tc>
        <w:tc>
          <w:tcPr>
            <w:tcW w:w="2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(60,827)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5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Interest received</w:t>
            </w:r>
          </w:p>
        </w:tc>
        <w:tc>
          <w:tcPr>
            <w:tcW w:w="20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14</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1,897</w:t>
            </w: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1,563</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Interest paid</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5/14</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w:t>
            </w:r>
          </w:p>
        </w:tc>
        <w:tc>
          <w:tcPr>
            <w:tcW w:w="2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(113)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Finance expenses paid</w:t>
            </w:r>
          </w:p>
        </w:tc>
        <w:tc>
          <w:tcPr>
            <w:tcW w:w="20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14</w:t>
            </w:r>
          </w:p>
        </w:tc>
        <w:tc>
          <w:tcPr>
            <w:tcW w:w="180" w:type="dxa"/>
            <w:vAlign w:val="bottom"/>
          </w:tcPr>
          <w:p>
            <w:pPr>
              <w:spacing w:after="0"/>
              <w:rPr>
                <w:sz w:val="13"/>
                <w:szCs w:val="13"/>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2"/>
                <w:szCs w:val="12"/>
                <w:color w:val="auto"/>
              </w:rPr>
              <w:t>(15)</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2"/>
                <w:szCs w:val="12"/>
                <w:color w:val="auto"/>
              </w:rPr>
              <w:t>(16)</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cash flows provided by/(used in) operating activities</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4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(69,262)</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65,842</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(60,408)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line="20" w:lineRule="exact"/>
              <w:rPr>
                <w:sz w:val="1"/>
                <w:szCs w:val="1"/>
                <w:color w:val="auto"/>
              </w:rPr>
            </w:pPr>
          </w:p>
        </w:tc>
      </w:tr>
      <w:tr>
        <w:trPr>
          <w:trHeight w:val="114"/>
        </w:trPr>
        <w:tc>
          <w:tcPr>
            <w:tcW w:w="5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Investing activities</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52"/>
        </w:trPr>
        <w:tc>
          <w:tcPr>
            <w:tcW w:w="5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Short-term financial assets, net</w:t>
            </w:r>
          </w:p>
        </w:tc>
        <w:tc>
          <w:tcPr>
            <w:tcW w:w="20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64,597</w:t>
            </w:r>
          </w:p>
        </w:tc>
        <w:tc>
          <w:tcPr>
            <w:tcW w:w="200" w:type="dxa"/>
            <w:vAlign w:val="bottom"/>
          </w:tcPr>
          <w:p>
            <w:pPr>
              <w:spacing w:after="0"/>
              <w:rPr>
                <w:sz w:val="13"/>
                <w:szCs w:val="13"/>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2"/>
                <w:szCs w:val="12"/>
                <w:color w:val="auto"/>
              </w:rPr>
              <w:t>(104,660)</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66,446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Purchases of property, plant and equipment</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(900)</w:t>
            </w:r>
          </w:p>
        </w:tc>
        <w:tc>
          <w:tcPr>
            <w:tcW w:w="2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(576)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Proceeds from sale of property, plant and equipment</w:t>
            </w:r>
          </w:p>
        </w:tc>
        <w:tc>
          <w:tcPr>
            <w:tcW w:w="20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200" w:type="dxa"/>
            <w:vAlign w:val="bottom"/>
          </w:tcPr>
          <w:p>
            <w:pPr>
              <w:spacing w:after="0"/>
              <w:rPr>
                <w:sz w:val="13"/>
                <w:szCs w:val="13"/>
                <w:color w:val="auto"/>
              </w:rPr>
            </w:pPr>
          </w:p>
        </w:tc>
        <w:tc>
          <w:tcPr>
            <w:tcW w:w="960" w:type="dxa"/>
            <w:vAlign w:val="bottom"/>
            <w:gridSpan w:val="2"/>
          </w:tcPr>
          <w:p>
            <w:pPr>
              <w:jc w:val="right"/>
              <w:ind w:right="181"/>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Rental deposits</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5</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w:t>
            </w:r>
          </w:p>
        </w:tc>
        <w:tc>
          <w:tcPr>
            <w:tcW w:w="2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(54)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cash flows provided by/(used in) investing activities</w:t>
            </w:r>
          </w:p>
        </w:tc>
        <w:tc>
          <w:tcPr>
            <w:tcW w:w="20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63,542</w:t>
            </w:r>
          </w:p>
        </w:tc>
        <w:tc>
          <w:tcPr>
            <w:tcW w:w="200" w:type="dxa"/>
            <w:vAlign w:val="bottom"/>
            <w:tcBorders>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(105,290)</w:t>
            </w:r>
          </w:p>
        </w:tc>
        <w:tc>
          <w:tcPr>
            <w:tcW w:w="20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65,645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52"/>
        </w:trPr>
        <w:tc>
          <w:tcPr>
            <w:tcW w:w="54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Financing activities</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3"/>
                <w:szCs w:val="13"/>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52"/>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Proceeds from public offerings of common shares, net of underwriting fees and transaction costs</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11</w:t>
            </w: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41,056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Proceeds from sale of treasury shares in public offerings, net of underwriting fees and transaction costs</w:t>
            </w:r>
          </w:p>
        </w:tc>
        <w:tc>
          <w:tcPr>
            <w:tcW w:w="20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11</w:t>
            </w:r>
          </w:p>
        </w:tc>
        <w:tc>
          <w:tcPr>
            <w:tcW w:w="180" w:type="dxa"/>
            <w:vAlign w:val="bottom"/>
          </w:tcPr>
          <w:p>
            <w:pPr>
              <w:spacing w:after="0"/>
              <w:rPr>
                <w:sz w:val="13"/>
                <w:szCs w:val="13"/>
                <w:color w:val="auto"/>
              </w:rPr>
            </w:pPr>
          </w:p>
        </w:tc>
        <w:tc>
          <w:tcPr>
            <w:tcW w:w="960" w:type="dxa"/>
            <w:vAlign w:val="bottom"/>
            <w:gridSpan w:val="2"/>
          </w:tcPr>
          <w:p>
            <w:pPr>
              <w:jc w:val="right"/>
              <w:ind w:right="181"/>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Proceeds from issuance of common shares – equity plan, net of transaction costs</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11</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5440" w:type="dxa"/>
            <w:vAlign w:val="bottom"/>
          </w:tcPr>
          <w:p>
            <w:pPr>
              <w:ind w:left="120"/>
              <w:spacing w:after="0" w:line="137" w:lineRule="exact"/>
              <w:rPr>
                <w:sz w:val="20"/>
                <w:szCs w:val="20"/>
                <w:color w:val="auto"/>
              </w:rPr>
            </w:pPr>
            <w:r>
              <w:rPr>
                <w:rFonts w:ascii="Times New Roman" w:cs="Times New Roman" w:eastAsia="Times New Roman" w:hAnsi="Times New Roman"/>
                <w:sz w:val="12"/>
                <w:szCs w:val="12"/>
                <w:color w:val="auto"/>
                <w:w w:val="98"/>
              </w:rPr>
              <w:t>Transaction costs and stamp duty associated with the public offerings of common shares previously recorded in</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Accrued expenses</w:t>
            </w:r>
          </w:p>
        </w:tc>
        <w:tc>
          <w:tcPr>
            <w:tcW w:w="20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11</w:t>
            </w:r>
          </w:p>
        </w:tc>
        <w:tc>
          <w:tcPr>
            <w:tcW w:w="180" w:type="dxa"/>
            <w:vAlign w:val="bottom"/>
          </w:tcPr>
          <w:p>
            <w:pPr>
              <w:spacing w:after="0"/>
              <w:rPr>
                <w:sz w:val="13"/>
                <w:szCs w:val="13"/>
                <w:color w:val="auto"/>
              </w:rPr>
            </w:pPr>
          </w:p>
        </w:tc>
        <w:tc>
          <w:tcPr>
            <w:tcW w:w="960" w:type="dxa"/>
            <w:vAlign w:val="bottom"/>
            <w:gridSpan w:val="2"/>
          </w:tcPr>
          <w:p>
            <w:pPr>
              <w:jc w:val="right"/>
              <w:ind w:right="181"/>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2"/>
                <w:szCs w:val="12"/>
                <w:color w:val="auto"/>
              </w:rPr>
              <w:t>(521)</w:t>
            </w:r>
          </w:p>
        </w:tc>
        <w:tc>
          <w:tcPr>
            <w:tcW w:w="800" w:type="dxa"/>
            <w:vAlign w:val="bottom"/>
            <w:gridSpan w:val="2"/>
          </w:tcPr>
          <w:p>
            <w:pPr>
              <w:jc w:val="right"/>
              <w:ind w:right="54"/>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Transaction costs associated with the sale of treasury shares in public offering previously recorded in Accrued</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expenses</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11</w:t>
            </w: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(27)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Principal payments of lease obligations</w:t>
            </w:r>
          </w:p>
        </w:tc>
        <w:tc>
          <w:tcPr>
            <w:tcW w:w="20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w:t>
            </w:r>
          </w:p>
        </w:tc>
        <w:tc>
          <w:tcPr>
            <w:tcW w:w="180" w:type="dxa"/>
            <w:vAlign w:val="bottom"/>
          </w:tcPr>
          <w:p>
            <w:pPr>
              <w:spacing w:after="0"/>
              <w:rPr>
                <w:sz w:val="13"/>
                <w:szCs w:val="13"/>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2"/>
                <w:szCs w:val="12"/>
                <w:color w:val="auto"/>
              </w:rPr>
              <w:t>(1,026)</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2"/>
                <w:szCs w:val="12"/>
                <w:color w:val="auto"/>
              </w:rPr>
              <w:t>(683)</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cash flows (used in)/provided by financing activities</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4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(1,020)</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line="20" w:lineRule="exact"/>
              <w:rPr>
                <w:sz w:val="1"/>
                <w:szCs w:val="1"/>
                <w:color w:val="auto"/>
              </w:rPr>
            </w:pPr>
          </w:p>
        </w:tc>
      </w:tr>
      <w:tr>
        <w:trPr>
          <w:trHeight w:val="123"/>
        </w:trPr>
        <w:tc>
          <w:tcPr>
            <w:tcW w:w="5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increase/(decrease) in cash and cash equivalents</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(6,740)</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(40,568)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48,487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5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and cash equivalents at January 1</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36,275</w:t>
            </w: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78,494</w:t>
            </w: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31,586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Exchange gain/(loss) on cash and cash equivalents</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2"/>
                <w:szCs w:val="12"/>
                <w:color w:val="auto"/>
              </w:rPr>
              <w:t>(2,740)</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2"/>
                <w:szCs w:val="12"/>
                <w:color w:val="auto"/>
              </w:rPr>
              <w:t>(1,651)</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and cash equivalents at December 31</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26,795</w:t>
            </w:r>
          </w:p>
        </w:tc>
        <w:tc>
          <w:tcPr>
            <w:tcW w:w="20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36,275</w:t>
            </w:r>
          </w:p>
        </w:tc>
        <w:tc>
          <w:tcPr>
            <w:tcW w:w="20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78,494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increase/(decrease) in cash and cash equivalents</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(6,740)</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(40,568)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48,487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line="20" w:lineRule="exact"/>
              <w:rPr>
                <w:sz w:val="1"/>
                <w:szCs w:val="1"/>
                <w:color w:val="auto"/>
              </w:rPr>
            </w:pPr>
          </w:p>
        </w:tc>
      </w:tr>
      <w:tr>
        <w:trPr>
          <w:trHeight w:val="130"/>
        </w:trPr>
        <w:tc>
          <w:tcPr>
            <w:tcW w:w="5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Supplemental non-cash activity</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Capital expenditures in Trade and other payables or Accrued expenses</w:t>
            </w:r>
          </w:p>
        </w:tc>
        <w:tc>
          <w:tcPr>
            <w:tcW w:w="20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5440" w:type="dxa"/>
            <w:vAlign w:val="bottom"/>
            <w:shd w:val="clear" w:color="auto" w:fill="CCEEFF"/>
          </w:tcPr>
          <w:p>
            <w:pPr>
              <w:ind w:left="120"/>
              <w:spacing w:after="0" w:line="137" w:lineRule="exact"/>
              <w:rPr>
                <w:sz w:val="20"/>
                <w:szCs w:val="20"/>
                <w:color w:val="auto"/>
              </w:rPr>
            </w:pPr>
            <w:r>
              <w:rPr>
                <w:rFonts w:ascii="Times New Roman" w:cs="Times New Roman" w:eastAsia="Times New Roman" w:hAnsi="Times New Roman"/>
                <w:sz w:val="12"/>
                <w:szCs w:val="12"/>
                <w:color w:val="auto"/>
              </w:rPr>
              <w:t>Transaction costs and stamp duty associated with the public offerings of common shares recorded in Accrued</w:t>
            </w: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expenses</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11</w:t>
            </w: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Transaction costs associated with the sale of treasury shares in public offering recorded in Accrued expenses</w:t>
            </w:r>
          </w:p>
        </w:tc>
        <w:tc>
          <w:tcPr>
            <w:tcW w:w="20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11</w:t>
            </w:r>
          </w:p>
        </w:tc>
        <w:tc>
          <w:tcPr>
            <w:tcW w:w="180" w:type="dxa"/>
            <w:vAlign w:val="bottom"/>
          </w:tcPr>
          <w:p>
            <w:pPr>
              <w:spacing w:after="0"/>
              <w:rPr>
                <w:sz w:val="13"/>
                <w:szCs w:val="13"/>
                <w:color w:val="auto"/>
              </w:rPr>
            </w:pPr>
          </w:p>
        </w:tc>
        <w:tc>
          <w:tcPr>
            <w:tcW w:w="960" w:type="dxa"/>
            <w:vAlign w:val="bottom"/>
            <w:gridSpan w:val="2"/>
          </w:tcPr>
          <w:p>
            <w:pPr>
              <w:jc w:val="right"/>
              <w:ind w:right="181"/>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ind w:right="181"/>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9">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73" w:name="page174"/>
    <w:bookmarkEnd w:id="17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AC Immune SA</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(In CHF thousands except for share and per share data)</w:t>
      </w:r>
    </w:p>
    <w:p>
      <w:pPr>
        <w:spacing w:after="0" w:line="204" w:lineRule="exact"/>
        <w:rPr>
          <w:sz w:val="20"/>
          <w:szCs w:val="20"/>
          <w:color w:val="auto"/>
        </w:rPr>
      </w:pPr>
    </w:p>
    <w:p>
      <w:pPr>
        <w:ind w:left="340" w:hanging="295"/>
        <w:spacing w:after="0"/>
        <w:tabs>
          <w:tab w:leader="none" w:pos="340" w:val="left"/>
        </w:tabs>
        <w:numPr>
          <w:ilvl w:val="0"/>
          <w:numId w:val="1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General information</w:t>
      </w:r>
    </w:p>
    <w:p>
      <w:pPr>
        <w:spacing w:after="0" w:line="215" w:lineRule="exact"/>
        <w:rPr>
          <w:sz w:val="20"/>
          <w:szCs w:val="20"/>
          <w:color w:val="auto"/>
        </w:rPr>
      </w:pPr>
    </w:p>
    <w:p>
      <w:pPr>
        <w:jc w:val="both"/>
        <w:ind w:left="40" w:right="99" w:firstLine="305"/>
        <w:spacing w:after="0" w:line="287" w:lineRule="auto"/>
        <w:rPr>
          <w:sz w:val="20"/>
          <w:szCs w:val="20"/>
          <w:color w:val="auto"/>
        </w:rPr>
      </w:pPr>
      <w:r>
        <w:rPr>
          <w:rFonts w:ascii="Times New Roman" w:cs="Times New Roman" w:eastAsia="Times New Roman" w:hAnsi="Times New Roman"/>
          <w:sz w:val="16"/>
          <w:szCs w:val="16"/>
          <w:color w:val="auto"/>
        </w:rPr>
        <w:t>AC Immune SA was founded in 2003. The Company controls a fully-owned subsidiary, AC Immune USA, Inc. (“AC Immune USA” or “Subsidiary” and, together with AC Immune SA, “AC Immune,” “ACIU,” “Company,” “we,” “our,” “ours,” “us”), which was registered and organized under the laws of Delaware, USA in June 2021. The Company and its Subsidiary form the Group.</w:t>
      </w:r>
    </w:p>
    <w:p>
      <w:pPr>
        <w:spacing w:after="0" w:line="152" w:lineRule="exact"/>
        <w:rPr>
          <w:sz w:val="20"/>
          <w:szCs w:val="20"/>
          <w:color w:val="auto"/>
        </w:rPr>
      </w:pPr>
    </w:p>
    <w:p>
      <w:pPr>
        <w:ind w:left="40" w:right="79" w:firstLine="305"/>
        <w:spacing w:after="0" w:line="248" w:lineRule="auto"/>
        <w:rPr>
          <w:sz w:val="20"/>
          <w:szCs w:val="20"/>
          <w:color w:val="auto"/>
        </w:rPr>
      </w:pPr>
      <w:r>
        <w:rPr>
          <w:rFonts w:ascii="Times New Roman" w:cs="Times New Roman" w:eastAsia="Times New Roman" w:hAnsi="Times New Roman"/>
          <w:sz w:val="17"/>
          <w:szCs w:val="17"/>
          <w:color w:val="auto"/>
        </w:rPr>
        <w:t>AC Immune SA is a clinical-stage biopharmaceutical company leveraging our two proprietary technology platforms to discover, design and develop novel proprietary medicines and diagnostics for prevention and treatment of neurodegenerative diseases (NDD) associated with protein misfolding. Misfolded proteins are generally recognized as the leading cause of NDD, such as Alzheimer’s disease (AD) and Parkinson’s disease (PD), with common mechanisms and drug targets, such as amyloid beta (Abeta), Tau, alpha-synuclein (a-syn) and TDP-43. Our goal is to continue leveraging our proprietary discovery platforms, SupraAntigen and Morphomer, to shift the treatment paradigm for neurodegenerative disease towards Precision Medicine. Our corporate strategy is focused on two core value drivers: (i) Active Immunotherapies being developed for the treatment and prevention of Alzheimer’s disease (AD) and Parkinson’s disease (PD); and (ii) Intracellular targeting with brain penetrant small molecule programs targeting intracellular pathologies.</w:t>
      </w:r>
    </w:p>
    <w:p>
      <w:pPr>
        <w:spacing w:after="0" w:line="187" w:lineRule="exact"/>
        <w:rPr>
          <w:sz w:val="20"/>
          <w:szCs w:val="20"/>
          <w:color w:val="auto"/>
        </w:rPr>
      </w:pPr>
    </w:p>
    <w:p>
      <w:pPr>
        <w:ind w:left="40" w:right="299" w:firstLine="305"/>
        <w:spacing w:after="0" w:line="263" w:lineRule="auto"/>
        <w:rPr>
          <w:sz w:val="20"/>
          <w:szCs w:val="20"/>
          <w:color w:val="auto"/>
        </w:rPr>
      </w:pPr>
      <w:r>
        <w:rPr>
          <w:rFonts w:ascii="Times New Roman" w:cs="Times New Roman" w:eastAsia="Times New Roman" w:hAnsi="Times New Roman"/>
          <w:sz w:val="17"/>
          <w:szCs w:val="17"/>
          <w:color w:val="auto"/>
        </w:rPr>
        <w:t>The Company was initially incorporated as a limited liability company on February 13, 2003 in Basel, and effective August 25, 2003 was transformed into a stock company. The Company’s corporate headquarters are located at EPFL Innovation Park Building B, 1015 Lausanne, Switzerland.</w:t>
      </w:r>
    </w:p>
    <w:p>
      <w:pPr>
        <w:spacing w:after="0" w:line="166" w:lineRule="exact"/>
        <w:rPr>
          <w:sz w:val="20"/>
          <w:szCs w:val="20"/>
          <w:color w:val="auto"/>
        </w:rPr>
      </w:pPr>
    </w:p>
    <w:p>
      <w:pPr>
        <w:ind w:left="340" w:hanging="295"/>
        <w:spacing w:after="0"/>
        <w:tabs>
          <w:tab w:leader="none" w:pos="340" w:val="left"/>
        </w:tabs>
        <w:numPr>
          <w:ilvl w:val="0"/>
          <w:numId w:val="1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Basis of preparation</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Going concern</w:t>
      </w:r>
    </w:p>
    <w:p>
      <w:pPr>
        <w:spacing w:after="0" w:line="215" w:lineRule="exact"/>
        <w:rPr>
          <w:sz w:val="20"/>
          <w:szCs w:val="20"/>
          <w:color w:val="auto"/>
        </w:rPr>
      </w:pPr>
    </w:p>
    <w:p>
      <w:pPr>
        <w:ind w:left="40" w:right="159" w:firstLine="305"/>
        <w:spacing w:after="0" w:line="253" w:lineRule="auto"/>
        <w:rPr>
          <w:sz w:val="20"/>
          <w:szCs w:val="20"/>
          <w:color w:val="auto"/>
        </w:rPr>
      </w:pPr>
      <w:r>
        <w:rPr>
          <w:rFonts w:ascii="Times New Roman" w:cs="Times New Roman" w:eastAsia="Times New Roman" w:hAnsi="Times New Roman"/>
          <w:sz w:val="17"/>
          <w:szCs w:val="17"/>
          <w:color w:val="auto"/>
        </w:rPr>
        <w:t>The Company believes that it will be able to meet all of its obligations as they fall due for at least 12 months from the filing date of this Form 20-F, after considering the Company’s cash position of CHF 26.8 million and short-term financial assets of CHF 64.6 million as of December 31, 2025. Hence, these consolidated financial statements have been prepared on a going-concern basis.</w:t>
      </w:r>
    </w:p>
    <w:p>
      <w:pPr>
        <w:spacing w:after="0" w:line="178" w:lineRule="exact"/>
        <w:rPr>
          <w:sz w:val="20"/>
          <w:szCs w:val="20"/>
          <w:color w:val="auto"/>
        </w:rPr>
      </w:pPr>
    </w:p>
    <w:p>
      <w:pPr>
        <w:ind w:left="40" w:right="59" w:firstLine="305"/>
        <w:spacing w:after="0" w:line="251" w:lineRule="auto"/>
        <w:rPr>
          <w:sz w:val="20"/>
          <w:szCs w:val="20"/>
          <w:color w:val="auto"/>
        </w:rPr>
      </w:pPr>
      <w:r>
        <w:rPr>
          <w:rFonts w:ascii="Times New Roman" w:cs="Times New Roman" w:eastAsia="Times New Roman" w:hAnsi="Times New Roman"/>
          <w:sz w:val="17"/>
          <w:szCs w:val="17"/>
          <w:color w:val="auto"/>
        </w:rPr>
        <w:t>To date, the Company has financed its cash requirements primarily from its public offerings, share issuances, contract revenues from option, license and collaboration agreements (OLCAs) and grants. The Company is a clinical stage company and is exposed to all the risks inherent to establishing a business. Inherent to the Company’s business are various risks and uncertainties, including the substantial uncertainty as to whether current projects will succeed and our ability to raise additional capital as needed. These risks may require us to take certain measures such as delaying, reducing or eliminating certain programs. The Company’s success may depend in part upon its ability to (i) establish and maintain a strong patent position and protection, (ii) enter into collaborations with partners in the pharmaceutical and biopharmaceutical industries, (iii) successfully move its product candidates through clinical development, (iv) attract and retain key personnel and (v) acquire capital to support its operations.</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Statement of compliance</w:t>
      </w:r>
    </w:p>
    <w:p>
      <w:pPr>
        <w:spacing w:after="0" w:line="215" w:lineRule="exact"/>
        <w:rPr>
          <w:sz w:val="20"/>
          <w:szCs w:val="20"/>
          <w:color w:val="auto"/>
        </w:rPr>
      </w:pPr>
    </w:p>
    <w:p>
      <w:pPr>
        <w:ind w:left="40" w:right="119" w:firstLine="305"/>
        <w:spacing w:after="0" w:line="255" w:lineRule="auto"/>
        <w:rPr>
          <w:sz w:val="20"/>
          <w:szCs w:val="20"/>
          <w:color w:val="auto"/>
        </w:rPr>
      </w:pPr>
      <w:r>
        <w:rPr>
          <w:rFonts w:ascii="Times New Roman" w:cs="Times New Roman" w:eastAsia="Times New Roman" w:hAnsi="Times New Roman"/>
          <w:sz w:val="17"/>
          <w:szCs w:val="17"/>
          <w:color w:val="auto"/>
        </w:rPr>
        <w:t>The consolidated financial statements have been prepared in accordance with IFRS Accounting Standards (IFRS) as issued by the International Accounting Standards Board (IASB). These consolidated financial statements were approved for issue by the Board of Directors on March 11, 2026.</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0">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74" w:name="page175"/>
    <w:bookmarkEnd w:id="17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Basis of measurement</w:t>
      </w:r>
    </w:p>
    <w:p>
      <w:pPr>
        <w:spacing w:after="0" w:line="215" w:lineRule="exact"/>
        <w:rPr>
          <w:sz w:val="20"/>
          <w:szCs w:val="20"/>
          <w:color w:val="auto"/>
        </w:rPr>
      </w:pPr>
    </w:p>
    <w:p>
      <w:pPr>
        <w:ind w:left="40" w:right="619" w:firstLine="305"/>
        <w:spacing w:after="0" w:line="277" w:lineRule="auto"/>
        <w:rPr>
          <w:sz w:val="20"/>
          <w:szCs w:val="20"/>
          <w:color w:val="auto"/>
        </w:rPr>
      </w:pPr>
      <w:r>
        <w:rPr>
          <w:rFonts w:ascii="Times New Roman" w:cs="Times New Roman" w:eastAsia="Times New Roman" w:hAnsi="Times New Roman"/>
          <w:sz w:val="17"/>
          <w:szCs w:val="17"/>
          <w:color w:val="auto"/>
        </w:rPr>
        <w:t>The consolidated financial statements have been prepared under the historical cost convention except for items that are required to be accounted for at fair value.</w:t>
      </w:r>
    </w:p>
    <w:p>
      <w:pPr>
        <w:spacing w:after="0" w:line="154" w:lineRule="exact"/>
        <w:rPr>
          <w:sz w:val="20"/>
          <w:szCs w:val="20"/>
          <w:color w:val="auto"/>
        </w:rPr>
      </w:pPr>
    </w:p>
    <w:p>
      <w:pPr>
        <w:ind w:left="340" w:hanging="295"/>
        <w:spacing w:after="0"/>
        <w:tabs>
          <w:tab w:leader="none" w:pos="340" w:val="left"/>
        </w:tabs>
        <w:numPr>
          <w:ilvl w:val="0"/>
          <w:numId w:val="1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material accounting policies</w:t>
      </w:r>
    </w:p>
    <w:p>
      <w:pPr>
        <w:spacing w:after="0" w:line="215" w:lineRule="exact"/>
        <w:rPr>
          <w:sz w:val="20"/>
          <w:szCs w:val="20"/>
          <w:color w:val="auto"/>
        </w:rPr>
      </w:pPr>
    </w:p>
    <w:p>
      <w:pPr>
        <w:ind w:left="40" w:right="59" w:firstLine="305"/>
        <w:spacing w:after="0" w:line="277" w:lineRule="auto"/>
        <w:rPr>
          <w:sz w:val="20"/>
          <w:szCs w:val="20"/>
          <w:color w:val="auto"/>
        </w:rPr>
      </w:pPr>
      <w:r>
        <w:rPr>
          <w:rFonts w:ascii="Times New Roman" w:cs="Times New Roman" w:eastAsia="Times New Roman" w:hAnsi="Times New Roman"/>
          <w:sz w:val="17"/>
          <w:szCs w:val="17"/>
          <w:color w:val="auto"/>
        </w:rPr>
        <w:t>The principal accounting policies adopted in the preparation of these consolidated financial statements are set out below. These policies have been consistently applied to all the years presented, unless otherwise stated.</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Functional and reporting currency</w:t>
      </w:r>
    </w:p>
    <w:p>
      <w:pPr>
        <w:spacing w:after="0" w:line="202" w:lineRule="exact"/>
        <w:rPr>
          <w:sz w:val="20"/>
          <w:szCs w:val="20"/>
          <w:color w:val="auto"/>
        </w:rPr>
      </w:pPr>
    </w:p>
    <w:p>
      <w:pPr>
        <w:ind w:left="40" w:right="199" w:firstLine="305"/>
        <w:spacing w:after="0" w:line="287" w:lineRule="auto"/>
        <w:rPr>
          <w:sz w:val="20"/>
          <w:szCs w:val="20"/>
          <w:color w:val="auto"/>
        </w:rPr>
      </w:pPr>
      <w:r>
        <w:rPr>
          <w:rFonts w:ascii="Times New Roman" w:cs="Times New Roman" w:eastAsia="Times New Roman" w:hAnsi="Times New Roman"/>
          <w:sz w:val="16"/>
          <w:szCs w:val="16"/>
          <w:color w:val="auto"/>
        </w:rPr>
        <w:t>These consolidated financial statements and accompanying notes are presented in Swiss Francs (CHF), which is AC Immune SA’s functional currency and the Group’s reporting currency. The Company’s subsidiary has a functional currency of the U.S. Dollar (USD). The respective functional currency represents the primary economic environment in which the entities operate.</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exchange rates have been used for the translation of the financial statements of AC Immune USA:</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900" w:type="dxa"/>
            <w:vAlign w:val="bottom"/>
            <w:gridSpan w:val="2"/>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5"/>
              </w:rPr>
              <w:t>For the Year Ended</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left="87"/>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r>
      <w:tr>
        <w:trPr>
          <w:trHeight w:val="208"/>
        </w:trPr>
        <w:tc>
          <w:tcPr>
            <w:tcW w:w="20" w:type="dxa"/>
            <w:vAlign w:val="bottom"/>
          </w:tcPr>
          <w:p>
            <w:pPr>
              <w:spacing w:after="0"/>
              <w:rPr>
                <w:sz w:val="18"/>
                <w:szCs w:val="18"/>
                <w:color w:val="auto"/>
              </w:rPr>
            </w:pPr>
          </w:p>
        </w:tc>
        <w:tc>
          <w:tcPr>
            <w:tcW w:w="6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CHF/USD</w:t>
            </w:r>
          </w:p>
        </w:tc>
        <w:tc>
          <w:tcPr>
            <w:tcW w:w="2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Closing rate, USD 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0.800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0.851</w:t>
            </w:r>
          </w:p>
        </w:tc>
        <w:tc>
          <w:tcPr>
            <w:tcW w:w="4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exchange rate, USD 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0.840</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0.889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0.908</w:t>
            </w:r>
          </w:p>
        </w:tc>
        <w:tc>
          <w:tcPr>
            <w:tcW w:w="40" w:type="dxa"/>
            <w:vAlign w:val="bottom"/>
          </w:tcPr>
          <w:p>
            <w:pPr>
              <w:spacing w:after="0"/>
              <w:rPr>
                <w:sz w:val="19"/>
                <w:szCs w:val="19"/>
                <w:color w:val="auto"/>
              </w:rPr>
            </w:pPr>
          </w:p>
        </w:tc>
      </w:tr>
    </w:tbl>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results and financial position of AC Immune USA are translated into the presentation currency as follows:</w:t>
      </w:r>
    </w:p>
    <w:p>
      <w:pPr>
        <w:spacing w:after="0" w:line="211" w:lineRule="exact"/>
        <w:rPr>
          <w:sz w:val="20"/>
          <w:szCs w:val="20"/>
          <w:color w:val="auto"/>
        </w:rPr>
      </w:pPr>
    </w:p>
    <w:p>
      <w:pPr>
        <w:ind w:left="680" w:hanging="305"/>
        <w:spacing w:after="0"/>
        <w:tabs>
          <w:tab w:leader="none" w:pos="68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assets and liabilities for each balance sheet presented are translated at the closing rate at the date of that balance sheet;</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and expenses for each statement of income/(loss) are translated at average exchange rates; and</w:t>
      </w:r>
    </w:p>
    <w:p>
      <w:pPr>
        <w:spacing w:after="0" w:line="210" w:lineRule="exact"/>
        <w:rPr>
          <w:rFonts w:ascii="Times New Roman" w:cs="Times New Roman" w:eastAsia="Times New Roman" w:hAnsi="Times New Roman"/>
          <w:sz w:val="17"/>
          <w:szCs w:val="17"/>
          <w:color w:val="auto"/>
        </w:rPr>
      </w:pPr>
    </w:p>
    <w:p>
      <w:pPr>
        <w:ind w:left="680" w:right="379" w:hanging="305"/>
        <w:spacing w:after="0" w:line="277" w:lineRule="auto"/>
        <w:tabs>
          <w:tab w:leader="none" w:pos="68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resulting exchange differences are recognized in other comprehensive income/(loss), within cumulative translation differences.</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Basis of consolidation</w:t>
      </w:r>
    </w:p>
    <w:p>
      <w:pPr>
        <w:spacing w:after="0" w:line="215" w:lineRule="exact"/>
        <w:rPr>
          <w:sz w:val="20"/>
          <w:szCs w:val="20"/>
          <w:color w:val="auto"/>
        </w:rPr>
      </w:pPr>
    </w:p>
    <w:p>
      <w:pPr>
        <w:jc w:val="both"/>
        <w:ind w:left="40" w:right="319" w:firstLine="305"/>
        <w:spacing w:after="0" w:line="255" w:lineRule="auto"/>
        <w:rPr>
          <w:sz w:val="20"/>
          <w:szCs w:val="20"/>
          <w:color w:val="auto"/>
        </w:rPr>
      </w:pPr>
      <w:r>
        <w:rPr>
          <w:rFonts w:ascii="Times New Roman" w:cs="Times New Roman" w:eastAsia="Times New Roman" w:hAnsi="Times New Roman"/>
          <w:sz w:val="17"/>
          <w:szCs w:val="17"/>
          <w:color w:val="auto"/>
        </w:rPr>
        <w:t>The annual closing date of the individual financial statements is December 31. The Company fully-owns its Subsidiary and fully consolidates its financial statements into these consolidated financial statements. All intercompany transactions have been eliminated.</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Foreign currency transactions</w:t>
      </w:r>
    </w:p>
    <w:p>
      <w:pPr>
        <w:spacing w:after="0" w:line="215" w:lineRule="exact"/>
        <w:rPr>
          <w:sz w:val="20"/>
          <w:szCs w:val="20"/>
          <w:color w:val="auto"/>
        </w:rPr>
      </w:pPr>
    </w:p>
    <w:p>
      <w:pPr>
        <w:ind w:left="40" w:right="79" w:firstLine="305"/>
        <w:spacing w:after="0" w:line="252" w:lineRule="auto"/>
        <w:rPr>
          <w:sz w:val="20"/>
          <w:szCs w:val="20"/>
          <w:color w:val="auto"/>
        </w:rPr>
      </w:pPr>
      <w:r>
        <w:rPr>
          <w:rFonts w:ascii="Times New Roman" w:cs="Times New Roman" w:eastAsia="Times New Roman" w:hAnsi="Times New Roman"/>
          <w:sz w:val="17"/>
          <w:szCs w:val="17"/>
          <w:color w:val="auto"/>
        </w:rPr>
        <w:t>Foreign currency transactions are translated into the respective functional currency using prevailing exchange rates at the dates of the transactions. Foreign exchange gains and losses resulting from the settlement of such transactions and from the translation at year-end exchange rates of monetary assets and liabilities denominated in foreign currencies are recognized in the consolidated statements of income/(loss). Any gains or losses from these translations are included in the consolidated statements of income/(loss) in the period in which they arise.</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Current vs. non-current classification</w:t>
      </w:r>
    </w:p>
    <w:p>
      <w:pPr>
        <w:spacing w:after="0" w:line="215" w:lineRule="exact"/>
        <w:rPr>
          <w:sz w:val="20"/>
          <w:szCs w:val="20"/>
          <w:color w:val="auto"/>
        </w:rPr>
      </w:pPr>
    </w:p>
    <w:p>
      <w:pPr>
        <w:ind w:left="40" w:right="279" w:firstLine="305"/>
        <w:spacing w:after="0" w:line="277" w:lineRule="auto"/>
        <w:rPr>
          <w:sz w:val="20"/>
          <w:szCs w:val="20"/>
          <w:color w:val="auto"/>
        </w:rPr>
      </w:pPr>
      <w:r>
        <w:rPr>
          <w:rFonts w:ascii="Times New Roman" w:cs="Times New Roman" w:eastAsia="Times New Roman" w:hAnsi="Times New Roman"/>
          <w:sz w:val="17"/>
          <w:szCs w:val="17"/>
          <w:color w:val="auto"/>
        </w:rPr>
        <w:t>The Company presents assets and liabilities in the consolidated balance sheets based on a current/non-current classification. The Company classifies as current all amounts (assets) that are to be realized within 12 months after the</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1">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75" w:name="page176"/>
    <w:bookmarkEnd w:id="17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59"/>
        <w:spacing w:after="0" w:line="263" w:lineRule="auto"/>
        <w:rPr>
          <w:sz w:val="20"/>
          <w:szCs w:val="20"/>
          <w:color w:val="auto"/>
        </w:rPr>
      </w:pPr>
      <w:r>
        <w:rPr>
          <w:rFonts w:ascii="Times New Roman" w:cs="Times New Roman" w:eastAsia="Times New Roman" w:hAnsi="Times New Roman"/>
          <w:sz w:val="17"/>
          <w:szCs w:val="17"/>
          <w:color w:val="auto"/>
        </w:rPr>
        <w:t>reporting period and classifies as non-current all other amounts (assets). For liabilities, in accordance with IAS 1, any amounts expected to be settled within 12 months after the reporting period are classified as current if the Company does not have the right to defer settlement for at least 12 months after the reporting period - all other amounts (liabilities) are classified as non-current.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211" w:lineRule="exact"/>
        <w:rPr>
          <w:sz w:val="20"/>
          <w:szCs w:val="20"/>
          <w:color w:val="auto"/>
        </w:rPr>
      </w:pPr>
    </w:p>
    <w:p>
      <w:pPr>
        <w:ind w:left="40" w:right="119" w:firstLine="305"/>
        <w:spacing w:after="0" w:line="266" w:lineRule="auto"/>
        <w:rPr>
          <w:sz w:val="20"/>
          <w:szCs w:val="20"/>
          <w:color w:val="auto"/>
        </w:rPr>
      </w:pPr>
      <w:r>
        <w:rPr>
          <w:rFonts w:ascii="Times New Roman" w:cs="Times New Roman" w:eastAsia="Times New Roman" w:hAnsi="Times New Roman"/>
          <w:sz w:val="16"/>
          <w:szCs w:val="16"/>
          <w:color w:val="auto"/>
        </w:rPr>
        <w:t xml:space="preserve">The Company applies IFRS 15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This standard applies to all contracts with customers, except for contracts that are within the scope of other standards, such as leases, insurance, certain collaboration arrangements and financial instruments. Under IFRS 15,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IFRS 15, the entity performs the following five steps: (i) identify the contract(s) with a customer; (ii) identify the performance obligations in the contract; (iii) determine the transaction price; (iv) allocate the transaction price to the performance obligations in the contract; and</w:t>
      </w:r>
    </w:p>
    <w:p>
      <w:pPr>
        <w:spacing w:after="0" w:line="1" w:lineRule="exact"/>
        <w:rPr>
          <w:sz w:val="20"/>
          <w:szCs w:val="20"/>
          <w:color w:val="auto"/>
        </w:rPr>
      </w:pPr>
    </w:p>
    <w:p>
      <w:pPr>
        <w:ind w:left="40" w:right="139" w:firstLine="5"/>
        <w:spacing w:after="0" w:line="248" w:lineRule="auto"/>
        <w:tabs>
          <w:tab w:leader="none" w:pos="28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recognize revenue when (or as) the entity satisfies a performance obligation. The Company applies the five-step model to contracts only when it is probable that the entity will collect the consideration it is entitled to in exchange for the goods or services it transfers to the customer. At contract inception, once the contract is determined to be within the scope of IFRS 15,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81" w:lineRule="exact"/>
        <w:rPr>
          <w:sz w:val="20"/>
          <w:szCs w:val="20"/>
          <w:color w:val="auto"/>
        </w:rPr>
      </w:pPr>
    </w:p>
    <w:p>
      <w:pPr>
        <w:ind w:left="40" w:right="139" w:firstLine="305"/>
        <w:spacing w:after="0" w:line="251" w:lineRule="auto"/>
        <w:rPr>
          <w:sz w:val="20"/>
          <w:szCs w:val="20"/>
          <w:color w:val="auto"/>
        </w:rPr>
      </w:pPr>
      <w:r>
        <w:rPr>
          <w:rFonts w:ascii="Times New Roman" w:cs="Times New Roman" w:eastAsia="Times New Roman" w:hAnsi="Times New Roman"/>
          <w:sz w:val="17"/>
          <w:szCs w:val="17"/>
          <w:color w:val="auto"/>
        </w:rPr>
        <w:t>The Company enters into OLCAs which are within the scope of IFRS 15, under which it licenses certain rights to its product candidates and intellectual property to third parties. The terms of these arrangements typically include payment to the Company of one or more of the following: non-refundable, upfront license fees, development, regulatory and/or commercial milestone payments; payments for research and clinical services the Company provides through either its full-time employees or third-party vendors, and royalties on net sales of licensed products commercialized from the Company’s intellectual property. Each of these payments results in license, collaboration and other revenues, which are classified as contract revenue on the consolidated statements of income/(loss).</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Licenses of intellectual property</w:t>
      </w:r>
    </w:p>
    <w:p>
      <w:pPr>
        <w:spacing w:after="0" w:line="215" w:lineRule="exact"/>
        <w:rPr>
          <w:sz w:val="20"/>
          <w:szCs w:val="20"/>
          <w:color w:val="auto"/>
        </w:rPr>
      </w:pPr>
    </w:p>
    <w:p>
      <w:pPr>
        <w:ind w:left="40" w:right="59" w:firstLine="305"/>
        <w:spacing w:after="0" w:line="251" w:lineRule="auto"/>
        <w:rPr>
          <w:sz w:val="20"/>
          <w:szCs w:val="20"/>
          <w:color w:val="auto"/>
        </w:rPr>
      </w:pPr>
      <w:r>
        <w:rPr>
          <w:rFonts w:ascii="Times New Roman" w:cs="Times New Roman" w:eastAsia="Times New Roman" w:hAnsi="Times New Roman"/>
          <w:sz w:val="17"/>
          <w:szCs w:val="17"/>
          <w:color w:val="auto"/>
        </w:rPr>
        <w:t>If the license to the Company’s intellectual property is determined to be distinct from the other performance obligations identified in the arrangement, the Company recognizes revenues from non-refundable, upfront fees allocated to the license when the license is transferred to the customer and the customer is able to use and benefit from the license. For licenses that are sold in conjunction with a related service, the Company uses judgment to assess the nature of the combined performance obligation to determine whether the combined performance obligation is satisfied over time or at a point in time. If the performance obligation is settled over time, the Company determines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Milestone payments</w:t>
      </w:r>
    </w:p>
    <w:p>
      <w:pPr>
        <w:spacing w:after="0" w:line="215" w:lineRule="exact"/>
        <w:rPr>
          <w:sz w:val="20"/>
          <w:szCs w:val="20"/>
          <w:color w:val="auto"/>
        </w:rPr>
      </w:pPr>
    </w:p>
    <w:p>
      <w:pPr>
        <w:ind w:left="40" w:right="79" w:firstLine="305"/>
        <w:spacing w:after="0" w:line="251" w:lineRule="auto"/>
        <w:rPr>
          <w:sz w:val="20"/>
          <w:szCs w:val="20"/>
          <w:color w:val="auto"/>
        </w:rPr>
      </w:pPr>
      <w:r>
        <w:rPr>
          <w:rFonts w:ascii="Times New Roman" w:cs="Times New Roman" w:eastAsia="Times New Roman" w:hAnsi="Times New Roman"/>
          <w:sz w:val="17"/>
          <w:szCs w:val="17"/>
          <w:color w:val="auto"/>
        </w:rPr>
        <w:t>At the inception of each arrangement that includes development, regulatory and/or commercial milestone payments, the Company evaluates whether the milestones are considered highly probable of being reached and estimates the amount to be included in the transaction price using the most likely amount method. If it is highly probable that a significant cumulative revenue reversal would not occur in future periods, the associated milestone value is included in the transaction price. These amounts for the performance obligations under the contract are recognized as they are satisfied. At the end of each subsequent reporting period, the Company re-evaluates the probability of achievement of such milestones and any related constraint, and if necessary, adjusts its estimate of the overall transaction price. Any such adjustments recorded would affect contract revenues and earnings in the period of adjustment.</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329565</wp:posOffset>
            </wp:positionV>
            <wp:extent cx="5657850" cy="241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2">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76" w:name="page177"/>
    <w:bookmarkEnd w:id="17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services</w:t>
      </w:r>
    </w:p>
    <w:p>
      <w:pPr>
        <w:spacing w:after="0" w:line="215" w:lineRule="exact"/>
        <w:rPr>
          <w:sz w:val="20"/>
          <w:szCs w:val="20"/>
          <w:color w:val="auto"/>
        </w:rPr>
      </w:pPr>
    </w:p>
    <w:p>
      <w:pPr>
        <w:ind w:left="40" w:right="139" w:firstLine="305"/>
        <w:spacing w:after="0" w:line="258" w:lineRule="auto"/>
        <w:rPr>
          <w:sz w:val="20"/>
          <w:szCs w:val="20"/>
          <w:color w:val="auto"/>
        </w:rPr>
      </w:pPr>
      <w:r>
        <w:rPr>
          <w:rFonts w:ascii="Times New Roman" w:cs="Times New Roman" w:eastAsia="Times New Roman" w:hAnsi="Times New Roman"/>
          <w:sz w:val="17"/>
          <w:szCs w:val="17"/>
          <w:color w:val="auto"/>
        </w:rPr>
        <w:t>The Company has certain arrangements with our collaboration partners that include contracting our employees for research and development programs. The Company assesses if these services are considered distinct in the context of each contract and, if so, they are accounted for as separate performance obligations. These revenues are recorded in contract revenue as the services are performed.</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Sublicense revenues</w:t>
      </w:r>
    </w:p>
    <w:p>
      <w:pPr>
        <w:spacing w:after="0" w:line="215" w:lineRule="exact"/>
        <w:rPr>
          <w:sz w:val="20"/>
          <w:szCs w:val="20"/>
          <w:color w:val="auto"/>
        </w:rPr>
      </w:pPr>
    </w:p>
    <w:p>
      <w:pPr>
        <w:ind w:left="40" w:right="99" w:firstLine="305"/>
        <w:spacing w:after="0" w:line="293" w:lineRule="auto"/>
        <w:rPr>
          <w:sz w:val="20"/>
          <w:szCs w:val="20"/>
          <w:color w:val="auto"/>
        </w:rPr>
      </w:pPr>
      <w:r>
        <w:rPr>
          <w:rFonts w:ascii="Times New Roman" w:cs="Times New Roman" w:eastAsia="Times New Roman" w:hAnsi="Times New Roman"/>
          <w:sz w:val="16"/>
          <w:szCs w:val="16"/>
          <w:color w:val="auto"/>
        </w:rPr>
        <w:t>The Company has certain arrangements with our collaboration partners that include provisions for sublicensing. The Company recognizes any sublicense revenues at the point in time it is highly probable to obtain and not subject to reversal in the future.</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Contract balances</w:t>
      </w:r>
    </w:p>
    <w:p>
      <w:pPr>
        <w:spacing w:after="0" w:line="215" w:lineRule="exact"/>
        <w:rPr>
          <w:sz w:val="20"/>
          <w:szCs w:val="20"/>
          <w:color w:val="auto"/>
        </w:rPr>
      </w:pPr>
    </w:p>
    <w:p>
      <w:pPr>
        <w:ind w:left="40" w:right="99" w:firstLine="305"/>
        <w:spacing w:after="0" w:line="270" w:lineRule="auto"/>
        <w:rPr>
          <w:sz w:val="20"/>
          <w:szCs w:val="20"/>
          <w:color w:val="auto"/>
        </w:rPr>
      </w:pPr>
      <w:r>
        <w:rPr>
          <w:rFonts w:ascii="Times New Roman" w:cs="Times New Roman" w:eastAsia="Times New Roman" w:hAnsi="Times New Roman"/>
          <w:sz w:val="16"/>
          <w:szCs w:val="16"/>
          <w:color w:val="auto"/>
        </w:rPr>
        <w:t>The Company receives payments and determines credit terms from its customers for its various performance obligations based on billing schedules established in each contract. The timing of revenue recognition, billings and cash collections results in billed other current receivables, accrued income (contract assets), and deferred income (contract liabilities) on the consolidated balance sheets. Amounts are recorded as accounts receivable when the Company’s right to consideration is unconditional. The Company does not assess whether a contract has a significant financing component if the expectation at contract inception is such that the period between payment by the licensees and the transfer of the promised goods or services to the licensees will be 1 year or less.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For a complete discussion of accounting for contract revenue, see “Note 13. Contract revenues.”</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Research and development expenses</w:t>
      </w:r>
    </w:p>
    <w:p>
      <w:pPr>
        <w:spacing w:after="0" w:line="215" w:lineRule="exact"/>
        <w:rPr>
          <w:sz w:val="20"/>
          <w:szCs w:val="20"/>
          <w:color w:val="auto"/>
        </w:rPr>
      </w:pPr>
    </w:p>
    <w:p>
      <w:pPr>
        <w:ind w:left="40" w:right="139" w:firstLine="305"/>
        <w:spacing w:after="0" w:line="263" w:lineRule="auto"/>
        <w:rPr>
          <w:sz w:val="20"/>
          <w:szCs w:val="20"/>
          <w:color w:val="auto"/>
        </w:rPr>
      </w:pPr>
      <w:r>
        <w:rPr>
          <w:rFonts w:ascii="Times New Roman" w:cs="Times New Roman" w:eastAsia="Times New Roman" w:hAnsi="Times New Roman"/>
          <w:sz w:val="17"/>
          <w:szCs w:val="17"/>
          <w:color w:val="auto"/>
        </w:rPr>
        <w:t xml:space="preserve">Given the stage of development of the Company’s products, all research and development expenditure is expensed as incurred as it does not meet the capitalization criteria outlined in IAS 38 </w:t>
      </w:r>
      <w:r>
        <w:rPr>
          <w:rFonts w:ascii="Times New Roman" w:cs="Times New Roman" w:eastAsia="Times New Roman" w:hAnsi="Times New Roman"/>
          <w:sz w:val="17"/>
          <w:szCs w:val="17"/>
          <w:i w:val="1"/>
          <w:iCs w:val="1"/>
          <w:color w:val="auto"/>
        </w:rPr>
        <w:t>Intangible Assets</w:t>
      </w:r>
      <w:r>
        <w:rPr>
          <w:rFonts w:ascii="Times New Roman" w:cs="Times New Roman" w:eastAsia="Times New Roman" w:hAnsi="Times New Roman"/>
          <w:sz w:val="17"/>
          <w:szCs w:val="17"/>
          <w:color w:val="auto"/>
        </w:rPr>
        <w:t>. The Company has not capitalized any R&amp;D expenses to date. Research and development expenditures include:</w:t>
      </w:r>
    </w:p>
    <w:p>
      <w:pPr>
        <w:spacing w:after="0" w:line="170" w:lineRule="exact"/>
        <w:rPr>
          <w:sz w:val="20"/>
          <w:szCs w:val="20"/>
          <w:color w:val="auto"/>
        </w:rPr>
      </w:pPr>
    </w:p>
    <w:p>
      <w:pPr>
        <w:ind w:left="680" w:right="279" w:hanging="305"/>
        <w:spacing w:after="0" w:line="277" w:lineRule="auto"/>
        <w:tabs>
          <w:tab w:leader="none" w:pos="68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acquiring, developing and manufacturing active pharmaceutical ingredients for product candidates that have not received regulatory approval, clinical trial materials and other research and development materials;</w:t>
      </w:r>
    </w:p>
    <w:p>
      <w:pPr>
        <w:spacing w:after="0" w:line="157" w:lineRule="exact"/>
        <w:rPr>
          <w:rFonts w:ascii="Times New Roman" w:cs="Times New Roman" w:eastAsia="Times New Roman" w:hAnsi="Times New Roman"/>
          <w:sz w:val="17"/>
          <w:szCs w:val="17"/>
          <w:color w:val="auto"/>
        </w:rPr>
      </w:pPr>
    </w:p>
    <w:p>
      <w:pPr>
        <w:ind w:left="680" w:right="119" w:hanging="305"/>
        <w:spacing w:after="0" w:line="255" w:lineRule="auto"/>
        <w:tabs>
          <w:tab w:leader="none" w:pos="68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and expenses incurred under agreements with contract research organizations, investigative sites and other entities in connection with the conduct of clinical trials and preclinical studies and related services, such as administrative, data-management and laboratory services;</w:t>
      </w:r>
    </w:p>
    <w:p>
      <w:pPr>
        <w:spacing w:after="0" w:line="189"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and costs related to regulatory filings and activities;</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associated with preclinical and clinical activities;</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employee-related expenses, including salaries and bonuses, benefits, travel and share-based compensation expenses; and</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allocated expenses such as facilities and information technology (IT) costs.</w:t>
      </w:r>
    </w:p>
    <w:p>
      <w:pPr>
        <w:spacing w:after="0" w:line="211" w:lineRule="exact"/>
        <w:rPr>
          <w:sz w:val="20"/>
          <w:szCs w:val="20"/>
          <w:color w:val="auto"/>
        </w:rPr>
      </w:pPr>
    </w:p>
    <w:p>
      <w:pPr>
        <w:jc w:val="both"/>
        <w:ind w:left="40" w:right="139" w:firstLine="305"/>
        <w:spacing w:after="0" w:line="253" w:lineRule="auto"/>
        <w:rPr>
          <w:sz w:val="20"/>
          <w:szCs w:val="20"/>
          <w:color w:val="auto"/>
        </w:rPr>
      </w:pPr>
      <w:r>
        <w:rPr>
          <w:rFonts w:ascii="Times New Roman" w:cs="Times New Roman" w:eastAsia="Times New Roman" w:hAnsi="Times New Roman"/>
          <w:sz w:val="17"/>
          <w:szCs w:val="17"/>
          <w:color w:val="auto"/>
        </w:rPr>
        <w:t>For external research contracts, expenses include those associated with contract research organizations, or CROs, or contract manufacturing organizations, or CMOs. The invoicing from CROs or CMOs for services rendered do not always align with work performed. We accrue the cost of services rendered in connection with CRO or CMO activities based on our estimate of the “stage of completion” for such contracted services. We maintain regular communication</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3">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77" w:name="page178"/>
    <w:bookmarkEnd w:id="17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199"/>
        <w:spacing w:after="0" w:line="277" w:lineRule="auto"/>
        <w:rPr>
          <w:sz w:val="20"/>
          <w:szCs w:val="20"/>
          <w:color w:val="auto"/>
        </w:rPr>
      </w:pPr>
      <w:r>
        <w:rPr>
          <w:rFonts w:ascii="Times New Roman" w:cs="Times New Roman" w:eastAsia="Times New Roman" w:hAnsi="Times New Roman"/>
          <w:sz w:val="17"/>
          <w:szCs w:val="17"/>
          <w:color w:val="auto"/>
        </w:rPr>
        <w:t>with our CRO or CMO vendors to gauge the reasonableness of our estimates and accrued expenses as of the balance sheet date in the consolidated financial statements based on facts and circumstances known at the time.</w:t>
      </w:r>
    </w:p>
    <w:p>
      <w:pPr>
        <w:spacing w:after="0" w:line="158" w:lineRule="exact"/>
        <w:rPr>
          <w:sz w:val="20"/>
          <w:szCs w:val="20"/>
          <w:color w:val="auto"/>
        </w:rPr>
      </w:pPr>
    </w:p>
    <w:p>
      <w:pPr>
        <w:jc w:val="both"/>
        <w:ind w:left="40" w:right="259" w:firstLine="305"/>
        <w:spacing w:after="0" w:line="263" w:lineRule="auto"/>
        <w:rPr>
          <w:sz w:val="20"/>
          <w:szCs w:val="20"/>
          <w:color w:val="auto"/>
        </w:rPr>
      </w:pPr>
      <w:r>
        <w:rPr>
          <w:rFonts w:ascii="Times New Roman" w:cs="Times New Roman" w:eastAsia="Times New Roman" w:hAnsi="Times New Roman"/>
          <w:sz w:val="17"/>
          <w:szCs w:val="17"/>
          <w:color w:val="auto"/>
        </w:rPr>
        <w:t>Registration costs for patents are part of the expenditure for research and development projects. Therefore, registration costs for patents are expensed when incurred as long as the research and development project concerned does not meet the criteria for capitalization.</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General and administrative expenses</w:t>
      </w:r>
    </w:p>
    <w:p>
      <w:pPr>
        <w:spacing w:after="0" w:line="215" w:lineRule="exact"/>
        <w:rPr>
          <w:sz w:val="20"/>
          <w:szCs w:val="20"/>
          <w:color w:val="auto"/>
        </w:rPr>
      </w:pPr>
    </w:p>
    <w:p>
      <w:pPr>
        <w:ind w:left="40" w:right="119" w:firstLine="305"/>
        <w:spacing w:after="0" w:line="253" w:lineRule="auto"/>
        <w:rPr>
          <w:sz w:val="20"/>
          <w:szCs w:val="20"/>
          <w:color w:val="auto"/>
        </w:rPr>
      </w:pPr>
      <w:r>
        <w:rPr>
          <w:rFonts w:ascii="Times New Roman" w:cs="Times New Roman" w:eastAsia="Times New Roman" w:hAnsi="Times New Roman"/>
          <w:sz w:val="17"/>
          <w:szCs w:val="17"/>
          <w:color w:val="auto"/>
        </w:rPr>
        <w:t>General and administrative expenses are expensed as incurred and include personnel costs, expenses for outside professional services and all other allocated expenses. Personnel costs consist of salaries, cash bonuses, benefits and share-based compensation. Outside professional services consist of legal, accounting and audit services, IT and other consulting fees. Allocated expenses consist of certain IT, facilities and depreciation expenses.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Restructuring expenses</w:t>
      </w:r>
    </w:p>
    <w:p>
      <w:pPr>
        <w:spacing w:after="0" w:line="215" w:lineRule="exact"/>
        <w:rPr>
          <w:sz w:val="20"/>
          <w:szCs w:val="20"/>
          <w:color w:val="auto"/>
        </w:rPr>
      </w:pPr>
    </w:p>
    <w:p>
      <w:pPr>
        <w:ind w:left="40" w:right="199" w:firstLine="305"/>
        <w:spacing w:after="0" w:line="252" w:lineRule="auto"/>
        <w:rPr>
          <w:sz w:val="20"/>
          <w:szCs w:val="20"/>
          <w:color w:val="auto"/>
        </w:rPr>
      </w:pPr>
      <w:r>
        <w:rPr>
          <w:rFonts w:ascii="Times New Roman" w:cs="Times New Roman" w:eastAsia="Times New Roman" w:hAnsi="Times New Roman"/>
          <w:sz w:val="17"/>
          <w:szCs w:val="17"/>
          <w:color w:val="auto"/>
        </w:rPr>
        <w:t>During September 2025, the Company incurred restructuring costs associated with planned initiatives to reduce its costs. The most significant restructuring costs are termination benefits provided to employees. In connection with developing a detailed formal plan for the restructuring, the Company established a provision for restructuring costs and, through execution of the plan and announcement of its main features to those affected by it, a valid expectation has been raised in those affected that the plan would be implemented.</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Grant income</w:t>
      </w:r>
    </w:p>
    <w:p>
      <w:pPr>
        <w:spacing w:after="0" w:line="215" w:lineRule="exact"/>
        <w:rPr>
          <w:sz w:val="20"/>
          <w:szCs w:val="20"/>
          <w:color w:val="auto"/>
        </w:rPr>
      </w:pPr>
    </w:p>
    <w:p>
      <w:pPr>
        <w:ind w:left="40" w:right="79" w:firstLine="305"/>
        <w:spacing w:after="0" w:line="251" w:lineRule="auto"/>
        <w:rPr>
          <w:sz w:val="20"/>
          <w:szCs w:val="20"/>
          <w:color w:val="auto"/>
        </w:rPr>
      </w:pPr>
      <w:r>
        <w:rPr>
          <w:rFonts w:ascii="Times New Roman" w:cs="Times New Roman" w:eastAsia="Times New Roman" w:hAnsi="Times New Roman"/>
          <w:sz w:val="17"/>
          <w:szCs w:val="17"/>
          <w:color w:val="auto"/>
        </w:rPr>
        <w:t>The Company has received grants, from time to time, from the Michael J. Fox Foundation (MJFF), the Target ALS Foundation (Target ALS) and other institutions to support certain research projects. Grants are recorded at their fair value in the consolidated statements of income/(loss) within other operating income/(expenses), net when there is reasonable assurance that the Company will satisfy the underlying grant conditions and the grants will be received. In certain circumstances, grant income may be recognized before formal grantor acknowledgement of milestone achievements. To the extent required, grant income is deferred and recognized on a systematic basis over the periods in which the Company expects to recognize the related expenses for which the grants are intended to compensate.</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Leases</w:t>
      </w:r>
    </w:p>
    <w:p>
      <w:pPr>
        <w:spacing w:after="0" w:line="211" w:lineRule="exact"/>
        <w:rPr>
          <w:sz w:val="20"/>
          <w:szCs w:val="20"/>
          <w:color w:val="auto"/>
        </w:rPr>
      </w:pPr>
    </w:p>
    <w:p>
      <w:pPr>
        <w:ind w:left="40" w:right="79" w:firstLine="305"/>
        <w:spacing w:after="0" w:line="252" w:lineRule="auto"/>
        <w:rPr>
          <w:sz w:val="20"/>
          <w:szCs w:val="20"/>
          <w:color w:val="auto"/>
        </w:rPr>
      </w:pPr>
      <w:r>
        <w:rPr>
          <w:rFonts w:ascii="Times New Roman" w:cs="Times New Roman" w:eastAsia="Times New Roman" w:hAnsi="Times New Roman"/>
          <w:sz w:val="17"/>
          <w:szCs w:val="17"/>
          <w:color w:val="auto"/>
        </w:rPr>
        <w:t xml:space="preserve">The Company applies IFRS 16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which provides the model for lessee accounting in which all leases, other than short-term and low-value leases, are accounted for by the recognition on the consolidated balance sheet of a right-of-use asset and a lease liability, and the subsequent amortization of the right-of-use asset over the earlier of the end of the useful life or the lease term. In accordance with IFRS 16, the Company (i) does not recognize right-of-use assets and lease liabilities for leases of low value (i.e. approximate fair value of USD 5,000). For a complete discussion of accounting, see “Note 5. Right-of-use assets, long-term financial assets and lease liabilities.”</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Right-of-use assets and lease liabilities</w:t>
      </w:r>
    </w:p>
    <w:p>
      <w:pPr>
        <w:spacing w:after="0" w:line="215" w:lineRule="exact"/>
        <w:rPr>
          <w:sz w:val="20"/>
          <w:szCs w:val="20"/>
          <w:color w:val="auto"/>
        </w:rPr>
      </w:pPr>
    </w:p>
    <w:p>
      <w:pPr>
        <w:ind w:left="40" w:right="119" w:firstLine="305"/>
        <w:spacing w:after="0" w:line="251" w:lineRule="auto"/>
        <w:rPr>
          <w:sz w:val="20"/>
          <w:szCs w:val="20"/>
          <w:color w:val="auto"/>
        </w:rPr>
      </w:pPr>
      <w:r>
        <w:rPr>
          <w:rFonts w:ascii="Times New Roman" w:cs="Times New Roman" w:eastAsia="Times New Roman" w:hAnsi="Times New Roman"/>
          <w:sz w:val="17"/>
          <w:szCs w:val="17"/>
          <w:color w:val="auto"/>
        </w:rPr>
        <w:t>At inception of a leasing contract, the Company assesses whether a contract is, or contains, a lease based on whether the contract conveys the right to control the use of an identified asset for a period of time in exchange for consideration. The Company recognizes a right-of-use asset and a lease liability at the lease commencement date. The lease liability is initially measured at the present value of the lease payments that are not paid at the commencement date, discounted using the interest rate implicit in the lease or, if that rate cannot be readily determined, the Company’s incremental borrowing rate. The lease liabilities are classified as current or non-current based on the due dates of the underlying principal payments.</w:t>
      </w:r>
    </w:p>
    <w:p>
      <w:pPr>
        <w:spacing w:after="0" w:line="182" w:lineRule="exact"/>
        <w:rPr>
          <w:sz w:val="20"/>
          <w:szCs w:val="20"/>
          <w:color w:val="auto"/>
        </w:rPr>
      </w:pPr>
    </w:p>
    <w:p>
      <w:pPr>
        <w:ind w:left="40" w:right="59" w:firstLine="305"/>
        <w:spacing w:after="0" w:line="263" w:lineRule="auto"/>
        <w:rPr>
          <w:sz w:val="20"/>
          <w:szCs w:val="20"/>
          <w:color w:val="auto"/>
        </w:rPr>
      </w:pPr>
      <w:r>
        <w:rPr>
          <w:rFonts w:ascii="Times New Roman" w:cs="Times New Roman" w:eastAsia="Times New Roman" w:hAnsi="Times New Roman"/>
          <w:sz w:val="17"/>
          <w:szCs w:val="17"/>
          <w:color w:val="auto"/>
        </w:rPr>
        <w:t>Lease payments generally are fixed for the contract term. The lease liability is measured at amortized cost using the effective interest method. The lease liability is re-measured if there is a change in the estimated lease term, a change in future lease payments arising from a change in an index or rate, a change in the Company’s estimate of the amount</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4">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78" w:name="page179"/>
    <w:bookmarkEnd w:id="17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99"/>
        <w:spacing w:after="0" w:line="277" w:lineRule="auto"/>
        <w:rPr>
          <w:sz w:val="20"/>
          <w:szCs w:val="20"/>
          <w:color w:val="auto"/>
        </w:rPr>
      </w:pPr>
      <w:r>
        <w:rPr>
          <w:rFonts w:ascii="Times New Roman" w:cs="Times New Roman" w:eastAsia="Times New Roman" w:hAnsi="Times New Roman"/>
          <w:sz w:val="17"/>
          <w:szCs w:val="17"/>
          <w:color w:val="auto"/>
        </w:rPr>
        <w:t>expected to be payable under a residual value guarantee or a change in assessment of whether it will exercise a purchase, extension or termination option.</w:t>
      </w:r>
    </w:p>
    <w:p>
      <w:pPr>
        <w:spacing w:after="0" w:line="158" w:lineRule="exact"/>
        <w:rPr>
          <w:sz w:val="20"/>
          <w:szCs w:val="20"/>
          <w:color w:val="auto"/>
        </w:rPr>
      </w:pPr>
    </w:p>
    <w:p>
      <w:pPr>
        <w:ind w:left="40" w:right="79" w:firstLine="305"/>
        <w:spacing w:after="0" w:line="251" w:lineRule="auto"/>
        <w:rPr>
          <w:sz w:val="20"/>
          <w:szCs w:val="20"/>
          <w:color w:val="auto"/>
        </w:rPr>
      </w:pPr>
      <w:r>
        <w:rPr>
          <w:rFonts w:ascii="Times New Roman" w:cs="Times New Roman" w:eastAsia="Times New Roman" w:hAnsi="Times New Roman"/>
          <w:sz w:val="17"/>
          <w:szCs w:val="17"/>
          <w:color w:val="auto"/>
        </w:rPr>
        <w:t>At inception, the right-of-use asset comprises the initial lease liability and any initial direct costs. The right-of-use asset is depreciated over the shorter of the lease term or the useful life of the underlying asset. The right-of-use asset is periodically reduced by impairment losses, if any, and adjusted for certain re-measurements of the lease liability performed on as certain potential triggering events may arise (e.g. lease modifications). When the lease liability is re-measured, a corresponding adjustment is made to the carrying amount of the right-of-use asset or is recorded in profit or loss if the carrying amount of the right-of-use asset has been reduced to zero.</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63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The estimated lease term by right-of-use asset categories are as follows:</w:t>
            </w:r>
          </w:p>
        </w:tc>
        <w:tc>
          <w:tcPr>
            <w:tcW w:w="1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Buildings</w:t>
            </w:r>
          </w:p>
        </w:tc>
        <w:tc>
          <w:tcPr>
            <w:tcW w:w="166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Office equipment</w:t>
            </w:r>
          </w:p>
        </w:tc>
        <w:tc>
          <w:tcPr>
            <w:tcW w:w="16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IT equipment</w:t>
            </w:r>
          </w:p>
        </w:tc>
        <w:tc>
          <w:tcPr>
            <w:tcW w:w="16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years</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Both the right-of-use-assets and lease liabilities are recognized in the consolidated balance sheets.</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Property, plant and equipment</w:t>
      </w:r>
    </w:p>
    <w:p>
      <w:pPr>
        <w:spacing w:after="0" w:line="215" w:lineRule="exact"/>
        <w:rPr>
          <w:sz w:val="20"/>
          <w:szCs w:val="20"/>
          <w:color w:val="auto"/>
        </w:rPr>
      </w:pPr>
    </w:p>
    <w:p>
      <w:pPr>
        <w:ind w:left="40" w:right="419" w:firstLine="305"/>
        <w:spacing w:after="0" w:line="258" w:lineRule="auto"/>
        <w:rPr>
          <w:sz w:val="20"/>
          <w:szCs w:val="20"/>
          <w:color w:val="auto"/>
        </w:rPr>
      </w:pPr>
      <w:r>
        <w:rPr>
          <w:rFonts w:ascii="Times New Roman" w:cs="Times New Roman" w:eastAsia="Times New Roman" w:hAnsi="Times New Roman"/>
          <w:sz w:val="17"/>
          <w:szCs w:val="17"/>
          <w:color w:val="auto"/>
        </w:rPr>
        <w:t>Equipment is shown at historical acquisition cost, less accumulated depreciation and any accumulated impairment losses. Historical costs include expenditures that are directly attributable to the acquisition of the property, plant and equipment. Depreciation is calculated using a straight-line method to write off the cost of each asset to its residual value over its estimated useful life as follows: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IT equipment</w:t>
            </w:r>
          </w:p>
        </w:tc>
        <w:tc>
          <w:tcPr>
            <w:tcW w:w="3080" w:type="dxa"/>
            <w:vAlign w:val="bottom"/>
            <w:shd w:val="clear" w:color="auto" w:fill="CCEEFF"/>
          </w:tcPr>
          <w:p>
            <w:pPr>
              <w:ind w:left="264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years</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Laboratory equipment</w:t>
            </w:r>
          </w:p>
        </w:tc>
        <w:tc>
          <w:tcPr>
            <w:tcW w:w="3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years</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Leasehold improvements/furniture</w:t>
            </w:r>
          </w:p>
        </w:tc>
        <w:tc>
          <w:tcPr>
            <w:tcW w:w="3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years</w:t>
            </w:r>
          </w:p>
        </w:tc>
      </w:tr>
    </w:tbl>
    <w:p>
      <w:pPr>
        <w:spacing w:after="0" w:line="212" w:lineRule="exact"/>
        <w:rPr>
          <w:sz w:val="20"/>
          <w:szCs w:val="20"/>
          <w:color w:val="auto"/>
        </w:rPr>
      </w:pPr>
    </w:p>
    <w:p>
      <w:pPr>
        <w:ind w:left="40" w:right="379" w:firstLine="305"/>
        <w:spacing w:after="0" w:line="262" w:lineRule="auto"/>
        <w:rPr>
          <w:sz w:val="20"/>
          <w:szCs w:val="20"/>
          <w:color w:val="auto"/>
        </w:rPr>
      </w:pPr>
      <w:r>
        <w:rPr>
          <w:rFonts w:ascii="Times New Roman" w:cs="Times New Roman" w:eastAsia="Times New Roman" w:hAnsi="Times New Roman"/>
          <w:sz w:val="17"/>
          <w:szCs w:val="17"/>
          <w:color w:val="auto"/>
        </w:rPr>
        <w:t>The assets’ residual values and useful lives are reviewed, and adjusted if appropriate, at each balance sheet date. Where an asset’s carrying amount is greater than its estimated recoverable amount, it is written down to its recoverable amount.</w:t>
      </w:r>
    </w:p>
    <w:p>
      <w:pPr>
        <w:spacing w:after="0" w:line="170" w:lineRule="exact"/>
        <w:rPr>
          <w:sz w:val="20"/>
          <w:szCs w:val="20"/>
          <w:color w:val="auto"/>
        </w:rPr>
      </w:pPr>
    </w:p>
    <w:p>
      <w:pPr>
        <w:ind w:left="40" w:right="59" w:firstLine="305"/>
        <w:spacing w:after="0" w:line="277" w:lineRule="auto"/>
        <w:rPr>
          <w:sz w:val="20"/>
          <w:szCs w:val="20"/>
          <w:color w:val="auto"/>
        </w:rPr>
      </w:pPr>
      <w:r>
        <w:rPr>
          <w:rFonts w:ascii="Times New Roman" w:cs="Times New Roman" w:eastAsia="Times New Roman" w:hAnsi="Times New Roman"/>
          <w:sz w:val="17"/>
          <w:szCs w:val="17"/>
          <w:color w:val="auto"/>
        </w:rPr>
        <w:t>Gains and losses on disposals are determined by comparing the disposal proceeds with the carrying amount and are included in the consolidated statements of income/(loss).</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Intangible assets</w:t>
      </w:r>
    </w:p>
    <w:p>
      <w:pPr>
        <w:spacing w:after="0" w:line="215" w:lineRule="exact"/>
        <w:rPr>
          <w:sz w:val="20"/>
          <w:szCs w:val="20"/>
          <w:color w:val="auto"/>
        </w:rPr>
      </w:pPr>
    </w:p>
    <w:p>
      <w:pPr>
        <w:ind w:left="40" w:right="119" w:firstLine="305"/>
        <w:spacing w:after="0" w:line="251" w:lineRule="auto"/>
        <w:rPr>
          <w:sz w:val="20"/>
          <w:szCs w:val="20"/>
          <w:color w:val="auto"/>
        </w:rPr>
      </w:pPr>
      <w:r>
        <w:rPr>
          <w:rFonts w:ascii="Times New Roman" w:cs="Times New Roman" w:eastAsia="Times New Roman" w:hAnsi="Times New Roman"/>
          <w:sz w:val="17"/>
          <w:szCs w:val="17"/>
          <w:color w:val="auto"/>
        </w:rPr>
        <w:t xml:space="preserve">AC Immune’s acquired in process research and development (IPR&amp;D) asset is stated at cost less any impairments. The Company does not deem this asset ready for use until the asset obtains market approval. Therefore, during the development period after the date of acquisition until market approval, the IPR&amp;D asset is not amortized. Upon market approval, the Company will determine the useful life of the asset, reclassify it from IPR&amp;D and commence amortization. If the associated R&amp;D effort is abandoned, the related IPR&amp;D will likely be written off and we will record the relevant impairment charge. Finally, the Company will not capitalize future development costs in respect to this IPR&amp;D asset until they meet the criteria for capitalization of research and development costs in accordance with IAS 38 </w:t>
      </w:r>
      <w:r>
        <w:rPr>
          <w:rFonts w:ascii="Times New Roman" w:cs="Times New Roman" w:eastAsia="Times New Roman" w:hAnsi="Times New Roman"/>
          <w:sz w:val="17"/>
          <w:szCs w:val="17"/>
          <w:i w:val="1"/>
          <w:iCs w:val="1"/>
          <w:color w:val="auto"/>
        </w:rPr>
        <w:t>Intangible Assets</w:t>
      </w:r>
      <w:r>
        <w:rPr>
          <w:rFonts w:ascii="Times New Roman" w:cs="Times New Roman" w:eastAsia="Times New Roman" w:hAnsi="Times New Roman"/>
          <w:sz w:val="17"/>
          <w:szCs w:val="17"/>
          <w:color w:val="auto"/>
        </w:rPr>
        <w:t>.</w:t>
      </w:r>
    </w:p>
    <w:p>
      <w:pPr>
        <w:spacing w:after="0" w:line="181" w:lineRule="exact"/>
        <w:rPr>
          <w:sz w:val="20"/>
          <w:szCs w:val="20"/>
          <w:color w:val="auto"/>
        </w:rPr>
      </w:pPr>
    </w:p>
    <w:p>
      <w:pPr>
        <w:ind w:left="40" w:right="279" w:firstLine="305"/>
        <w:spacing w:after="0" w:line="263" w:lineRule="auto"/>
        <w:rPr>
          <w:sz w:val="20"/>
          <w:szCs w:val="20"/>
          <w:color w:val="auto"/>
        </w:rPr>
      </w:pPr>
      <w:r>
        <w:rPr>
          <w:rFonts w:ascii="Times New Roman" w:cs="Times New Roman" w:eastAsia="Times New Roman" w:hAnsi="Times New Roman"/>
          <w:sz w:val="17"/>
          <w:szCs w:val="17"/>
          <w:color w:val="auto"/>
        </w:rPr>
        <w:t>Our IPR&amp;D asset is subject to impairment testing at least annually or when there are indications that the carrying value may not be recoverable until the completion of the development process. The determination of the recoverable amounts include key estimates which are highly sensitive to, and dependent upon, key assumptions.</w:t>
      </w:r>
    </w:p>
    <w:p>
      <w:pPr>
        <w:spacing w:after="0" w:line="157" w:lineRule="exact"/>
        <w:rPr>
          <w:sz w:val="20"/>
          <w:szCs w:val="20"/>
          <w:color w:val="auto"/>
        </w:rPr>
      </w:pPr>
    </w:p>
    <w:p>
      <w:pPr>
        <w:ind w:left="40" w:right="339" w:firstLine="305"/>
        <w:spacing w:after="0" w:line="277" w:lineRule="auto"/>
        <w:rPr>
          <w:sz w:val="20"/>
          <w:szCs w:val="20"/>
          <w:color w:val="auto"/>
        </w:rPr>
      </w:pPr>
      <w:r>
        <w:rPr>
          <w:rFonts w:ascii="Times New Roman" w:cs="Times New Roman" w:eastAsia="Times New Roman" w:hAnsi="Times New Roman"/>
          <w:sz w:val="17"/>
          <w:szCs w:val="17"/>
          <w:color w:val="auto"/>
        </w:rPr>
        <w:t>The Company uses a discounted cash flow method to determine the fair value less costs to sell (recoverable amount) of our IPR&amp;D intangible asset. The Company starts with a forecast of all the expected net cash flows, which</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5">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79" w:name="page180"/>
    <w:bookmarkEnd w:id="17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439"/>
        <w:spacing w:after="0" w:line="277" w:lineRule="auto"/>
        <w:rPr>
          <w:sz w:val="20"/>
          <w:szCs w:val="20"/>
          <w:color w:val="auto"/>
        </w:rPr>
      </w:pPr>
      <w:r>
        <w:rPr>
          <w:rFonts w:ascii="Times New Roman" w:cs="Times New Roman" w:eastAsia="Times New Roman" w:hAnsi="Times New Roman"/>
          <w:sz w:val="17"/>
          <w:szCs w:val="17"/>
          <w:color w:val="auto"/>
        </w:rPr>
        <w:t>incorporates the consideration of a terminal value and then the Company applies a discount rate to arrive at a risk-adjusted net present value amount.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Any impairment losses are recognized immediately in the consolidated statements of income/(loss).</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Fair value of financial assets and liabilities</w:t>
      </w:r>
    </w:p>
    <w:p>
      <w:pPr>
        <w:spacing w:after="0" w:line="215" w:lineRule="exact"/>
        <w:rPr>
          <w:sz w:val="20"/>
          <w:szCs w:val="20"/>
          <w:color w:val="auto"/>
        </w:rPr>
      </w:pPr>
    </w:p>
    <w:p>
      <w:pPr>
        <w:ind w:left="40" w:right="99" w:firstLine="305"/>
        <w:spacing w:after="0" w:line="253" w:lineRule="auto"/>
        <w:rPr>
          <w:sz w:val="20"/>
          <w:szCs w:val="20"/>
          <w:color w:val="auto"/>
        </w:rPr>
      </w:pPr>
      <w:r>
        <w:rPr>
          <w:rFonts w:ascii="Times New Roman" w:cs="Times New Roman" w:eastAsia="Times New Roman" w:hAnsi="Times New Roman"/>
          <w:sz w:val="17"/>
          <w:szCs w:val="17"/>
          <w:color w:val="auto"/>
        </w:rPr>
        <w:t>The Company’s financial assets and liabilities are composed of receivables, short-term financial assets, cash and cash equivalents, trade payables and lease liabilities. The fair value of these financial instruments approximates their respective carrying values due to the short-term maturity of these instruments, and are held at their amortized cost in accordance with IFRS 9, unless otherwise explicitly noted.</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Receivables</w:t>
      </w:r>
    </w:p>
    <w:p>
      <w:pPr>
        <w:spacing w:after="0" w:line="215" w:lineRule="exact"/>
        <w:rPr>
          <w:sz w:val="20"/>
          <w:szCs w:val="20"/>
          <w:color w:val="auto"/>
        </w:rPr>
      </w:pPr>
    </w:p>
    <w:p>
      <w:pPr>
        <w:ind w:left="40" w:right="99" w:firstLine="305"/>
        <w:spacing w:after="0" w:line="263" w:lineRule="auto"/>
        <w:rPr>
          <w:sz w:val="20"/>
          <w:szCs w:val="20"/>
          <w:color w:val="auto"/>
        </w:rPr>
      </w:pPr>
      <w:r>
        <w:rPr>
          <w:rFonts w:ascii="Times New Roman" w:cs="Times New Roman" w:eastAsia="Times New Roman" w:hAnsi="Times New Roman"/>
          <w:sz w:val="17"/>
          <w:szCs w:val="17"/>
          <w:color w:val="auto"/>
        </w:rPr>
        <w:t>Receivables are recognized at their billing value. An allowance for doubtful accounts is recorded for potential estimated losses when there is evidence of the debtor’s inability to make required payments and the Company assesses on a forward-looking basis the expected credit losses associated with these receivables held at amortized cost.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Short-term financial assets</w:t>
      </w:r>
    </w:p>
    <w:p>
      <w:pPr>
        <w:spacing w:after="0" w:line="215" w:lineRule="exact"/>
        <w:rPr>
          <w:sz w:val="20"/>
          <w:szCs w:val="20"/>
          <w:color w:val="auto"/>
        </w:rPr>
      </w:pPr>
    </w:p>
    <w:p>
      <w:pPr>
        <w:ind w:left="40" w:right="559" w:firstLine="305"/>
        <w:spacing w:after="0" w:line="262" w:lineRule="auto"/>
        <w:rPr>
          <w:sz w:val="20"/>
          <w:szCs w:val="20"/>
          <w:color w:val="auto"/>
        </w:rPr>
      </w:pPr>
      <w:r>
        <w:rPr>
          <w:rFonts w:ascii="Times New Roman" w:cs="Times New Roman" w:eastAsia="Times New Roman" w:hAnsi="Times New Roman"/>
          <w:sz w:val="17"/>
          <w:szCs w:val="17"/>
          <w:color w:val="auto"/>
        </w:rPr>
        <w:t>Short-term financial assets are held with external financial institutions and comprise fixed-term deposits with maturities ranging from more than 3 through 12 months in duration.</w:t>
      </w:r>
    </w:p>
    <w:p>
      <w:pPr>
        <w:spacing w:after="0" w:line="170" w:lineRule="exact"/>
        <w:rPr>
          <w:sz w:val="20"/>
          <w:szCs w:val="20"/>
          <w:color w:val="auto"/>
        </w:rPr>
      </w:pPr>
    </w:p>
    <w:p>
      <w:pPr>
        <w:ind w:left="40" w:right="279" w:firstLine="305"/>
        <w:spacing w:after="0" w:line="277" w:lineRule="auto"/>
        <w:rPr>
          <w:sz w:val="20"/>
          <w:szCs w:val="20"/>
          <w:color w:val="auto"/>
        </w:rPr>
      </w:pPr>
      <w:r>
        <w:rPr>
          <w:rFonts w:ascii="Times New Roman" w:cs="Times New Roman" w:eastAsia="Times New Roman" w:hAnsi="Times New Roman"/>
          <w:sz w:val="17"/>
          <w:szCs w:val="17"/>
          <w:color w:val="auto"/>
        </w:rPr>
        <w:t>The Company assesses whether there is objective evidence that financial assets are impaired annually or whenever potential impairment triggers may occur.</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215" w:lineRule="exact"/>
        <w:rPr>
          <w:sz w:val="20"/>
          <w:szCs w:val="20"/>
          <w:color w:val="auto"/>
        </w:rPr>
      </w:pPr>
    </w:p>
    <w:p>
      <w:pPr>
        <w:ind w:left="40" w:right="579" w:firstLine="305"/>
        <w:spacing w:after="0" w:line="277" w:lineRule="auto"/>
        <w:rPr>
          <w:sz w:val="20"/>
          <w:szCs w:val="20"/>
          <w:color w:val="auto"/>
        </w:rPr>
      </w:pPr>
      <w:r>
        <w:rPr>
          <w:rFonts w:ascii="Times New Roman" w:cs="Times New Roman" w:eastAsia="Times New Roman" w:hAnsi="Times New Roman"/>
          <w:sz w:val="17"/>
          <w:szCs w:val="17"/>
          <w:color w:val="auto"/>
        </w:rPr>
        <w:t>Cash and cash equivalents include deposits held with external financial institutions and cash on hand. All cash and cash equivalents are either in cash or in deposits with original duration of less than 3 months.</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Trade payables</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Trade payables are amounts due to third parties in the ordinary course of business.</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Share capital and public offerings</w:t>
      </w:r>
    </w:p>
    <w:p>
      <w:pPr>
        <w:spacing w:after="0" w:line="215" w:lineRule="exact"/>
        <w:rPr>
          <w:sz w:val="20"/>
          <w:szCs w:val="20"/>
          <w:color w:val="auto"/>
        </w:rPr>
      </w:pPr>
    </w:p>
    <w:p>
      <w:pPr>
        <w:ind w:left="40" w:right="519" w:firstLine="305"/>
        <w:spacing w:after="0" w:line="258" w:lineRule="auto"/>
        <w:rPr>
          <w:sz w:val="20"/>
          <w:szCs w:val="20"/>
          <w:color w:val="auto"/>
        </w:rPr>
      </w:pPr>
      <w:r>
        <w:rPr>
          <w:rFonts w:ascii="Times New Roman" w:cs="Times New Roman" w:eastAsia="Times New Roman" w:hAnsi="Times New Roman"/>
          <w:sz w:val="17"/>
          <w:szCs w:val="17"/>
          <w:color w:val="auto"/>
        </w:rPr>
        <w:t>Common shares are classified as equity. Share issuance costs are capitalized as incurred and will be shown in equity as a deduction, net of tax, from the proceeds received from existing or future offerings. Should a planned equity offering not be assessed as probable, the issuance costs would be expensed immediately in the consolidated statements of income/(loss). See “Note 11. Share capital.”</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Treasury shares</w:t>
      </w:r>
    </w:p>
    <w:p>
      <w:pPr>
        <w:spacing w:after="0" w:line="215" w:lineRule="exact"/>
        <w:rPr>
          <w:sz w:val="20"/>
          <w:szCs w:val="20"/>
          <w:color w:val="auto"/>
        </w:rPr>
      </w:pPr>
    </w:p>
    <w:p>
      <w:pPr>
        <w:jc w:val="both"/>
        <w:ind w:left="40" w:right="139" w:firstLine="305"/>
        <w:spacing w:after="0" w:line="255" w:lineRule="auto"/>
        <w:rPr>
          <w:sz w:val="20"/>
          <w:szCs w:val="20"/>
          <w:color w:val="auto"/>
        </w:rPr>
      </w:pPr>
      <w:r>
        <w:rPr>
          <w:rFonts w:ascii="Times New Roman" w:cs="Times New Roman" w:eastAsia="Times New Roman" w:hAnsi="Times New Roman"/>
          <w:sz w:val="17"/>
          <w:szCs w:val="17"/>
          <w:color w:val="auto"/>
        </w:rPr>
        <w:t>Treasury shares are recognized at acquisition cost and deducted from shareholders’ equity at the time of acquisition, until they are subsequently resold, distributed or cancelled. Where such shares are subsequently sold, any consideration received is included in shareholders’ equity. See “Note 11. Share capital.”</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6">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180" w:name="page181"/>
    <w:bookmarkEnd w:id="18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Employee benefits</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Post-employment benefits</w:t>
      </w:r>
    </w:p>
    <w:p>
      <w:pPr>
        <w:spacing w:after="0" w:line="215" w:lineRule="exact"/>
        <w:rPr>
          <w:sz w:val="20"/>
          <w:szCs w:val="20"/>
          <w:color w:val="auto"/>
        </w:rPr>
      </w:pPr>
    </w:p>
    <w:p>
      <w:pPr>
        <w:ind w:left="40" w:right="279" w:firstLine="305"/>
        <w:spacing w:after="0" w:line="287" w:lineRule="auto"/>
        <w:rPr>
          <w:sz w:val="20"/>
          <w:szCs w:val="20"/>
          <w:color w:val="auto"/>
        </w:rPr>
      </w:pPr>
      <w:r>
        <w:rPr>
          <w:rFonts w:ascii="Times New Roman" w:cs="Times New Roman" w:eastAsia="Times New Roman" w:hAnsi="Times New Roman"/>
          <w:sz w:val="16"/>
          <w:szCs w:val="16"/>
          <w:color w:val="auto"/>
        </w:rPr>
        <w:t>The Company operates the mandatory pension schemes for its employees in Switzerland. The schemes are generally funded through payments to insurance companies. The Company has a pension plan designed to pay pensions based on accumulated contributions on individual savings accounts. However, this plan is classified as a defined benefit plan under IAS 19.</w:t>
      </w:r>
    </w:p>
    <w:p>
      <w:pPr>
        <w:spacing w:after="0" w:line="152" w:lineRule="exact"/>
        <w:rPr>
          <w:sz w:val="20"/>
          <w:szCs w:val="20"/>
          <w:color w:val="auto"/>
        </w:rPr>
      </w:pPr>
    </w:p>
    <w:p>
      <w:pPr>
        <w:ind w:left="40" w:right="139" w:firstLine="305"/>
        <w:spacing w:after="0" w:line="251" w:lineRule="auto"/>
        <w:rPr>
          <w:sz w:val="20"/>
          <w:szCs w:val="20"/>
          <w:color w:val="auto"/>
        </w:rPr>
      </w:pPr>
      <w:r>
        <w:rPr>
          <w:rFonts w:ascii="Times New Roman" w:cs="Times New Roman" w:eastAsia="Times New Roman" w:hAnsi="Times New Roman"/>
          <w:sz w:val="17"/>
          <w:szCs w:val="17"/>
          <w:color w:val="auto"/>
        </w:rPr>
        <w:t>The net defined benefit liability is the present value of the defined benefit obligation at the balance sheet date minus the fair value of plan assets. Significant estimates are used in determining the assumptions incorporated in the calculation of the pension obligations, which is supported by input from independent actuaries. The defined benefit obligation is calculated annually with the assistance of an independent actuary using the projected unit credit method, which reflects services rendered by employees to the date of valuation, incorporates assumptions concerning employees’ projected salaries and pension increases as well as discount rates of highly liquid corporate bonds that have terms to maturity approximating the terms of the related liability.</w:t>
      </w:r>
    </w:p>
    <w:p>
      <w:pPr>
        <w:spacing w:after="0" w:line="182" w:lineRule="exact"/>
        <w:rPr>
          <w:sz w:val="20"/>
          <w:szCs w:val="20"/>
          <w:color w:val="auto"/>
        </w:rPr>
      </w:pPr>
    </w:p>
    <w:p>
      <w:pPr>
        <w:ind w:left="40" w:right="759" w:firstLine="305"/>
        <w:spacing w:after="0" w:line="277" w:lineRule="auto"/>
        <w:rPr>
          <w:sz w:val="20"/>
          <w:szCs w:val="20"/>
          <w:color w:val="auto"/>
        </w:rPr>
      </w:pPr>
      <w:r>
        <w:rPr>
          <w:rFonts w:ascii="Times New Roman" w:cs="Times New Roman" w:eastAsia="Times New Roman" w:hAnsi="Times New Roman"/>
          <w:sz w:val="17"/>
          <w:szCs w:val="17"/>
          <w:color w:val="auto"/>
        </w:rPr>
        <w:t>To the extent that the fair value of the plan assets is greater than the present value of the defined benefit obligation as calculated by our independent actuary, the Company accounts for the effect of the asset ceiling test under IAS 19.</w:t>
      </w:r>
    </w:p>
    <w:p>
      <w:pPr>
        <w:spacing w:after="0" w:line="158" w:lineRule="exact"/>
        <w:rPr>
          <w:sz w:val="20"/>
          <w:szCs w:val="20"/>
          <w:color w:val="auto"/>
        </w:rPr>
      </w:pPr>
    </w:p>
    <w:p>
      <w:pPr>
        <w:ind w:left="40" w:right="79" w:firstLine="305"/>
        <w:spacing w:after="0" w:line="249" w:lineRule="auto"/>
        <w:rPr>
          <w:sz w:val="20"/>
          <w:szCs w:val="20"/>
          <w:color w:val="auto"/>
        </w:rPr>
      </w:pPr>
      <w:r>
        <w:rPr>
          <w:rFonts w:ascii="Times New Roman" w:cs="Times New Roman" w:eastAsia="Times New Roman" w:hAnsi="Times New Roman"/>
          <w:sz w:val="17"/>
          <w:szCs w:val="17"/>
          <w:color w:val="auto"/>
        </w:rPr>
        <w:t>Re-measurements of the net defined benefit liability, which comprise actuarial gains and losses and the return on plan assets (excluding interest) are recognized immediately in the consolidated statements of other comprehensive income/(loss). Past service costs, including curtailment gains or losses, are recognized immediately allocated to the appropriate operating results category, including research and development, general and administrative expenses, or restructuring expenses as applicable. Settlement gains or losses are recognized in either research and development and/or general and administrative expenses within the operating results. The Company determines the net interest expense/(income) on the net defined benefit liability for the period by applying the discount rate used to measure the defined benefit obligation at the beginning of the annual period or in case of any significant events between measurement dates to the then-net defined benefit liability, considering any changes in the net defined benefit liability during the period as a result of contributions and benefit payments. Net interest expense/(income) and other expenses related to defined benefit plans are recognized in the consolidated statements of income/(loss).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Share-based compensation</w:t>
      </w:r>
    </w:p>
    <w:p>
      <w:pPr>
        <w:spacing w:after="0" w:line="215" w:lineRule="exact"/>
        <w:rPr>
          <w:sz w:val="20"/>
          <w:szCs w:val="20"/>
          <w:color w:val="auto"/>
        </w:rPr>
      </w:pPr>
    </w:p>
    <w:p>
      <w:pPr>
        <w:ind w:left="40" w:right="199" w:firstLine="305"/>
        <w:spacing w:after="0" w:line="251" w:lineRule="auto"/>
        <w:rPr>
          <w:sz w:val="20"/>
          <w:szCs w:val="20"/>
          <w:color w:val="auto"/>
        </w:rPr>
      </w:pPr>
      <w:r>
        <w:rPr>
          <w:rFonts w:ascii="Times New Roman" w:cs="Times New Roman" w:eastAsia="Times New Roman" w:hAnsi="Times New Roman"/>
          <w:sz w:val="17"/>
          <w:szCs w:val="17"/>
          <w:color w:val="auto"/>
        </w:rPr>
        <w:t>The Company operates an equity-settled, share-based compensation plan. The fair value of the employee services received in exchange for the grant of equity-based awards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prospectively in the consolidated statements of income/(loss), and a corresponding adjustment to equity over the remaining vesting period.</w:t>
      </w:r>
    </w:p>
    <w:p>
      <w:pPr>
        <w:spacing w:after="0" w:line="181" w:lineRule="exact"/>
        <w:rPr>
          <w:sz w:val="20"/>
          <w:szCs w:val="20"/>
          <w:color w:val="auto"/>
        </w:rPr>
      </w:pPr>
    </w:p>
    <w:p>
      <w:pPr>
        <w:ind w:left="40" w:right="159" w:firstLine="305"/>
        <w:spacing w:after="0" w:line="287" w:lineRule="auto"/>
        <w:rPr>
          <w:sz w:val="20"/>
          <w:szCs w:val="20"/>
          <w:color w:val="auto"/>
        </w:rPr>
      </w:pPr>
      <w:r>
        <w:rPr>
          <w:rFonts w:ascii="Times New Roman" w:cs="Times New Roman" w:eastAsia="Times New Roman" w:hAnsi="Times New Roman"/>
          <w:sz w:val="16"/>
          <w:szCs w:val="16"/>
          <w:color w:val="auto"/>
        </w:rPr>
        <w:t>Stock options granted under the Company’s stock option plans C1 and the 2016 Stock Option and Incentive Plan are valued using the Black-Scholes option-pricing model (see “Note 18. Share-based compensation”). This valuation model as well as parameters used such as expected volatility and expected term of the stock options are partially based on management’s estimates.</w:t>
      </w:r>
    </w:p>
    <w:p>
      <w:pPr>
        <w:spacing w:after="0" w:line="152" w:lineRule="exact"/>
        <w:rPr>
          <w:sz w:val="20"/>
          <w:szCs w:val="20"/>
          <w:color w:val="auto"/>
        </w:rPr>
      </w:pPr>
    </w:p>
    <w:p>
      <w:pPr>
        <w:jc w:val="both"/>
        <w:ind w:left="40" w:right="179" w:firstLine="305"/>
        <w:spacing w:after="0" w:line="277" w:lineRule="auto"/>
        <w:rPr>
          <w:sz w:val="20"/>
          <w:szCs w:val="20"/>
          <w:color w:val="auto"/>
        </w:rPr>
      </w:pPr>
      <w:r>
        <w:rPr>
          <w:rFonts w:ascii="Times New Roman" w:cs="Times New Roman" w:eastAsia="Times New Roman" w:hAnsi="Times New Roman"/>
          <w:sz w:val="17"/>
          <w:szCs w:val="17"/>
          <w:color w:val="auto"/>
        </w:rPr>
        <w:t>The proceeds received net of any directly attributable transaction costs are credited to share capital (nominal value) and share premium when the options are exercised.</w:t>
      </w:r>
    </w:p>
    <w:p>
      <w:pPr>
        <w:spacing w:after="0" w:line="145" w:lineRule="exact"/>
        <w:rPr>
          <w:sz w:val="20"/>
          <w:szCs w:val="20"/>
          <w:color w:val="auto"/>
        </w:rPr>
      </w:pPr>
    </w:p>
    <w:p>
      <w:pPr>
        <w:jc w:val="both"/>
        <w:ind w:left="40" w:right="199" w:firstLine="305"/>
        <w:spacing w:after="0" w:line="263" w:lineRule="auto"/>
        <w:rPr>
          <w:sz w:val="20"/>
          <w:szCs w:val="20"/>
          <w:color w:val="auto"/>
        </w:rPr>
      </w:pPr>
      <w:r>
        <w:rPr>
          <w:rFonts w:ascii="Times New Roman" w:cs="Times New Roman" w:eastAsia="Times New Roman" w:hAnsi="Times New Roman"/>
          <w:sz w:val="17"/>
          <w:szCs w:val="17"/>
          <w:color w:val="auto"/>
        </w:rPr>
        <w:t>We estimate the fair value of restricted share units using the market value of the common shares on the date of the award. We classify our share-based payments as equity-classified awards as they are settled in common shares. We measure equity-classified awards at their grant date fair value and do not subsequently re-measure them. Compensation</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7">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81" w:name="page182"/>
    <w:bookmarkEnd w:id="18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40" w:right="239"/>
        <w:spacing w:after="0" w:line="263" w:lineRule="auto"/>
        <w:rPr>
          <w:sz w:val="20"/>
          <w:szCs w:val="20"/>
          <w:color w:val="auto"/>
        </w:rPr>
      </w:pPr>
      <w:r>
        <w:rPr>
          <w:rFonts w:ascii="Times New Roman" w:cs="Times New Roman" w:eastAsia="Times New Roman" w:hAnsi="Times New Roman"/>
          <w:sz w:val="17"/>
          <w:szCs w:val="17"/>
          <w:color w:val="auto"/>
        </w:rPr>
        <w:t>costs related to equity-classified awards are equal to the fair value of the award at grant date amortized over the vesting period of the award using the graded method. We reclassify that portion of vested awards to share capital and share premium as the awards vest.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Provisions</w:t>
      </w:r>
    </w:p>
    <w:p>
      <w:pPr>
        <w:spacing w:after="0" w:line="215" w:lineRule="exact"/>
        <w:rPr>
          <w:sz w:val="20"/>
          <w:szCs w:val="20"/>
          <w:color w:val="auto"/>
        </w:rPr>
      </w:pPr>
    </w:p>
    <w:p>
      <w:pPr>
        <w:ind w:left="40" w:right="59" w:firstLine="305"/>
        <w:spacing w:after="0" w:line="263" w:lineRule="auto"/>
        <w:rPr>
          <w:sz w:val="20"/>
          <w:szCs w:val="20"/>
          <w:color w:val="auto"/>
        </w:rPr>
      </w:pPr>
      <w:r>
        <w:rPr>
          <w:rFonts w:ascii="Times New Roman" w:cs="Times New Roman" w:eastAsia="Times New Roman" w:hAnsi="Times New Roman"/>
          <w:sz w:val="17"/>
          <w:szCs w:val="17"/>
          <w:color w:val="auto"/>
        </w:rPr>
        <w:t>Provisions are recognized when the Company has a present legal or constructive obligation as a result of past events where it is more likely than not that an outflow of resources will be required to settle the obligation, and a reliable estimate of the amount can be made.</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Taxation</w:t>
      </w:r>
    </w:p>
    <w:p>
      <w:pPr>
        <w:spacing w:after="0" w:line="215" w:lineRule="exact"/>
        <w:rPr>
          <w:sz w:val="20"/>
          <w:szCs w:val="20"/>
          <w:color w:val="auto"/>
        </w:rPr>
      </w:pPr>
    </w:p>
    <w:p>
      <w:pPr>
        <w:ind w:left="40" w:right="59" w:firstLine="305"/>
        <w:spacing w:after="0" w:line="256" w:lineRule="auto"/>
        <w:rPr>
          <w:sz w:val="20"/>
          <w:szCs w:val="20"/>
          <w:color w:val="auto"/>
        </w:rPr>
      </w:pPr>
      <w:r>
        <w:rPr>
          <w:rFonts w:ascii="Times New Roman" w:cs="Times New Roman" w:eastAsia="Times New Roman" w:hAnsi="Times New Roman"/>
          <w:sz w:val="17"/>
          <w:szCs w:val="17"/>
          <w:color w:val="auto"/>
        </w:rPr>
        <w:t>Current income tax assets and liabilities for the period are measured at the amount expected to be recovered from or paid to the taxation authorities. The tax rates and tax laws used to compute the tax amounts are those that are enacted or substantively enacted, at the reporting date in accordance with the fiscal regulations of the respective country where the Company operates and generates taxable income. Deferred tax is provided using the liability method on temporary differences between the tax bases of assets and liabilities and their carrying amounts for financial reporting purposes at the reporting date.</w:t>
      </w:r>
    </w:p>
    <w:p>
      <w:pPr>
        <w:spacing w:after="0" w:line="176" w:lineRule="exact"/>
        <w:rPr>
          <w:sz w:val="20"/>
          <w:szCs w:val="20"/>
          <w:color w:val="auto"/>
        </w:rPr>
      </w:pPr>
    </w:p>
    <w:p>
      <w:pPr>
        <w:ind w:left="40" w:right="139" w:firstLine="305"/>
        <w:spacing w:after="0" w:line="252" w:lineRule="auto"/>
        <w:rPr>
          <w:sz w:val="20"/>
          <w:szCs w:val="20"/>
          <w:color w:val="auto"/>
        </w:rPr>
      </w:pPr>
      <w:r>
        <w:rPr>
          <w:rFonts w:ascii="Times New Roman" w:cs="Times New Roman" w:eastAsia="Times New Roman" w:hAnsi="Times New Roman"/>
          <w:sz w:val="17"/>
          <w:szCs w:val="17"/>
          <w:color w:val="auto"/>
        </w:rPr>
        <w:t>Deferred tax assets and liabilities are measured at the tax rates that are expected to apply in the year when the asset is realized or the liability is settled, based on tax rates (and tax laws) that have been enacted or substantively enacted at the reporting date. If required, deferred taxation is provided in full using the liability method, on all temporary differences at the reporting dates. It is calculated at the tax rates that are expected to apply to the period when it is anticipated the liabilities will be settled, and it is based on tax rates (and laws) that have been enacted or substantively enacted at the reporting date.</w:t>
      </w:r>
    </w:p>
    <w:p>
      <w:pPr>
        <w:spacing w:after="0" w:line="179" w:lineRule="exact"/>
        <w:rPr>
          <w:sz w:val="20"/>
          <w:szCs w:val="20"/>
          <w:color w:val="auto"/>
        </w:rPr>
      </w:pPr>
    </w:p>
    <w:p>
      <w:pPr>
        <w:ind w:left="40" w:right="99" w:firstLine="305"/>
        <w:spacing w:after="0" w:line="252" w:lineRule="auto"/>
        <w:rPr>
          <w:sz w:val="20"/>
          <w:szCs w:val="20"/>
          <w:color w:val="auto"/>
        </w:rPr>
      </w:pPr>
      <w:r>
        <w:rPr>
          <w:rFonts w:ascii="Times New Roman" w:cs="Times New Roman" w:eastAsia="Times New Roman" w:hAnsi="Times New Roman"/>
          <w:sz w:val="17"/>
          <w:szCs w:val="17"/>
          <w:color w:val="auto"/>
        </w:rPr>
        <w:t>Deferred income tax assets are recognized to the extent that it is probable that future taxable profit will be available against which the temporary differences can be utilized. Deferred tax assets are reviewed at each reporting date and are reduced to the extent that it is no longer probable that the related tax benefit will be realized. Although the Company has substantial tax loss carry-forwards, historically, due to the fact that the Company had limited certainty on the achievement of key milestones, it has not recognized any deferred tax assets because it’s more likely than not that it will not be recovered.</w:t>
      </w:r>
    </w:p>
    <w:p>
      <w:pPr>
        <w:spacing w:after="0" w:line="179" w:lineRule="exact"/>
        <w:rPr>
          <w:sz w:val="20"/>
          <w:szCs w:val="20"/>
          <w:color w:val="auto"/>
        </w:rPr>
      </w:pPr>
    </w:p>
    <w:p>
      <w:pPr>
        <w:ind w:left="40" w:right="159" w:firstLine="305"/>
        <w:spacing w:after="0" w:line="258" w:lineRule="auto"/>
        <w:rPr>
          <w:sz w:val="20"/>
          <w:szCs w:val="20"/>
          <w:color w:val="auto"/>
        </w:rPr>
      </w:pPr>
      <w:r>
        <w:rPr>
          <w:rFonts w:ascii="Times New Roman" w:cs="Times New Roman" w:eastAsia="Times New Roman" w:hAnsi="Times New Roman"/>
          <w:sz w:val="17"/>
          <w:szCs w:val="17"/>
          <w:color w:val="auto"/>
        </w:rPr>
        <w:t>As disclosed in “Note 16. Income taxes,” the Company has tax losses that can generally be carried forward for a period of 7 years from the period the loss was incurred. These tax losses represent potential value to the Company to the extent that the Company is able to create taxable profits before the expiry period of these tax losses. The Company has not recorded any deferred tax assets in relation to these tax losses.</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Earnings per share</w:t>
      </w:r>
    </w:p>
    <w:p>
      <w:pPr>
        <w:spacing w:after="0" w:line="215" w:lineRule="exact"/>
        <w:rPr>
          <w:sz w:val="20"/>
          <w:szCs w:val="20"/>
          <w:color w:val="auto"/>
        </w:rPr>
      </w:pPr>
    </w:p>
    <w:p>
      <w:pPr>
        <w:ind w:left="40" w:right="59" w:firstLine="305"/>
        <w:spacing w:after="0" w:line="252" w:lineRule="auto"/>
        <w:rPr>
          <w:sz w:val="20"/>
          <w:szCs w:val="20"/>
          <w:color w:val="auto"/>
        </w:rPr>
      </w:pPr>
      <w:r>
        <w:rPr>
          <w:rFonts w:ascii="Times New Roman" w:cs="Times New Roman" w:eastAsia="Times New Roman" w:hAnsi="Times New Roman"/>
          <w:sz w:val="17"/>
          <w:szCs w:val="17"/>
          <w:color w:val="auto"/>
        </w:rPr>
        <w:t>The Company presents basic earnings per share for each period in the consolidated financial statements. The earnings per share are calculated by dividing the earnings of the period by the weighted-average number of shares outstanding during the period. Diluted earnings per share reflect the potential dilution that could occur if dilutive securities such as share options or non-vested restricted share units were vested or exercised into common shares or resulted in the issuance of common shares that would participate in net income. Anti-dilutive shares are excluded from the dilutive earnings per share calculation.</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Critical judgments and accounting estimates</w:t>
      </w:r>
    </w:p>
    <w:p>
      <w:pPr>
        <w:spacing w:after="0" w:line="215" w:lineRule="exact"/>
        <w:rPr>
          <w:sz w:val="20"/>
          <w:szCs w:val="20"/>
          <w:color w:val="auto"/>
        </w:rPr>
      </w:pPr>
    </w:p>
    <w:p>
      <w:pPr>
        <w:jc w:val="both"/>
        <w:ind w:left="40" w:right="679" w:firstLine="305"/>
        <w:spacing w:after="0" w:line="255"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IFRS Accounting Standards requires management to make judgments, estimates and assumptions that affect the application of accounting policies and the reported amounts of assets, liabilities, income and expenses.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8">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82" w:name="page183"/>
    <w:bookmarkEnd w:id="18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319" w:firstLine="305"/>
        <w:spacing w:after="0" w:line="276" w:lineRule="auto"/>
        <w:rPr>
          <w:sz w:val="20"/>
          <w:szCs w:val="20"/>
          <w:color w:val="auto"/>
        </w:rPr>
      </w:pPr>
      <w:r>
        <w:rPr>
          <w:rFonts w:ascii="Times New Roman" w:cs="Times New Roman" w:eastAsia="Times New Roman" w:hAnsi="Times New Roman"/>
          <w:sz w:val="16"/>
          <w:szCs w:val="16"/>
          <w:color w:val="auto"/>
        </w:rPr>
        <w:t>The areas where AC Immune has had to make judgments, estimates and assumptions relate to (i) revenue recognition on OLCAs (Note 13), (ii) clinical development accruals (Note 12), (iii) net employee defined benefit liability (Note 17), (iv) share-based compensation (Note 18), (v) right-of-use assets and lease liabilities (Note 5) and (vi) our IPR&amp;D asset (Note 6).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Segment reporting</w:t>
      </w:r>
    </w:p>
    <w:p>
      <w:pPr>
        <w:spacing w:after="0" w:line="215" w:lineRule="exact"/>
        <w:rPr>
          <w:sz w:val="20"/>
          <w:szCs w:val="20"/>
          <w:color w:val="auto"/>
        </w:rPr>
      </w:pPr>
    </w:p>
    <w:p>
      <w:pPr>
        <w:ind w:left="40" w:right="739" w:firstLine="305"/>
        <w:spacing w:after="0" w:line="262" w:lineRule="auto"/>
        <w:rPr>
          <w:sz w:val="20"/>
          <w:szCs w:val="20"/>
          <w:color w:val="auto"/>
        </w:rPr>
      </w:pPr>
      <w:r>
        <w:rPr>
          <w:rFonts w:ascii="Times New Roman" w:cs="Times New Roman" w:eastAsia="Times New Roman" w:hAnsi="Times New Roman"/>
          <w:sz w:val="17"/>
          <w:szCs w:val="17"/>
          <w:color w:val="auto"/>
        </w:rPr>
        <w:t>The Company has one segment. The Company currently focuses most of its resources on discovering and developing therapeutic and diagnostic products targeting misfolded proteins.</w:t>
      </w:r>
    </w:p>
    <w:p>
      <w:pPr>
        <w:spacing w:after="0" w:line="170" w:lineRule="exact"/>
        <w:rPr>
          <w:sz w:val="20"/>
          <w:szCs w:val="20"/>
          <w:color w:val="auto"/>
        </w:rPr>
      </w:pPr>
    </w:p>
    <w:p>
      <w:pPr>
        <w:ind w:left="40" w:right="59" w:firstLine="305"/>
        <w:spacing w:after="0" w:line="287" w:lineRule="auto"/>
        <w:rPr>
          <w:sz w:val="20"/>
          <w:szCs w:val="20"/>
          <w:color w:val="auto"/>
        </w:rPr>
      </w:pPr>
      <w:r>
        <w:rPr>
          <w:rFonts w:ascii="Times New Roman" w:cs="Times New Roman" w:eastAsia="Times New Roman" w:hAnsi="Times New Roman"/>
          <w:sz w:val="16"/>
          <w:szCs w:val="16"/>
          <w:color w:val="auto"/>
        </w:rPr>
        <w:t>The Company is managed and operated as one business. The chief operating decision maker comprehensively manages the entire business as one segment. Accordingly, the Company views its business and manages its operations as one operating segment. Non-current assets are located in, and revenue is allocated and recorded within, the Company’s country of domicile, Switzerland.</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Accounting policies, standards, interpretations and amendments adopted by the Company</w:t>
      </w:r>
    </w:p>
    <w:p>
      <w:pPr>
        <w:spacing w:after="0" w:line="227" w:lineRule="exact"/>
        <w:rPr>
          <w:sz w:val="20"/>
          <w:szCs w:val="20"/>
          <w:color w:val="auto"/>
        </w:rPr>
      </w:pPr>
    </w:p>
    <w:p>
      <w:pPr>
        <w:ind w:left="40" w:right="79" w:firstLine="305"/>
        <w:spacing w:after="0" w:line="274" w:lineRule="auto"/>
        <w:rPr>
          <w:sz w:val="20"/>
          <w:szCs w:val="20"/>
          <w:color w:val="auto"/>
        </w:rPr>
      </w:pPr>
      <w:r>
        <w:rPr>
          <w:rFonts w:ascii="Times New Roman" w:cs="Times New Roman" w:eastAsia="Times New Roman" w:hAnsi="Times New Roman"/>
          <w:sz w:val="17"/>
          <w:szCs w:val="17"/>
          <w:color w:val="212529"/>
        </w:rPr>
        <w:t>There are no new IFRS standards, amendments or interpretations that are mandatory as of January 1, 2025 that are relevant to the Company. Additionally, the Company has not adopted any standard, interpretation or amendment that has been issued but is not yet effective. Such standards are not currently expected to have a material impact on the entity in the current or future reporting periods and on foreseeable future transactions.</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New standards that are not yet effective</w:t>
      </w:r>
    </w:p>
    <w:p>
      <w:pPr>
        <w:spacing w:after="0" w:line="211" w:lineRule="exact"/>
        <w:rPr>
          <w:sz w:val="20"/>
          <w:szCs w:val="20"/>
          <w:color w:val="auto"/>
        </w:rPr>
      </w:pPr>
    </w:p>
    <w:p>
      <w:pPr>
        <w:ind w:left="40" w:right="119" w:firstLine="305"/>
        <w:spacing w:after="0" w:line="252" w:lineRule="auto"/>
        <w:rPr>
          <w:sz w:val="20"/>
          <w:szCs w:val="20"/>
          <w:color w:val="auto"/>
        </w:rPr>
      </w:pPr>
      <w:r>
        <w:rPr>
          <w:rFonts w:ascii="Times New Roman" w:cs="Times New Roman" w:eastAsia="Times New Roman" w:hAnsi="Times New Roman"/>
          <w:sz w:val="17"/>
          <w:szCs w:val="17"/>
          <w:color w:val="auto"/>
        </w:rPr>
        <w:t xml:space="preserve">In April 2024, the IASB issued IFRS 18 </w:t>
      </w:r>
      <w:r>
        <w:rPr>
          <w:rFonts w:ascii="Times New Roman" w:cs="Times New Roman" w:eastAsia="Times New Roman" w:hAnsi="Times New Roman"/>
          <w:sz w:val="17"/>
          <w:szCs w:val="17"/>
          <w:i w:val="1"/>
          <w:iCs w:val="1"/>
          <w:color w:val="auto"/>
        </w:rPr>
        <w:t>Presentation and Disclosure in Financial Statements</w:t>
      </w:r>
      <w:r>
        <w:rPr>
          <w:rFonts w:ascii="Times New Roman" w:cs="Times New Roman" w:eastAsia="Times New Roman" w:hAnsi="Times New Roman"/>
          <w:sz w:val="17"/>
          <w:szCs w:val="17"/>
          <w:color w:val="auto"/>
        </w:rPr>
        <w:t xml:space="preserve"> (IFRS 18). The new standard on presentation and disclosure in the financial statements will change the structure of the statement of profit or loss, require disclosures for certain profit or loss performance measure that are reported outside of the financial statements, and will enhance principles on aggregation and disaggregation within the notes to the financial statements. It also establishes a new starting point and revised requirements for interest and dividends in the statement of cash flows. This new standard will be effective for annual and interim reporting periods beginning on January 1, 2027 and will require retrospective application. The Company is currently evaluating the new standard to determine how it will impact the presentation and disclosure in its financial statements.</w:t>
      </w:r>
    </w:p>
    <w:p>
      <w:pPr>
        <w:spacing w:after="0" w:line="188" w:lineRule="exact"/>
        <w:rPr>
          <w:sz w:val="20"/>
          <w:szCs w:val="20"/>
          <w:color w:val="auto"/>
        </w:rPr>
      </w:pPr>
    </w:p>
    <w:p>
      <w:pPr>
        <w:ind w:left="40" w:right="79" w:firstLine="305"/>
        <w:spacing w:after="0" w:line="257" w:lineRule="auto"/>
        <w:rPr>
          <w:sz w:val="20"/>
          <w:szCs w:val="20"/>
          <w:color w:val="auto"/>
        </w:rPr>
      </w:pPr>
      <w:r>
        <w:rPr>
          <w:rFonts w:ascii="Times New Roman" w:cs="Times New Roman" w:eastAsia="Times New Roman" w:hAnsi="Times New Roman"/>
          <w:sz w:val="17"/>
          <w:szCs w:val="17"/>
          <w:color w:val="auto"/>
        </w:rPr>
        <w:t xml:space="preserve">In May and December 2024, the IASB issued narrow scope amendments to IFRS 9 </w:t>
      </w:r>
      <w:r>
        <w:rPr>
          <w:rFonts w:ascii="Times New Roman" w:cs="Times New Roman" w:eastAsia="Times New Roman" w:hAnsi="Times New Roman"/>
          <w:sz w:val="17"/>
          <w:szCs w:val="17"/>
          <w:i w:val="1"/>
          <w:iCs w:val="1"/>
          <w:color w:val="auto"/>
        </w:rPr>
        <w:t>Financial Instruments</w:t>
      </w:r>
      <w:r>
        <w:rPr>
          <w:rFonts w:ascii="Times New Roman" w:cs="Times New Roman" w:eastAsia="Times New Roman" w:hAnsi="Times New Roman"/>
          <w:sz w:val="17"/>
          <w:szCs w:val="17"/>
          <w:color w:val="auto"/>
        </w:rPr>
        <w:t xml:space="preserve"> and IFRS 7 </w:t>
      </w:r>
      <w:r>
        <w:rPr>
          <w:rFonts w:ascii="Times New Roman" w:cs="Times New Roman" w:eastAsia="Times New Roman" w:hAnsi="Times New Roman"/>
          <w:sz w:val="17"/>
          <w:szCs w:val="17"/>
          <w:i w:val="1"/>
          <w:iCs w:val="1"/>
          <w:color w:val="auto"/>
        </w:rPr>
        <w:t>Financial Instruments: Disclosures</w:t>
      </w:r>
      <w:r>
        <w:rPr>
          <w:rFonts w:ascii="Times New Roman" w:cs="Times New Roman" w:eastAsia="Times New Roman" w:hAnsi="Times New Roman"/>
          <w:sz w:val="17"/>
          <w:szCs w:val="17"/>
          <w:color w:val="auto"/>
        </w:rPr>
        <w:t>. These amendments clarify the requirements for determining contractual cash flows of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assets, financial liabilities and lease liabilities, as well as guidance on contracts referencing nature-dependent electricity. These amendments are effective January 1, 2026. The Company is currently evaluating the new standard to determine how it will impact the presentation and disclosure in its financial statements, at this time the amendments are not expected to have a material impact on </w:t>
      </w:r>
      <w:r>
        <w:rPr>
          <w:rFonts w:ascii="Times New Roman" w:cs="Times New Roman" w:eastAsia="Times New Roman" w:hAnsi="Times New Roman"/>
          <w:sz w:val="18"/>
          <w:szCs w:val="18"/>
          <w:color w:val="auto"/>
        </w:rPr>
        <w:t>the presentation and disclosure in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329565</wp:posOffset>
            </wp:positionV>
            <wp:extent cx="5657850" cy="241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9">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83" w:name="page184"/>
    <w:bookmarkEnd w:id="18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hanging="295"/>
        <w:spacing w:after="0"/>
        <w:tabs>
          <w:tab w:leader="none" w:pos="340" w:val="left"/>
        </w:tabs>
        <w:numPr>
          <w:ilvl w:val="0"/>
          <w:numId w:val="1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Property, plant and equipment</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tables show the movements in the net book values of property, plant and equipment for the years ended</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December 31, 2025 and 2024, respectively:</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760" w:type="dxa"/>
            <w:vAlign w:val="bottom"/>
            <w:gridSpan w:val="2"/>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6"/>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4"/>
              </w:rPr>
              <w:t>IT</w:t>
            </w: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​​​Laboratory</w:t>
            </w:r>
          </w:p>
        </w:tc>
        <w:tc>
          <w:tcPr>
            <w:tcW w:w="1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Leasehold</w:t>
            </w:r>
          </w:p>
        </w:tc>
        <w:tc>
          <w:tcPr>
            <w:tcW w:w="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600" w:type="dxa"/>
            <w:vAlign w:val="bottom"/>
          </w:tcPr>
          <w:p>
            <w:pPr>
              <w:ind w:left="17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Furniture</w:t>
            </w:r>
          </w:p>
        </w:tc>
        <w:tc>
          <w:tcPr>
            <w:tcW w:w="14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equipment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improvements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Acquisition cost:</w:t>
            </w:r>
          </w:p>
        </w:tc>
        <w:tc>
          <w:tcPr>
            <w:tcW w:w="1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700" w:type="dxa"/>
            <w:vAlign w:val="bottom"/>
            <w:tcBorders>
              <w:top w:val="single" w:sz="8" w:color="auto"/>
            </w:tcBorders>
          </w:tcPr>
          <w:p>
            <w:pPr>
              <w:jc w:val="right"/>
              <w:ind w:right="5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at December 31, 2024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1,863</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7"/>
                <w:szCs w:val="17"/>
                <w:color w:val="auto"/>
              </w:rPr>
              <w:t>Additions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Disposals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Balance at December 31, 2025</w:t>
            </w:r>
          </w:p>
        </w:tc>
        <w:tc>
          <w:tcPr>
            <w:tcW w:w="14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2,545</w:t>
            </w:r>
          </w:p>
        </w:tc>
        <w:tc>
          <w:tcPr>
            <w:tcW w:w="14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10,935</w:t>
            </w:r>
          </w:p>
        </w:tc>
        <w:tc>
          <w:tcPr>
            <w:tcW w:w="1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Accumulated depreciation:</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at December 31, 2024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(2,056)</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(1,101)</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expenses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(847)</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Disposals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Balance at December 31, 2025</w:t>
            </w:r>
          </w:p>
        </w:tc>
        <w:tc>
          <w:tcPr>
            <w:tcW w:w="14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(2,277)</w:t>
            </w:r>
          </w:p>
        </w:tc>
        <w:tc>
          <w:tcPr>
            <w:tcW w:w="14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(9,754)</w:t>
            </w:r>
          </w:p>
        </w:tc>
        <w:tc>
          <w:tcPr>
            <w:tcW w:w="1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Carrying amount:</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1,182</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w:t>
            </w:r>
          </w:p>
        </w:tc>
        <w:tc>
          <w:tcPr>
            <w:tcW w:w="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760" w:type="dxa"/>
            <w:vAlign w:val="bottom"/>
            <w:gridSpan w:val="2"/>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6"/>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4"/>
              </w:rPr>
              <w:t>IT</w:t>
            </w: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​​​Laboratory</w:t>
            </w:r>
          </w:p>
        </w:tc>
        <w:tc>
          <w:tcPr>
            <w:tcW w:w="1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Leasehold</w:t>
            </w:r>
          </w:p>
        </w:tc>
        <w:tc>
          <w:tcPr>
            <w:tcW w:w="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600" w:type="dxa"/>
            <w:vAlign w:val="bottom"/>
          </w:tcPr>
          <w:p>
            <w:pPr>
              <w:ind w:left="17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Furniture</w:t>
            </w:r>
          </w:p>
        </w:tc>
        <w:tc>
          <w:tcPr>
            <w:tcW w:w="14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equipment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improvements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Acquisition cost:</w:t>
            </w:r>
          </w:p>
        </w:tc>
        <w:tc>
          <w:tcPr>
            <w:tcW w:w="1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at December 31, 2023</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1,662</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7"/>
                <w:szCs w:val="17"/>
                <w:color w:val="auto"/>
              </w:rPr>
              <w:t>Additions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Disposals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Balance at December 31, 2024</w:t>
            </w:r>
          </w:p>
        </w:tc>
        <w:tc>
          <w:tcPr>
            <w:tcW w:w="14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2,387</w:t>
            </w:r>
          </w:p>
        </w:tc>
        <w:tc>
          <w:tcPr>
            <w:tcW w:w="14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10,536</w:t>
            </w:r>
          </w:p>
        </w:tc>
        <w:tc>
          <w:tcPr>
            <w:tcW w:w="1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Accumulated depreciation:</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at December 31, 2023</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(8,101)</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expenses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(965)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Disposals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Balance at December 31, 2024</w:t>
            </w:r>
          </w:p>
        </w:tc>
        <w:tc>
          <w:tcPr>
            <w:tcW w:w="14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(2,056)</w:t>
            </w:r>
          </w:p>
        </w:tc>
        <w:tc>
          <w:tcPr>
            <w:tcW w:w="14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(9,053)</w:t>
            </w:r>
          </w:p>
        </w:tc>
        <w:tc>
          <w:tcPr>
            <w:tcW w:w="1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Carrying amount:</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1,483</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762</w:t>
            </w:r>
          </w:p>
        </w:tc>
        <w:tc>
          <w:tcPr>
            <w:tcW w:w="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40" w:right="259" w:firstLine="305"/>
        <w:spacing w:after="0" w:line="277" w:lineRule="auto"/>
        <w:rPr>
          <w:sz w:val="20"/>
          <w:szCs w:val="20"/>
          <w:color w:val="auto"/>
        </w:rPr>
      </w:pPr>
      <w:r>
        <w:rPr>
          <w:rFonts w:ascii="Times New Roman" w:cs="Times New Roman" w:eastAsia="Times New Roman" w:hAnsi="Times New Roman"/>
          <w:sz w:val="17"/>
          <w:szCs w:val="17"/>
          <w:color w:val="auto"/>
        </w:rPr>
        <w:t>For the years ended December 31, 2025, 2024 and 2023, the Company incurred CHF 1.4 million, CHF 1.5 million and CHF 1.7 million in depreciation expenses, respectively.</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0">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84" w:name="page185"/>
    <w:bookmarkEnd w:id="18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hanging="295"/>
        <w:spacing w:after="0"/>
        <w:tabs>
          <w:tab w:leader="none" w:pos="340" w:val="left"/>
        </w:tabs>
        <w:numPr>
          <w:ilvl w:val="0"/>
          <w:numId w:val="1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Right-of-use assets, long-term financial assets and lease liabilities</w:t>
      </w:r>
    </w:p>
    <w:p>
      <w:pPr>
        <w:spacing w:after="0" w:line="215" w:lineRule="exact"/>
        <w:rPr>
          <w:sz w:val="20"/>
          <w:szCs w:val="20"/>
          <w:color w:val="auto"/>
        </w:rPr>
      </w:pPr>
    </w:p>
    <w:p>
      <w:pPr>
        <w:ind w:left="40" w:right="179" w:firstLine="305"/>
        <w:spacing w:after="0" w:line="258" w:lineRule="auto"/>
        <w:rPr>
          <w:sz w:val="20"/>
          <w:szCs w:val="20"/>
          <w:color w:val="auto"/>
        </w:rPr>
      </w:pPr>
      <w:r>
        <w:rPr>
          <w:rFonts w:ascii="Times New Roman" w:cs="Times New Roman" w:eastAsia="Times New Roman" w:hAnsi="Times New Roman"/>
          <w:sz w:val="17"/>
          <w:szCs w:val="17"/>
          <w:color w:val="auto"/>
        </w:rPr>
        <w:t>The Company recognized additions and reassessment of right-of-use of leased assets for buildings or for office equipment totaling CHF 0.2 million and CHF 2.6 million for the years ended December 31, 2025 and 2024, respectively. In 2025, the change pertained to a reduction of lease space, offset by the reassessment of the lease term of a separate lease space. In 2024, the increase was predominantly associated with a new lease and the reassessment of our existing leased office space.</w:t>
      </w:r>
    </w:p>
    <w:p>
      <w:pPr>
        <w:spacing w:after="0" w:line="175" w:lineRule="exact"/>
        <w:rPr>
          <w:sz w:val="20"/>
          <w:szCs w:val="20"/>
          <w:color w:val="auto"/>
        </w:rPr>
      </w:pPr>
    </w:p>
    <w:p>
      <w:pPr>
        <w:ind w:left="40" w:right="239" w:firstLine="305"/>
        <w:spacing w:after="0" w:line="255" w:lineRule="auto"/>
        <w:rPr>
          <w:sz w:val="20"/>
          <w:szCs w:val="20"/>
          <w:color w:val="auto"/>
        </w:rPr>
      </w:pPr>
      <w:r>
        <w:rPr>
          <w:rFonts w:ascii="Times New Roman" w:cs="Times New Roman" w:eastAsia="Times New Roman" w:hAnsi="Times New Roman"/>
          <w:sz w:val="17"/>
          <w:szCs w:val="17"/>
          <w:color w:val="auto"/>
        </w:rPr>
        <w:t>Regarding lease liabilities, the amortization depends on the rate implicit in the contract or the incremental borrowing rate for the respective lease component. The weighted averages of the incremental borrowing rates as of December 31, 2025 are 5.5% (3.5% for 2024) for buildings, 3.3% (3.3% for 2024) for office equipment and 7.2% (7.2% for 2024) for IT equipment.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tables show the movements in the net book values of right-of-use of leased assets for the years ended</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December 31, 2025 and 2024, respectively:</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5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Office</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IT</w:t>
            </w:r>
          </w:p>
        </w:tc>
        <w:tc>
          <w:tcPr>
            <w:tcW w:w="860" w:type="dxa"/>
            <w:vAlign w:val="bottom"/>
            <w:gridSpan w:val="2"/>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4"/>
        </w:trPr>
        <w:tc>
          <w:tcPr>
            <w:tcW w:w="5720" w:type="dxa"/>
            <w:vAlign w:val="bottom"/>
            <w:gridSpan w:val="5"/>
          </w:tcPr>
          <w:p>
            <w:pPr>
              <w:ind w:left="22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6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equipment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equipment</w:t>
            </w:r>
          </w:p>
        </w:tc>
        <w:tc>
          <w:tcPr>
            <w:tcW w:w="160" w:type="dxa"/>
            <w:vAlign w:val="bottom"/>
          </w:tcPr>
          <w:p>
            <w:pPr>
              <w:spacing w:after="0"/>
              <w:rPr>
                <w:sz w:val="15"/>
                <w:szCs w:val="15"/>
                <w:color w:val="auto"/>
              </w:rPr>
            </w:pPr>
          </w:p>
        </w:tc>
        <w:tc>
          <w:tcPr>
            <w:tcW w:w="70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4"/>
        </w:trPr>
        <w:tc>
          <w:tcPr>
            <w:tcW w:w="55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December 31, 2024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5,320</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5,437</w:t>
            </w:r>
          </w:p>
        </w:tc>
      </w:tr>
      <w:tr>
        <w:trPr>
          <w:trHeight w:val="216"/>
        </w:trPr>
        <w:tc>
          <w:tcPr>
            <w:tcW w:w="57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Lease modification and reassessment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213</w:t>
            </w:r>
          </w:p>
        </w:tc>
      </w:tr>
      <w:tr>
        <w:trPr>
          <w:trHeight w:val="216"/>
        </w:trPr>
        <w:tc>
          <w:tcPr>
            <w:tcW w:w="5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(1,064)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w:t>
            </w:r>
          </w:p>
        </w:tc>
      </w:tr>
      <w:tr>
        <w:trPr>
          <w:trHeight w:val="211"/>
        </w:trPr>
        <w:tc>
          <w:tcPr>
            <w:tcW w:w="570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Balance as of December 31, 2025</w:t>
            </w:r>
          </w:p>
        </w:tc>
        <w:tc>
          <w:tcPr>
            <w:tcW w:w="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4,469</w:t>
            </w: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6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4,540</w:t>
            </w:r>
          </w:p>
        </w:tc>
      </w:tr>
      <w:tr>
        <w:trPr>
          <w:trHeight w:val="392"/>
        </w:trPr>
        <w:tc>
          <w:tcPr>
            <w:tcW w:w="5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Office</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IT</w:t>
            </w:r>
          </w:p>
        </w:tc>
        <w:tc>
          <w:tcPr>
            <w:tcW w:w="860" w:type="dxa"/>
            <w:vAlign w:val="bottom"/>
            <w:gridSpan w:val="2"/>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4"/>
        </w:trPr>
        <w:tc>
          <w:tcPr>
            <w:tcW w:w="5720" w:type="dxa"/>
            <w:vAlign w:val="bottom"/>
            <w:gridSpan w:val="5"/>
          </w:tcPr>
          <w:p>
            <w:pPr>
              <w:ind w:left="222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6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equipment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equipment</w:t>
            </w:r>
          </w:p>
        </w:tc>
        <w:tc>
          <w:tcPr>
            <w:tcW w:w="160" w:type="dxa"/>
            <w:vAlign w:val="bottom"/>
          </w:tcPr>
          <w:p>
            <w:pPr>
              <w:spacing w:after="0"/>
              <w:rPr>
                <w:sz w:val="15"/>
                <w:szCs w:val="15"/>
                <w:color w:val="auto"/>
              </w:rPr>
            </w:pPr>
          </w:p>
        </w:tc>
        <w:tc>
          <w:tcPr>
            <w:tcW w:w="70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4"/>
        </w:trPr>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December 31, 2023</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auto"/>
            </w:tcBorders>
            <w:gridSpan w:val="2"/>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3,446</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3,508</w:t>
            </w:r>
          </w:p>
        </w:tc>
      </w:tr>
      <w:tr>
        <w:trPr>
          <w:trHeight w:val="216"/>
        </w:trPr>
        <w:tc>
          <w:tcPr>
            <w:tcW w:w="57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Additions and reassessment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2,606</w:t>
            </w:r>
          </w:p>
        </w:tc>
      </w:tr>
      <w:tr>
        <w:trPr>
          <w:trHeight w:val="216"/>
        </w:trPr>
        <w:tc>
          <w:tcPr>
            <w:tcW w:w="5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w:t>
            </w:r>
          </w:p>
        </w:tc>
      </w:tr>
      <w:tr>
        <w:trPr>
          <w:trHeight w:val="211"/>
        </w:trPr>
        <w:tc>
          <w:tcPr>
            <w:tcW w:w="56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Balance as of December 31, 2024</w:t>
            </w:r>
          </w:p>
        </w:tc>
        <w:tc>
          <w:tcPr>
            <w:tcW w:w="40" w:type="dxa"/>
            <w:vAlign w:val="bottom"/>
            <w:tcBorders>
              <w:top w:val="single" w:sz="8" w:color="auto"/>
            </w:tcBorders>
            <w:gridSpan w:val="2"/>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6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5,437</w:t>
            </w:r>
          </w:p>
        </w:tc>
      </w:tr>
    </w:tbl>
    <w:p>
      <w:pPr>
        <w:spacing w:after="0" w:line="196" w:lineRule="exact"/>
        <w:rPr>
          <w:sz w:val="20"/>
          <w:szCs w:val="20"/>
          <w:color w:val="auto"/>
        </w:rPr>
      </w:pPr>
    </w:p>
    <w:p>
      <w:pPr>
        <w:ind w:left="40" w:right="99" w:firstLine="305"/>
        <w:spacing w:after="0" w:line="277" w:lineRule="auto"/>
        <w:rPr>
          <w:sz w:val="20"/>
          <w:szCs w:val="20"/>
          <w:color w:val="auto"/>
        </w:rPr>
      </w:pPr>
      <w:r>
        <w:rPr>
          <w:rFonts w:ascii="Times New Roman" w:cs="Times New Roman" w:eastAsia="Times New Roman" w:hAnsi="Times New Roman"/>
          <w:sz w:val="17"/>
          <w:szCs w:val="17"/>
          <w:color w:val="auto"/>
        </w:rPr>
        <w:t>For the years ended December 31, 2025, and 2024, the impact on the Company’s consolidated statements of income/(loss) and consolidated statements of cash flows is detailed in the table below.</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For the Year Ended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Borders>
              <w:bottom w:val="single" w:sz="8" w:color="auto"/>
            </w:tcBorders>
            <w:gridSpan w:val="4"/>
          </w:tcPr>
          <w:p>
            <w:pPr>
              <w:jc w:val="center"/>
              <w:ind w:left="446"/>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5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00" w:type="dxa"/>
            <w:vAlign w:val="bottom"/>
          </w:tcPr>
          <w:p>
            <w:pPr>
              <w:ind w:left="28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900" w:type="dxa"/>
            <w:vAlign w:val="bottom"/>
            <w:gridSpan w:val="2"/>
          </w:tcPr>
          <w:p>
            <w:pPr>
              <w:spacing w:after="0"/>
              <w:rPr>
                <w:sz w:val="15"/>
                <w:szCs w:val="15"/>
                <w:color w:val="auto"/>
              </w:rPr>
            </w:pPr>
          </w:p>
        </w:tc>
        <w:tc>
          <w:tcPr>
            <w:tcW w:w="820" w:type="dxa"/>
            <w:vAlign w:val="bottom"/>
          </w:tcPr>
          <w:p>
            <w:pPr>
              <w:jc w:val="right"/>
              <w:ind w:right="18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w w:val="85"/>
              </w:rPr>
              <w:t>2024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Statements of income/(loss)</w:t>
            </w:r>
          </w:p>
        </w:tc>
        <w:tc>
          <w:tcPr>
            <w:tcW w:w="2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of right-of-use assets</w:t>
            </w:r>
          </w:p>
        </w:tc>
        <w:tc>
          <w:tcPr>
            <w:tcW w:w="3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 on lease liabilities</w:t>
            </w:r>
          </w:p>
        </w:tc>
        <w:tc>
          <w:tcPr>
            <w:tcW w:w="3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Expense for short-term leases and leases of low value</w:t>
            </w:r>
          </w:p>
        </w:tc>
        <w:tc>
          <w:tcPr>
            <w:tcW w:w="3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1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1,975</w:t>
            </w:r>
          </w:p>
        </w:tc>
        <w:tc>
          <w:tcPr>
            <w:tcW w:w="20" w:type="dxa"/>
            <w:vAlign w:val="bottom"/>
            <w:tcBorders>
              <w:top w:val="single" w:sz="8" w:color="auto"/>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100" w:type="dxa"/>
            <w:vAlign w:val="bottom"/>
            <w:tcBorders>
              <w:top w:val="single" w:sz="8" w:color="CCEEFF"/>
            </w:tcBorders>
            <w:shd w:val="clear" w:color="auto" w:fill="CCEEFF"/>
          </w:tcPr>
          <w:p>
            <w:pPr>
              <w:spacing w:after="0"/>
              <w:rPr>
                <w:sz w:val="16"/>
                <w:szCs w:val="16"/>
                <w:color w:val="auto"/>
              </w:rPr>
            </w:pPr>
          </w:p>
        </w:tc>
        <w:tc>
          <w:tcPr>
            <w:tcW w:w="27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Statements of cash flows</w:t>
            </w: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cash outflow for leases</w:t>
            </w:r>
          </w:p>
        </w:tc>
        <w:tc>
          <w:tcPr>
            <w:tcW w:w="27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2"/>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720" w:type="dxa"/>
            <w:vAlign w:val="bottom"/>
            <w:gridSpan w:val="3"/>
          </w:tcPr>
          <w:p>
            <w:pPr>
              <w:jc w:val="right"/>
              <w:ind w:right="3146"/>
              <w:spacing w:after="0"/>
              <w:rPr>
                <w:sz w:val="20"/>
                <w:szCs w:val="20"/>
                <w:color w:val="auto"/>
              </w:rPr>
            </w:pPr>
            <w:r>
              <w:rPr>
                <w:rFonts w:ascii="Times New Roman" w:cs="Times New Roman" w:eastAsia="Times New Roman" w:hAnsi="Times New Roman"/>
                <w:sz w:val="17"/>
                <w:szCs w:val="17"/>
                <w:color w:val="auto"/>
              </w:rPr>
              <w:t>F-20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91" w:right="1440" w:bottom="1440" w:gutter="0" w:footer="0" w:header="0"/>
        </w:sectPr>
      </w:pPr>
    </w:p>
    <w:bookmarkStart w:id="185" w:name="page186"/>
    <w:bookmarkEnd w:id="18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presents the contractual undiscounted cash flows for lease liabilities as of December 31, 2025 and 2024:</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6820" w:type="dxa"/>
            <w:vAlign w:val="bottom"/>
          </w:tcPr>
          <w:p>
            <w:pPr>
              <w:spacing w:after="0"/>
              <w:rPr>
                <w:sz w:val="15"/>
                <w:szCs w:val="15"/>
                <w:color w:val="auto"/>
              </w:rPr>
            </w:pP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spacing w:after="0"/>
              <w:rPr>
                <w:sz w:val="15"/>
                <w:szCs w:val="15"/>
                <w:color w:val="auto"/>
              </w:rPr>
            </w:pPr>
          </w:p>
        </w:tc>
        <w:tc>
          <w:tcPr>
            <w:tcW w:w="5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560" w:type="dxa"/>
            <w:vAlign w:val="bottom"/>
          </w:tcPr>
          <w:p>
            <w:pPr>
              <w:spacing w:after="0"/>
              <w:rPr>
                <w:sz w:val="15"/>
                <w:szCs w:val="15"/>
                <w:color w:val="auto"/>
              </w:rPr>
            </w:pPr>
          </w:p>
        </w:tc>
      </w:tr>
      <w:tr>
        <w:trPr>
          <w:trHeight w:val="182"/>
        </w:trPr>
        <w:tc>
          <w:tcPr>
            <w:tcW w:w="6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Borders>
              <w:bottom w:val="single" w:sz="8" w:color="auto"/>
            </w:tcBorders>
            <w:gridSpan w:val="4"/>
          </w:tcPr>
          <w:p>
            <w:pPr>
              <w:jc w:val="center"/>
              <w:ind w:left="441"/>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560" w:type="dxa"/>
            <w:vAlign w:val="bottom"/>
            <w:tcBorders>
              <w:bottom w:val="single" w:sz="8" w:color="auto"/>
            </w:tcBorders>
          </w:tcPr>
          <w:p>
            <w:pPr>
              <w:spacing w:after="0"/>
              <w:rPr>
                <w:sz w:val="15"/>
                <w:szCs w:val="15"/>
                <w:color w:val="auto"/>
              </w:rPr>
            </w:pPr>
          </w:p>
        </w:tc>
      </w:tr>
      <w:tr>
        <w:trPr>
          <w:trHeight w:val="178"/>
        </w:trPr>
        <w:tc>
          <w:tcPr>
            <w:tcW w:w="7020" w:type="dxa"/>
            <w:vAlign w:val="bottom"/>
            <w:gridSpan w:val="2"/>
          </w:tcPr>
          <w:p>
            <w:pPr>
              <w:ind w:left="288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0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w w:val="85"/>
              </w:rPr>
              <w:t>2024</w:t>
            </w:r>
          </w:p>
        </w:tc>
      </w:tr>
      <w:tr>
        <w:trPr>
          <w:trHeight w:val="208"/>
        </w:trPr>
        <w:tc>
          <w:tcPr>
            <w:tcW w:w="6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than one year</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1,079</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w:t>
            </w: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1-3 years</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2,372</w:t>
            </w:r>
          </w:p>
        </w:tc>
      </w:tr>
      <w:tr>
        <w:trPr>
          <w:trHeight w:val="216"/>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3-5 years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2,038</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w:t>
            </w:r>
          </w:p>
        </w:tc>
      </w:tr>
      <w:tr>
        <w:trPr>
          <w:trHeight w:val="208"/>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5,194</w:t>
            </w:r>
          </w:p>
        </w:tc>
        <w:tc>
          <w:tcPr>
            <w:tcW w:w="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5,924</w:t>
            </w:r>
          </w:p>
        </w:tc>
      </w:tr>
      <w:tr>
        <w:trPr>
          <w:trHeight w:val="20"/>
        </w:trPr>
        <w:tc>
          <w:tcPr>
            <w:tcW w:w="6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40" w:right="439" w:firstLine="305"/>
        <w:spacing w:after="0" w:line="277" w:lineRule="auto"/>
        <w:rPr>
          <w:sz w:val="20"/>
          <w:szCs w:val="20"/>
          <w:color w:val="auto"/>
        </w:rPr>
      </w:pPr>
      <w:r>
        <w:rPr>
          <w:rFonts w:ascii="Times New Roman" w:cs="Times New Roman" w:eastAsia="Times New Roman" w:hAnsi="Times New Roman"/>
          <w:sz w:val="17"/>
          <w:szCs w:val="17"/>
          <w:color w:val="auto"/>
        </w:rPr>
        <w:t>The Company also has two deposits in escrow accounts totaling CHF 0.6 million and CHF 0.4 million for the lease of the Company’s premises as of December 31, 2025 and 2024, respectively.</w:t>
      </w:r>
    </w:p>
    <w:p>
      <w:pPr>
        <w:spacing w:after="0" w:line="154" w:lineRule="exact"/>
        <w:rPr>
          <w:sz w:val="20"/>
          <w:szCs w:val="20"/>
          <w:color w:val="auto"/>
        </w:rPr>
      </w:pPr>
    </w:p>
    <w:p>
      <w:pPr>
        <w:ind w:left="340" w:hanging="295"/>
        <w:spacing w:after="0"/>
        <w:tabs>
          <w:tab w:leader="none" w:pos="340" w:val="left"/>
        </w:tabs>
        <w:numPr>
          <w:ilvl w:val="0"/>
          <w:numId w:val="1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Intangible assets</w:t>
      </w:r>
    </w:p>
    <w:p>
      <w:pPr>
        <w:spacing w:after="0" w:line="215" w:lineRule="exact"/>
        <w:rPr>
          <w:sz w:val="20"/>
          <w:szCs w:val="20"/>
          <w:color w:val="auto"/>
        </w:rPr>
      </w:pPr>
    </w:p>
    <w:p>
      <w:pPr>
        <w:ind w:left="40" w:right="99" w:firstLine="305"/>
        <w:spacing w:after="0" w:line="255" w:lineRule="auto"/>
        <w:rPr>
          <w:sz w:val="20"/>
          <w:szCs w:val="20"/>
          <w:color w:val="auto"/>
        </w:rPr>
      </w:pPr>
      <w:r>
        <w:rPr>
          <w:rFonts w:ascii="Times New Roman" w:cs="Times New Roman" w:eastAsia="Times New Roman" w:hAnsi="Times New Roman"/>
          <w:sz w:val="17"/>
          <w:szCs w:val="17"/>
          <w:color w:val="auto"/>
        </w:rPr>
        <w:t>AC Immune’s acquired IPR&amp;D asset is a clinically-validated active immunotherapy candidate for the treatment of Parkinson’s disease. The asset is not yet ready for use until the asset obtains market approval. The carrying amount and net book value are detailed below:</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960" w:type="dxa"/>
            <w:vAlign w:val="bottom"/>
          </w:tcPr>
          <w:p>
            <w:pPr>
              <w:spacing w:after="0"/>
              <w:rPr>
                <w:sz w:val="15"/>
                <w:szCs w:val="15"/>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2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As of December 31, 2025</w:t>
            </w:r>
          </w:p>
        </w:tc>
        <w:tc>
          <w:tcPr>
            <w:tcW w:w="140" w:type="dxa"/>
            <w:vAlign w:val="bottom"/>
          </w:tcPr>
          <w:p>
            <w:pPr>
              <w:spacing w:after="0"/>
              <w:rPr>
                <w:sz w:val="15"/>
                <w:szCs w:val="15"/>
                <w:color w:val="auto"/>
              </w:rPr>
            </w:pPr>
          </w:p>
        </w:tc>
        <w:tc>
          <w:tcPr>
            <w:tcW w:w="23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As of December 31, 2024</w:t>
            </w:r>
          </w:p>
        </w:tc>
      </w:tr>
      <w:tr>
        <w:trPr>
          <w:trHeight w:val="20"/>
        </w:trPr>
        <w:tc>
          <w:tcPr>
            <w:tcW w:w="39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r>
      <w:tr>
        <w:trPr>
          <w:trHeight w:val="164"/>
        </w:trPr>
        <w:tc>
          <w:tcPr>
            <w:tcW w:w="3960" w:type="dxa"/>
            <w:vAlign w:val="bottom"/>
          </w:tcPr>
          <w:p>
            <w:pPr>
              <w:spacing w:after="0"/>
              <w:rPr>
                <w:sz w:val="14"/>
                <w:szCs w:val="14"/>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Gross</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Gross</w:t>
            </w:r>
            <w:r>
              <w:rPr>
                <w:rFonts w:ascii="Times New Roman" w:cs="Times New Roman" w:eastAsia="Times New Roman" w:hAnsi="Times New Roman"/>
                <w:sz w:val="14"/>
                <w:szCs w:val="14"/>
                <w:color w:val="auto"/>
              </w:rPr>
              <w:t xml:space="preserve">   ​​​</w:t>
            </w:r>
          </w:p>
        </w:tc>
        <w:tc>
          <w:tcPr>
            <w:tcW w:w="800" w:type="dxa"/>
            <w:vAlign w:val="bottom"/>
          </w:tcPr>
          <w:p>
            <w:pPr>
              <w:spacing w:after="0"/>
              <w:rPr>
                <w:sz w:val="14"/>
                <w:szCs w:val="14"/>
                <w:color w:val="auto"/>
              </w:rPr>
            </w:pPr>
          </w:p>
        </w:tc>
        <w:tc>
          <w:tcPr>
            <w:tcW w:w="760" w:type="dxa"/>
            <w:vAlign w:val="bottom"/>
            <w:gridSpan w:val="2"/>
          </w:tcPr>
          <w:p>
            <w:pPr>
              <w:jc w:val="right"/>
              <w:ind w:right="524"/>
              <w:spacing w:after="0"/>
              <w:rPr>
                <w:sz w:val="20"/>
                <w:szCs w:val="20"/>
                <w:color w:val="auto"/>
              </w:rPr>
            </w:pPr>
            <w:r>
              <w:rPr>
                <w:rFonts w:ascii="Times New Roman" w:cs="Times New Roman" w:eastAsia="Times New Roman" w:hAnsi="Times New Roman"/>
                <w:sz w:val="14"/>
                <w:szCs w:val="14"/>
                <w:color w:val="auto"/>
              </w:rPr>
              <w:t>​​​</w:t>
            </w:r>
          </w:p>
        </w:tc>
      </w:tr>
      <w:tr>
        <w:trPr>
          <w:trHeight w:val="178"/>
        </w:trPr>
        <w:tc>
          <w:tcPr>
            <w:tcW w:w="3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carrying</w:t>
            </w:r>
          </w:p>
        </w:tc>
        <w:tc>
          <w:tcPr>
            <w:tcW w:w="1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4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Net book</w:t>
            </w:r>
          </w:p>
        </w:tc>
        <w:tc>
          <w:tcPr>
            <w:tcW w:w="140" w:type="dxa"/>
            <w:vAlign w:val="bottom"/>
          </w:tcPr>
          <w:p>
            <w:pPr>
              <w:spacing w:after="0"/>
              <w:rPr>
                <w:sz w:val="15"/>
                <w:szCs w:val="15"/>
                <w:color w:val="auto"/>
              </w:rPr>
            </w:pPr>
          </w:p>
        </w:tc>
        <w:tc>
          <w:tcPr>
            <w:tcW w:w="8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Net book</w:t>
            </w:r>
          </w:p>
        </w:tc>
      </w:tr>
      <w:tr>
        <w:trPr>
          <w:trHeight w:val="184"/>
        </w:trPr>
        <w:tc>
          <w:tcPr>
            <w:tcW w:w="4140" w:type="dxa"/>
            <w:vAlign w:val="bottom"/>
            <w:gridSpan w:val="2"/>
          </w:tcPr>
          <w:p>
            <w:pPr>
              <w:ind w:left="14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amount</w:t>
            </w:r>
          </w:p>
        </w:tc>
        <w:tc>
          <w:tcPr>
            <w:tcW w:w="1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amortization</w:t>
            </w:r>
          </w:p>
        </w:tc>
        <w:tc>
          <w:tcPr>
            <w:tcW w:w="14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value</w:t>
            </w:r>
          </w:p>
        </w:tc>
        <w:tc>
          <w:tcPr>
            <w:tcW w:w="14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amortization</w:t>
            </w:r>
          </w:p>
        </w:tc>
        <w:tc>
          <w:tcPr>
            <w:tcW w:w="140" w:type="dxa"/>
            <w:vAlign w:val="bottom"/>
          </w:tcPr>
          <w:p>
            <w:pPr>
              <w:spacing w:after="0"/>
              <w:rPr>
                <w:sz w:val="15"/>
                <w:szCs w:val="15"/>
                <w:color w:val="auto"/>
              </w:rPr>
            </w:pPr>
          </w:p>
        </w:tc>
        <w:tc>
          <w:tcPr>
            <w:tcW w:w="62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14"/>
        </w:trPr>
        <w:tc>
          <w:tcPr>
            <w:tcW w:w="3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Acquired IPR&amp;D asset</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50,416</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50,416</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50,416</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50,416</w:t>
            </w:r>
          </w:p>
        </w:tc>
      </w:tr>
      <w:tr>
        <w:trPr>
          <w:trHeight w:val="208"/>
        </w:trPr>
        <w:tc>
          <w:tcPr>
            <w:tcW w:w="41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intangible assets</w:t>
            </w: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50,416</w:t>
            </w:r>
          </w:p>
        </w:tc>
        <w:tc>
          <w:tcPr>
            <w:tcW w:w="140" w:type="dxa"/>
            <w:vAlign w:val="bottom"/>
          </w:tcPr>
          <w:p>
            <w:pPr>
              <w:spacing w:after="0"/>
              <w:rPr>
                <w:sz w:val="18"/>
                <w:szCs w:val="18"/>
                <w:color w:val="auto"/>
              </w:rPr>
            </w:pPr>
          </w:p>
        </w:tc>
        <w:tc>
          <w:tcPr>
            <w:tcW w:w="8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50,416</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50,416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50,416</w:t>
            </w:r>
          </w:p>
        </w:tc>
      </w:tr>
      <w:tr>
        <w:trPr>
          <w:trHeight w:val="20"/>
        </w:trPr>
        <w:tc>
          <w:tcPr>
            <w:tcW w:w="3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40" w:right="159" w:firstLine="305"/>
        <w:spacing w:after="0" w:line="257" w:lineRule="auto"/>
        <w:rPr>
          <w:sz w:val="20"/>
          <w:szCs w:val="20"/>
          <w:color w:val="auto"/>
        </w:rPr>
      </w:pPr>
      <w:r>
        <w:rPr>
          <w:rFonts w:ascii="Times New Roman" w:cs="Times New Roman" w:eastAsia="Times New Roman" w:hAnsi="Times New Roman"/>
          <w:sz w:val="17"/>
          <w:szCs w:val="17"/>
          <w:color w:val="auto"/>
        </w:rPr>
        <w:t xml:space="preserve">In accordance with IAS 36 </w:t>
      </w:r>
      <w:r>
        <w:rPr>
          <w:rFonts w:ascii="Times New Roman" w:cs="Times New Roman" w:eastAsia="Times New Roman" w:hAnsi="Times New Roman"/>
          <w:sz w:val="17"/>
          <w:szCs w:val="17"/>
          <w:i w:val="1"/>
          <w:iCs w:val="1"/>
          <w:color w:val="auto"/>
        </w:rPr>
        <w:t>Impairment of Assets</w:t>
      </w:r>
      <w:r>
        <w:rPr>
          <w:rFonts w:ascii="Times New Roman" w:cs="Times New Roman" w:eastAsia="Times New Roman" w:hAnsi="Times New Roman"/>
          <w:sz w:val="17"/>
          <w:szCs w:val="17"/>
          <w:color w:val="auto"/>
        </w:rPr>
        <w:t xml:space="preserve">, the IPR&amp;D asset is reviewed at least annually for impairment by assessing the fair value less costs to sell (recoverable amount) and comparing this to the carrying value of the asset. The valuation is considered to be Level 3 in the fair value hierarchy in accordance with IFRS 13 </w:t>
      </w:r>
      <w:r>
        <w:rPr>
          <w:rFonts w:ascii="Times New Roman" w:cs="Times New Roman" w:eastAsia="Times New Roman" w:hAnsi="Times New Roman"/>
          <w:sz w:val="17"/>
          <w:szCs w:val="17"/>
          <w:i w:val="1"/>
          <w:iCs w:val="1"/>
          <w:color w:val="auto"/>
        </w:rPr>
        <w:t>Fair Value Measurement</w:t>
      </w:r>
      <w:r>
        <w:rPr>
          <w:rFonts w:ascii="Times New Roman" w:cs="Times New Roman" w:eastAsia="Times New Roman" w:hAnsi="Times New Roman"/>
          <w:sz w:val="17"/>
          <w:szCs w:val="17"/>
          <w:color w:val="auto"/>
        </w:rPr>
        <w:t xml:space="preserve"> due to unobservable inputs used in the valuation. The Company has determined the IPR&amp;D asset was not impaired as of December 31, 2025 and 2024, respectively.</w:t>
      </w:r>
    </w:p>
    <w:p>
      <w:pPr>
        <w:spacing w:after="0" w:line="176" w:lineRule="exact"/>
        <w:rPr>
          <w:sz w:val="20"/>
          <w:szCs w:val="20"/>
          <w:color w:val="auto"/>
        </w:rPr>
      </w:pPr>
    </w:p>
    <w:p>
      <w:pPr>
        <w:ind w:left="40" w:right="79" w:firstLine="305"/>
        <w:spacing w:after="0" w:line="262" w:lineRule="auto"/>
        <w:rPr>
          <w:sz w:val="20"/>
          <w:szCs w:val="20"/>
          <w:color w:val="auto"/>
        </w:rPr>
      </w:pPr>
      <w:r>
        <w:rPr>
          <w:rFonts w:ascii="Times New Roman" w:cs="Times New Roman" w:eastAsia="Times New Roman" w:hAnsi="Times New Roman"/>
          <w:sz w:val="17"/>
          <w:szCs w:val="17"/>
          <w:color w:val="auto"/>
        </w:rPr>
        <w:t>The key assumptions used in the valuation model in accordance with an income approach to determine the recoverable amount include observable and unobservable key inputs as follows:</w:t>
      </w:r>
    </w:p>
    <w:p>
      <w:pPr>
        <w:spacing w:after="0" w:line="170" w:lineRule="exact"/>
        <w:rPr>
          <w:sz w:val="20"/>
          <w:szCs w:val="20"/>
          <w:color w:val="auto"/>
        </w:rPr>
      </w:pPr>
    </w:p>
    <w:p>
      <w:pPr>
        <w:ind w:left="680" w:hanging="305"/>
        <w:spacing w:after="0"/>
        <w:tabs>
          <w:tab w:leader="none" w:pos="68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Anticipated research and development costs;</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Anticipated costs of goods and sales and marketing expenditures;</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Probability of achieving clinical and regulatory development milestones in accordance with certain industry benchmarks;</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Target indication prevalence and incidence rates;</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Anticipated market share;</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commercialization expectations such as anticipated pricing and uptake;</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patent life and market exclusivity periods; and</w:t>
      </w:r>
    </w:p>
    <w:p>
      <w:pPr>
        <w:spacing w:after="0" w:line="210" w:lineRule="exact"/>
        <w:rPr>
          <w:rFonts w:ascii="Times New Roman" w:cs="Times New Roman" w:eastAsia="Times New Roman" w:hAnsi="Times New Roman"/>
          <w:sz w:val="17"/>
          <w:szCs w:val="17"/>
          <w:color w:val="auto"/>
        </w:rPr>
      </w:pPr>
    </w:p>
    <w:p>
      <w:pPr>
        <w:ind w:left="680" w:hanging="305"/>
        <w:spacing w:after="0"/>
        <w:tabs>
          <w:tab w:leader="none" w:pos="68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metrics such as the tax rate.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1">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86" w:name="page187"/>
    <w:bookmarkEnd w:id="18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40" w:right="79" w:firstLine="305"/>
        <w:spacing w:after="0" w:line="263" w:lineRule="auto"/>
        <w:rPr>
          <w:sz w:val="20"/>
          <w:szCs w:val="20"/>
          <w:color w:val="auto"/>
        </w:rPr>
      </w:pPr>
      <w:r>
        <w:rPr>
          <w:rFonts w:ascii="Times New Roman" w:cs="Times New Roman" w:eastAsia="Times New Roman" w:hAnsi="Times New Roman"/>
          <w:sz w:val="17"/>
          <w:szCs w:val="17"/>
          <w:color w:val="auto"/>
        </w:rPr>
        <w:t>The Company’s valuation model calculates the risk-adjusted, net cash flows through the projected period of market exclusivity across target sales regions. The Company uses a discount rate of 16% (17% for 2024), based on the assumed cost of capital for the Company over the forecast period.</w:t>
      </w:r>
    </w:p>
    <w:p>
      <w:pPr>
        <w:spacing w:after="0" w:line="166" w:lineRule="exact"/>
        <w:rPr>
          <w:sz w:val="20"/>
          <w:szCs w:val="20"/>
          <w:color w:val="auto"/>
        </w:rPr>
      </w:pPr>
    </w:p>
    <w:p>
      <w:pPr>
        <w:ind w:left="340" w:hanging="295"/>
        <w:spacing w:after="0"/>
        <w:tabs>
          <w:tab w:leader="none" w:pos="340" w:val="left"/>
        </w:tabs>
        <w:numPr>
          <w:ilvl w:val="0"/>
          <w:numId w:val="1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Cash and cash equivalents and short-term financial assets</w:t>
      </w:r>
    </w:p>
    <w:p>
      <w:pPr>
        <w:spacing w:after="0" w:line="215" w:lineRule="exact"/>
        <w:rPr>
          <w:sz w:val="20"/>
          <w:szCs w:val="20"/>
          <w:color w:val="auto"/>
        </w:rPr>
      </w:pPr>
    </w:p>
    <w:p>
      <w:pPr>
        <w:ind w:left="40" w:right="159" w:firstLine="305"/>
        <w:spacing w:after="0" w:line="277" w:lineRule="auto"/>
        <w:rPr>
          <w:sz w:val="20"/>
          <w:szCs w:val="20"/>
          <w:color w:val="auto"/>
        </w:rPr>
      </w:pPr>
      <w:r>
        <w:rPr>
          <w:rFonts w:ascii="Times New Roman" w:cs="Times New Roman" w:eastAsia="Times New Roman" w:hAnsi="Times New Roman"/>
          <w:sz w:val="17"/>
          <w:szCs w:val="17"/>
          <w:color w:val="auto"/>
        </w:rPr>
        <w:t>The Company’s cash and cash equivalents are maintained in the following respective currencies as of December 31, 2025 and 2024:</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6820" w:type="dxa"/>
            <w:vAlign w:val="bottom"/>
          </w:tcPr>
          <w:p>
            <w:pPr>
              <w:spacing w:after="0"/>
              <w:rPr>
                <w:sz w:val="15"/>
                <w:szCs w:val="15"/>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spacing w:after="0"/>
              <w:rPr>
                <w:sz w:val="15"/>
                <w:szCs w:val="15"/>
                <w:color w:val="auto"/>
              </w:rPr>
            </w:pPr>
          </w:p>
        </w:tc>
        <w:tc>
          <w:tcPr>
            <w:tcW w:w="5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2"/>
        </w:trPr>
        <w:tc>
          <w:tcPr>
            <w:tcW w:w="6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Borders>
              <w:bottom w:val="single" w:sz="8" w:color="auto"/>
            </w:tcBorders>
            <w:gridSpan w:val="4"/>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5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78"/>
        </w:trPr>
        <w:tc>
          <w:tcPr>
            <w:tcW w:w="7020" w:type="dxa"/>
            <w:vAlign w:val="bottom"/>
            <w:gridSpan w:val="2"/>
          </w:tcPr>
          <w:p>
            <w:pPr>
              <w:ind w:left="288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w w:val="85"/>
              </w:rPr>
              <w:t>2024</w:t>
            </w:r>
          </w:p>
        </w:tc>
        <w:tc>
          <w:tcPr>
            <w:tcW w:w="40" w:type="dxa"/>
            <w:vAlign w:val="bottom"/>
          </w:tcPr>
          <w:p>
            <w:pPr>
              <w:spacing w:after="0"/>
              <w:rPr>
                <w:sz w:val="15"/>
                <w:szCs w:val="15"/>
                <w:color w:val="auto"/>
              </w:rPr>
            </w:pPr>
          </w:p>
        </w:tc>
      </w:tr>
      <w:tr>
        <w:trPr>
          <w:trHeight w:val="208"/>
        </w:trPr>
        <w:tc>
          <w:tcPr>
            <w:tcW w:w="6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26,795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36,275</w:t>
            </w:r>
          </w:p>
        </w:tc>
        <w:tc>
          <w:tcPr>
            <w:tcW w:w="40" w:type="dxa"/>
            <w:vAlign w:val="bottom"/>
          </w:tcPr>
          <w:p>
            <w:pPr>
              <w:spacing w:after="0"/>
              <w:rPr>
                <w:sz w:val="18"/>
                <w:szCs w:val="18"/>
                <w:color w:val="auto"/>
              </w:rPr>
            </w:pPr>
          </w:p>
        </w:tc>
      </w:tr>
      <w:tr>
        <w:trPr>
          <w:trHeight w:val="248"/>
        </w:trPr>
        <w:tc>
          <w:tcPr>
            <w:tcW w:w="7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26,795</w:t>
            </w: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36,275</w:t>
            </w:r>
          </w:p>
        </w:tc>
        <w:tc>
          <w:tcPr>
            <w:tcW w:w="40" w:type="dxa"/>
            <w:vAlign w:val="bottom"/>
          </w:tcPr>
          <w:p>
            <w:pPr>
              <w:spacing w:after="0"/>
              <w:rPr>
                <w:sz w:val="21"/>
                <w:szCs w:val="21"/>
                <w:color w:val="auto"/>
              </w:rPr>
            </w:pPr>
          </w:p>
        </w:tc>
      </w:tr>
      <w:tr>
        <w:trPr>
          <w:trHeight w:val="194"/>
        </w:trPr>
        <w:tc>
          <w:tcPr>
            <w:tcW w:w="70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By currency</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w:t>
            </w:r>
          </w:p>
        </w:tc>
      </w:tr>
      <w:tr>
        <w:trPr>
          <w:trHeight w:val="216"/>
        </w:trPr>
        <w:tc>
          <w:tcPr>
            <w:tcW w:w="70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CHF</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21,815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20,798</w:t>
            </w:r>
          </w:p>
        </w:tc>
        <w:tc>
          <w:tcPr>
            <w:tcW w:w="40" w:type="dxa"/>
            <w:vAlign w:val="bottom"/>
          </w:tcPr>
          <w:p>
            <w:pPr>
              <w:spacing w:after="0"/>
              <w:rPr>
                <w:sz w:val="18"/>
                <w:szCs w:val="18"/>
                <w:color w:val="auto"/>
              </w:rPr>
            </w:pPr>
          </w:p>
        </w:tc>
      </w:tr>
      <w:tr>
        <w:trPr>
          <w:trHeight w:val="216"/>
        </w:trPr>
        <w:tc>
          <w:tcPr>
            <w:tcW w:w="7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EUR</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7,308</w:t>
            </w:r>
          </w:p>
        </w:tc>
        <w:tc>
          <w:tcPr>
            <w:tcW w:w="40" w:type="dxa"/>
            <w:vAlign w:val="bottom"/>
          </w:tcPr>
          <w:p>
            <w:pPr>
              <w:spacing w:after="0"/>
              <w:rPr>
                <w:sz w:val="18"/>
                <w:szCs w:val="18"/>
                <w:color w:val="auto"/>
              </w:rPr>
            </w:pPr>
          </w:p>
        </w:tc>
      </w:tr>
      <w:tr>
        <w:trPr>
          <w:trHeight w:val="216"/>
        </w:trPr>
        <w:tc>
          <w:tcPr>
            <w:tcW w:w="70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USD</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8,169</w:t>
            </w:r>
          </w:p>
        </w:tc>
        <w:tc>
          <w:tcPr>
            <w:tcW w:w="40" w:type="dxa"/>
            <w:vAlign w:val="bottom"/>
          </w:tcPr>
          <w:p>
            <w:pPr>
              <w:spacing w:after="0"/>
              <w:rPr>
                <w:sz w:val="18"/>
                <w:szCs w:val="18"/>
                <w:color w:val="auto"/>
              </w:rPr>
            </w:pPr>
          </w:p>
        </w:tc>
      </w:tr>
      <w:tr>
        <w:trPr>
          <w:trHeight w:val="216"/>
        </w:trPr>
        <w:tc>
          <w:tcPr>
            <w:tcW w:w="7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r>
      <w:tr>
        <w:trPr>
          <w:trHeight w:val="208"/>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cash and cash equivalents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26,795</w:t>
            </w:r>
          </w:p>
        </w:tc>
        <w:tc>
          <w:tcPr>
            <w:tcW w:w="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36,275</w:t>
            </w:r>
          </w:p>
        </w:tc>
        <w:tc>
          <w:tcPr>
            <w:tcW w:w="40" w:type="dxa"/>
            <w:vAlign w:val="bottom"/>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9" w:lineRule="exact"/>
        <w:rPr>
          <w:sz w:val="20"/>
          <w:szCs w:val="20"/>
          <w:color w:val="auto"/>
        </w:rPr>
      </w:pPr>
    </w:p>
    <w:p>
      <w:pPr>
        <w:ind w:left="40" w:right="139" w:firstLine="305"/>
        <w:spacing w:after="0" w:line="255" w:lineRule="auto"/>
        <w:rPr>
          <w:sz w:val="20"/>
          <w:szCs w:val="20"/>
          <w:color w:val="auto"/>
        </w:rPr>
      </w:pPr>
      <w:r>
        <w:rPr>
          <w:rFonts w:ascii="Times New Roman" w:cs="Times New Roman" w:eastAsia="Times New Roman" w:hAnsi="Times New Roman"/>
          <w:sz w:val="17"/>
          <w:szCs w:val="17"/>
          <w:color w:val="auto"/>
        </w:rPr>
        <w:t>As of December 31, 2025 and 2024, the Company’s funds were predominantly held in CHF, EUR and USD currencies. Funds held in EUR and USD were translated into CHF at a rate of 0.940 and 0.800 and 0.949 and 0.912, respectively, for each currency and year.</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summarizes the Company’s short-term financial assets as of December 31, 2025 and 2024:</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6820" w:type="dxa"/>
            <w:vAlign w:val="bottom"/>
          </w:tcPr>
          <w:p>
            <w:pPr>
              <w:spacing w:after="0"/>
              <w:rPr>
                <w:sz w:val="15"/>
                <w:szCs w:val="15"/>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spacing w:after="0"/>
              <w:rPr>
                <w:sz w:val="15"/>
                <w:szCs w:val="15"/>
                <w:color w:val="auto"/>
              </w:rPr>
            </w:pPr>
          </w:p>
        </w:tc>
        <w:tc>
          <w:tcPr>
            <w:tcW w:w="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0" w:type="dxa"/>
            <w:vAlign w:val="bottom"/>
          </w:tcPr>
          <w:p>
            <w:pPr>
              <w:spacing w:after="0"/>
              <w:rPr>
                <w:sz w:val="1"/>
                <w:szCs w:val="1"/>
                <w:color w:val="auto"/>
              </w:rPr>
            </w:pPr>
          </w:p>
        </w:tc>
      </w:tr>
      <w:tr>
        <w:trPr>
          <w:trHeight w:val="178"/>
        </w:trPr>
        <w:tc>
          <w:tcPr>
            <w:tcW w:w="7020" w:type="dxa"/>
            <w:vAlign w:val="bottom"/>
            <w:gridSpan w:val="2"/>
          </w:tcPr>
          <w:p>
            <w:pPr>
              <w:ind w:left="288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0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8"/>
        </w:trPr>
        <w:tc>
          <w:tcPr>
            <w:tcW w:w="6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financial assets due in one year or less</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64,617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129,214</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64,617</w:t>
            </w: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129,214</w:t>
            </w:r>
          </w:p>
        </w:tc>
        <w:tc>
          <w:tcPr>
            <w:tcW w:w="0" w:type="dxa"/>
            <w:vAlign w:val="bottom"/>
          </w:tcPr>
          <w:p>
            <w:pPr>
              <w:spacing w:after="0"/>
              <w:rPr>
                <w:sz w:val="1"/>
                <w:szCs w:val="1"/>
                <w:color w:val="auto"/>
              </w:rPr>
            </w:pPr>
          </w:p>
        </w:tc>
      </w:tr>
      <w:tr>
        <w:trPr>
          <w:trHeight w:val="194"/>
        </w:trPr>
        <w:tc>
          <w:tcPr>
            <w:tcW w:w="70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By currency</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CHF</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37,068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95,006</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EUR</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17,384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18,705</w:t>
            </w:r>
          </w:p>
        </w:tc>
        <w:tc>
          <w:tcPr>
            <w:tcW w:w="0" w:type="dxa"/>
            <w:vAlign w:val="bottom"/>
          </w:tcPr>
          <w:p>
            <w:pPr>
              <w:spacing w:after="0"/>
              <w:rPr>
                <w:sz w:val="1"/>
                <w:szCs w:val="1"/>
                <w:color w:val="auto"/>
              </w:rPr>
            </w:pPr>
          </w:p>
        </w:tc>
      </w:tr>
      <w:tr>
        <w:trPr>
          <w:trHeight w:val="216"/>
        </w:trPr>
        <w:tc>
          <w:tcPr>
            <w:tcW w:w="70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USD</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10,165</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15,503</w:t>
            </w:r>
          </w:p>
        </w:tc>
        <w:tc>
          <w:tcPr>
            <w:tcW w:w="0" w:type="dxa"/>
            <w:vAlign w:val="bottom"/>
          </w:tcPr>
          <w:p>
            <w:pPr>
              <w:spacing w:after="0"/>
              <w:rPr>
                <w:sz w:val="1"/>
                <w:szCs w:val="1"/>
                <w:color w:val="auto"/>
              </w:rPr>
            </w:pPr>
          </w:p>
        </w:tc>
      </w:tr>
      <w:tr>
        <w:trPr>
          <w:trHeight w:val="208"/>
        </w:trPr>
        <w:tc>
          <w:tcPr>
            <w:tcW w:w="7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short-term financial assets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64,617</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129,214</w:t>
            </w: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8.  Prepaid expenses and accrued income</w:t>
            </w: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702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6820" w:type="dxa"/>
            <w:vAlign w:val="bottom"/>
          </w:tcPr>
          <w:p>
            <w:pPr>
              <w:spacing w:after="0"/>
              <w:rPr>
                <w:sz w:val="24"/>
                <w:szCs w:val="24"/>
                <w:color w:val="auto"/>
              </w:rPr>
            </w:pP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spacing w:after="0"/>
              <w:rPr>
                <w:sz w:val="24"/>
                <w:szCs w:val="24"/>
                <w:color w:val="auto"/>
              </w:rPr>
            </w:pPr>
          </w:p>
        </w:tc>
        <w:tc>
          <w:tcPr>
            <w:tcW w:w="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6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0" w:type="dxa"/>
            <w:vAlign w:val="bottom"/>
          </w:tcPr>
          <w:p>
            <w:pPr>
              <w:spacing w:after="0"/>
              <w:rPr>
                <w:sz w:val="1"/>
                <w:szCs w:val="1"/>
                <w:color w:val="auto"/>
              </w:rPr>
            </w:pPr>
          </w:p>
        </w:tc>
      </w:tr>
      <w:tr>
        <w:trPr>
          <w:trHeight w:val="178"/>
        </w:trPr>
        <w:tc>
          <w:tcPr>
            <w:tcW w:w="7020" w:type="dxa"/>
            <w:vAlign w:val="bottom"/>
            <w:gridSpan w:val="2"/>
          </w:tcPr>
          <w:p>
            <w:pPr>
              <w:ind w:left="288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0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8"/>
        </w:trPr>
        <w:tc>
          <w:tcPr>
            <w:tcW w:w="6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expenses</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3,972</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4,302</w:t>
            </w:r>
          </w:p>
        </w:tc>
        <w:tc>
          <w:tcPr>
            <w:tcW w:w="0" w:type="dxa"/>
            <w:vAlign w:val="bottom"/>
          </w:tcPr>
          <w:p>
            <w:pPr>
              <w:spacing w:after="0"/>
              <w:rPr>
                <w:sz w:val="1"/>
                <w:szCs w:val="1"/>
                <w:color w:val="auto"/>
              </w:rPr>
            </w:pPr>
          </w:p>
        </w:tc>
      </w:tr>
      <w:tr>
        <w:trPr>
          <w:trHeight w:val="216"/>
        </w:trPr>
        <w:tc>
          <w:tcPr>
            <w:tcW w:w="7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Accrued income</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1,099</w:t>
            </w:r>
          </w:p>
        </w:tc>
        <w:tc>
          <w:tcPr>
            <w:tcW w:w="0" w:type="dxa"/>
            <w:vAlign w:val="bottom"/>
          </w:tcPr>
          <w:p>
            <w:pPr>
              <w:spacing w:after="0"/>
              <w:rPr>
                <w:sz w:val="1"/>
                <w:szCs w:val="1"/>
                <w:color w:val="auto"/>
              </w:rPr>
            </w:pPr>
          </w:p>
        </w:tc>
      </w:tr>
      <w:tr>
        <w:trPr>
          <w:trHeight w:val="208"/>
        </w:trPr>
        <w:tc>
          <w:tcPr>
            <w:tcW w:w="7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prepaid expenses and accrued income</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4,332</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5,401</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40" w:right="419" w:firstLine="305"/>
        <w:spacing w:after="0" w:line="253" w:lineRule="auto"/>
        <w:rPr>
          <w:sz w:val="20"/>
          <w:szCs w:val="20"/>
          <w:color w:val="auto"/>
        </w:rPr>
      </w:pPr>
      <w:r>
        <w:rPr>
          <w:rFonts w:ascii="Times New Roman" w:cs="Times New Roman" w:eastAsia="Times New Roman" w:hAnsi="Times New Roman"/>
          <w:sz w:val="17"/>
          <w:szCs w:val="17"/>
          <w:color w:val="auto"/>
        </w:rPr>
        <w:t>The Company’s prepaid expenses relate mainly to research contracts with down-payments at contract signature with the related activities to start or continue into the next year, prepaid expenses recorded as part of our cost sharing arrangement with Janssen, as well as prepaid payroll-related expenses. The decrease in prepaid expenses is mainly due to the reduction in cost-sharing prepaid expenses, which decreased as our clinical development costs for ACI-35.030</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2">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87" w:name="page188"/>
    <w:bookmarkEnd w:id="18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decreased following the completion of Phase 1b/2a and the advancement into Phase 2b, where the costs are borne by Janssen.</w:t>
      </w:r>
    </w:p>
    <w:p>
      <w:pPr>
        <w:spacing w:after="0" w:line="211" w:lineRule="exact"/>
        <w:rPr>
          <w:sz w:val="20"/>
          <w:szCs w:val="20"/>
          <w:color w:val="auto"/>
        </w:rPr>
      </w:pPr>
    </w:p>
    <w:p>
      <w:pPr>
        <w:ind w:left="40" w:right="719"/>
        <w:spacing w:after="0" w:line="277" w:lineRule="auto"/>
        <w:rPr>
          <w:sz w:val="20"/>
          <w:szCs w:val="20"/>
          <w:color w:val="auto"/>
        </w:rPr>
      </w:pPr>
      <w:r>
        <w:rPr>
          <w:rFonts w:ascii="Times New Roman" w:cs="Times New Roman" w:eastAsia="Times New Roman" w:hAnsi="Times New Roman"/>
          <w:sz w:val="17"/>
          <w:szCs w:val="17"/>
          <w:color w:val="auto"/>
        </w:rPr>
        <w:t>As of December 31, 2025, the Company recorded CHF 0.4 million in accrued income from interest on cash term deposits, compared to CHF 1.1 million as of December 31, 2024</w:t>
      </w:r>
      <w:r>
        <w:rPr>
          <w:rFonts w:ascii="Times New Roman" w:cs="Times New Roman" w:eastAsia="Times New Roman" w:hAnsi="Times New Roman"/>
          <w:sz w:val="17"/>
          <w:szCs w:val="17"/>
          <w:b w:val="1"/>
          <w:bCs w:val="1"/>
          <w:color w:val="auto"/>
        </w:rPr>
        <w:t>.</w:t>
      </w:r>
    </w:p>
    <w:p>
      <w:pPr>
        <w:spacing w:after="0" w:line="319" w:lineRule="exact"/>
        <w:rPr>
          <w:sz w:val="20"/>
          <w:szCs w:val="20"/>
          <w:color w:val="auto"/>
        </w:rPr>
      </w:pPr>
    </w:p>
    <w:p>
      <w:pPr>
        <w:ind w:left="340" w:hanging="295"/>
        <w:spacing w:after="0"/>
        <w:tabs>
          <w:tab w:leader="none" w:pos="340" w:val="left"/>
        </w:tabs>
        <w:numPr>
          <w:ilvl w:val="0"/>
          <w:numId w:val="1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Restructuring</w:t>
      </w:r>
    </w:p>
    <w:p>
      <w:pPr>
        <w:spacing w:after="0" w:line="227" w:lineRule="exact"/>
        <w:rPr>
          <w:sz w:val="20"/>
          <w:szCs w:val="20"/>
          <w:color w:val="auto"/>
        </w:rPr>
      </w:pPr>
    </w:p>
    <w:p>
      <w:pPr>
        <w:ind w:left="40" w:right="119" w:firstLine="305"/>
        <w:spacing w:after="0" w:line="270" w:lineRule="auto"/>
        <w:rPr>
          <w:sz w:val="20"/>
          <w:szCs w:val="20"/>
          <w:color w:val="auto"/>
        </w:rPr>
      </w:pPr>
      <w:r>
        <w:rPr>
          <w:rFonts w:ascii="Times New Roman" w:cs="Times New Roman" w:eastAsia="Times New Roman" w:hAnsi="Times New Roman"/>
          <w:sz w:val="17"/>
          <w:szCs w:val="17"/>
          <w:color w:val="auto"/>
        </w:rPr>
        <w:t>On September 4, 2025, the Company announced that following a strategic review, the Company would sharpen its focused investment on its most important assets and implementing cost reduction measures accordingly. As a result of the initiatives announced in September 2025, the Company recorded CHF 0.5 million of net restructuring expenses in 2025, comprising CHF 2.1 million of termination benefits to be paid to the employees impacted by the restructuring, a CHF 1.8 million gain on curtailment related to the defined benefit liability, and less than CHF 0.1 million of expenses related to the acceleration of share-based compensation expenses.</w:t>
      </w:r>
    </w:p>
    <w:p>
      <w:pPr>
        <w:spacing w:after="0" w:line="115" w:lineRule="exact"/>
        <w:rPr>
          <w:sz w:val="20"/>
          <w:szCs w:val="20"/>
          <w:color w:val="auto"/>
        </w:rPr>
      </w:pPr>
    </w:p>
    <w:p>
      <w:pPr>
        <w:jc w:val="both"/>
        <w:ind w:left="40" w:right="179" w:firstLine="305"/>
        <w:spacing w:after="0" w:line="279" w:lineRule="auto"/>
        <w:rPr>
          <w:sz w:val="20"/>
          <w:szCs w:val="20"/>
          <w:color w:val="auto"/>
        </w:rPr>
      </w:pPr>
      <w:r>
        <w:rPr>
          <w:rFonts w:ascii="Times New Roman" w:cs="Times New Roman" w:eastAsia="Times New Roman" w:hAnsi="Times New Roman"/>
          <w:sz w:val="17"/>
          <w:szCs w:val="17"/>
          <w:color w:val="auto"/>
        </w:rPr>
        <w:t>As of December 31, 2025, the Company had a provision of CHF 0.3 million for termination benefits recorded under accrued expenses, compared to a provision of nil at the beginning of the year. The costs remaining in the provision are expected to be paid during the first quarter of 2026.</w:t>
      </w:r>
    </w:p>
    <w:p>
      <w:pPr>
        <w:spacing w:after="0" w:line="105" w:lineRule="exact"/>
        <w:rPr>
          <w:sz w:val="20"/>
          <w:szCs w:val="20"/>
          <w:color w:val="auto"/>
        </w:rPr>
      </w:pPr>
    </w:p>
    <w:p>
      <w:pPr>
        <w:ind w:left="40" w:right="79" w:firstLine="305"/>
        <w:spacing w:after="0" w:line="272" w:lineRule="auto"/>
        <w:rPr>
          <w:sz w:val="20"/>
          <w:szCs w:val="20"/>
          <w:color w:val="auto"/>
        </w:rPr>
      </w:pPr>
      <w:r>
        <w:rPr>
          <w:rFonts w:ascii="Times New Roman" w:cs="Times New Roman" w:eastAsia="Times New Roman" w:hAnsi="Times New Roman"/>
          <w:sz w:val="17"/>
          <w:szCs w:val="17"/>
          <w:color w:val="auto"/>
        </w:rPr>
        <w:t>The curtailment event required a remeasurement of the defined benefit liability using updated actuarial assumptions and current fair value of plan assets, in accordance with IAS 19. The impact of the curtailment is to be recognized in the same period as the restructuring. As a result of the curtailment, the Company recognized a CHF 1.8 million gain in 2025, compared to nil in the corresponding years 2024 and 2023. The curtailment gain is non-cash and arises due to the acceleration or elimination of future benefit accruals under the defined benefit plan.</w:t>
      </w:r>
    </w:p>
    <w:p>
      <w:pPr>
        <w:spacing w:after="0" w:line="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10. Other current receivables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6820" w:type="dxa"/>
            <w:vAlign w:val="bottom"/>
          </w:tcPr>
          <w:p>
            <w:pPr>
              <w:spacing w:after="0"/>
              <w:rPr>
                <w:sz w:val="15"/>
                <w:szCs w:val="15"/>
                <w:color w:val="auto"/>
              </w:rPr>
            </w:pP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spacing w:after="0"/>
              <w:rPr>
                <w:sz w:val="15"/>
                <w:szCs w:val="15"/>
                <w:color w:val="auto"/>
              </w:rPr>
            </w:pPr>
          </w:p>
        </w:tc>
        <w:tc>
          <w:tcPr>
            <w:tcW w:w="5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560" w:type="dxa"/>
            <w:vAlign w:val="bottom"/>
          </w:tcPr>
          <w:p>
            <w:pPr>
              <w:spacing w:after="0"/>
              <w:rPr>
                <w:sz w:val="15"/>
                <w:szCs w:val="15"/>
                <w:color w:val="auto"/>
              </w:rPr>
            </w:pPr>
          </w:p>
        </w:tc>
      </w:tr>
      <w:tr>
        <w:trPr>
          <w:trHeight w:val="182"/>
        </w:trPr>
        <w:tc>
          <w:tcPr>
            <w:tcW w:w="6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Borders>
              <w:bottom w:val="single" w:sz="8" w:color="auto"/>
            </w:tcBorders>
            <w:gridSpan w:val="4"/>
          </w:tcPr>
          <w:p>
            <w:pPr>
              <w:jc w:val="center"/>
              <w:ind w:left="441"/>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560" w:type="dxa"/>
            <w:vAlign w:val="bottom"/>
            <w:tcBorders>
              <w:bottom w:val="single" w:sz="8" w:color="auto"/>
            </w:tcBorders>
          </w:tcPr>
          <w:p>
            <w:pPr>
              <w:spacing w:after="0"/>
              <w:rPr>
                <w:sz w:val="15"/>
                <w:szCs w:val="15"/>
                <w:color w:val="auto"/>
              </w:rPr>
            </w:pPr>
          </w:p>
        </w:tc>
      </w:tr>
      <w:tr>
        <w:trPr>
          <w:trHeight w:val="178"/>
        </w:trPr>
        <w:tc>
          <w:tcPr>
            <w:tcW w:w="7020" w:type="dxa"/>
            <w:vAlign w:val="bottom"/>
            <w:gridSpan w:val="2"/>
          </w:tcPr>
          <w:p>
            <w:pPr>
              <w:ind w:left="288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0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w w:val="85"/>
              </w:rPr>
              <w:t>2024</w:t>
            </w:r>
          </w:p>
        </w:tc>
      </w:tr>
      <w:tr>
        <w:trPr>
          <w:trHeight w:val="208"/>
        </w:trPr>
        <w:tc>
          <w:tcPr>
            <w:tcW w:w="6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current receivable</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Swiss VAT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w:t>
            </w:r>
          </w:p>
        </w:tc>
      </w:tr>
      <w:tr>
        <w:trPr>
          <w:trHeight w:val="216"/>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Withholding tax</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w:t>
            </w:r>
          </w:p>
        </w:tc>
      </w:tr>
      <w:tr>
        <w:trPr>
          <w:trHeight w:val="208"/>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other current receivables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978</w:t>
            </w:r>
          </w:p>
        </w:tc>
        <w:tc>
          <w:tcPr>
            <w:tcW w:w="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1,104</w:t>
            </w:r>
          </w:p>
        </w:tc>
      </w:tr>
      <w:tr>
        <w:trPr>
          <w:trHeight w:val="20"/>
        </w:trPr>
        <w:tc>
          <w:tcPr>
            <w:tcW w:w="6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40" w:right="539" w:firstLine="305"/>
        <w:spacing w:after="0" w:line="277" w:lineRule="auto"/>
        <w:rPr>
          <w:sz w:val="20"/>
          <w:szCs w:val="20"/>
          <w:color w:val="auto"/>
        </w:rPr>
      </w:pPr>
      <w:r>
        <w:rPr>
          <w:rFonts w:ascii="Times New Roman" w:cs="Times New Roman" w:eastAsia="Times New Roman" w:hAnsi="Times New Roman"/>
          <w:sz w:val="17"/>
          <w:szCs w:val="17"/>
          <w:color w:val="auto"/>
        </w:rPr>
        <w:t>The maturity of these assets is less than 3 months. The Company considers the counterparty risk as low and the carrying amount of these receivables is considered to approximate their fair value.</w:t>
      </w:r>
    </w:p>
    <w:p>
      <w:pPr>
        <w:spacing w:after="0" w:line="1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11. Share capital</w:t>
      </w:r>
    </w:p>
    <w:p>
      <w:pPr>
        <w:spacing w:after="0" w:line="215" w:lineRule="exact"/>
        <w:rPr>
          <w:sz w:val="20"/>
          <w:szCs w:val="20"/>
          <w:color w:val="auto"/>
        </w:rPr>
      </w:pPr>
    </w:p>
    <w:p>
      <w:pPr>
        <w:ind w:left="40" w:right="219" w:firstLine="305"/>
        <w:spacing w:after="0" w:line="263" w:lineRule="auto"/>
        <w:rPr>
          <w:sz w:val="20"/>
          <w:szCs w:val="20"/>
          <w:color w:val="auto"/>
        </w:rPr>
      </w:pPr>
      <w:r>
        <w:rPr>
          <w:rFonts w:ascii="Times New Roman" w:cs="Times New Roman" w:eastAsia="Times New Roman" w:hAnsi="Times New Roman"/>
          <w:sz w:val="17"/>
          <w:szCs w:val="17"/>
          <w:color w:val="auto"/>
        </w:rPr>
        <w:t>As of December 31, 2025 and 2024, the issued share capital amounted to CHF 2,252,840 and CHF 2,226,203, respectively, and is composed of outstanding common shares of 101,742,231 and 100,410,377, respectively, and treasury shares of 10,899,773 and 10,899,773, respectively.</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3">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88" w:name="page189"/>
    <w:bookmarkEnd w:id="18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table below summarizes the Company’s capital structure:</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4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5"/>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w w:val="95"/>
              </w:rPr>
              <w:t>In CHF thousands</w:t>
            </w:r>
          </w:p>
        </w:tc>
        <w:tc>
          <w:tcPr>
            <w:tcW w:w="20" w:type="dxa"/>
            <w:vAlign w:val="bottom"/>
          </w:tcPr>
          <w:p>
            <w:pPr>
              <w:spacing w:after="0"/>
              <w:rPr>
                <w:sz w:val="15"/>
                <w:szCs w:val="15"/>
                <w:color w:val="auto"/>
              </w:rPr>
            </w:pPr>
          </w:p>
        </w:tc>
      </w:tr>
      <w:tr>
        <w:trPr>
          <w:trHeight w:val="166"/>
        </w:trPr>
        <w:tc>
          <w:tcPr>
            <w:tcW w:w="4600" w:type="dxa"/>
            <w:vAlign w:val="bottom"/>
            <w:gridSpan w:val="2"/>
          </w:tcPr>
          <w:p>
            <w:pPr>
              <w:ind w:left="446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14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   Treasury</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Share</w:t>
            </w:r>
          </w:p>
        </w:tc>
        <w:tc>
          <w:tcPr>
            <w:tcW w:w="20" w:type="dxa"/>
            <w:vAlign w:val="bottom"/>
          </w:tcPr>
          <w:p>
            <w:pPr>
              <w:spacing w:after="0"/>
              <w:rPr>
                <w:sz w:val="14"/>
                <w:szCs w:val="14"/>
                <w:color w:val="auto"/>
              </w:rPr>
            </w:pP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  Share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0" w:type="dxa"/>
            <w:vAlign w:val="bottom"/>
          </w:tcPr>
          <w:p>
            <w:pPr>
              <w:spacing w:after="0"/>
              <w:rPr>
                <w:sz w:val="14"/>
                <w:szCs w:val="14"/>
                <w:color w:val="auto"/>
              </w:rPr>
            </w:pPr>
          </w:p>
        </w:tc>
      </w:tr>
      <w:tr>
        <w:trPr>
          <w:trHeight w:val="184"/>
        </w:trPr>
        <w:tc>
          <w:tcPr>
            <w:tcW w:w="4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100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140" w:type="dxa"/>
            <w:vAlign w:val="bottom"/>
          </w:tcPr>
          <w:p>
            <w:pPr>
              <w:spacing w:after="0"/>
              <w:rPr>
                <w:sz w:val="15"/>
                <w:szCs w:val="15"/>
                <w:color w:val="auto"/>
              </w:rPr>
            </w:pP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14"/>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104,441,787</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(5,243,958)</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2,089</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474,907</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20" w:type="dxa"/>
            <w:vAlign w:val="bottom"/>
          </w:tcPr>
          <w:p>
            <w:pPr>
              <w:spacing w:after="0"/>
              <w:rPr>
                <w:sz w:val="18"/>
                <w:szCs w:val="18"/>
                <w:color w:val="auto"/>
              </w:rPr>
            </w:pPr>
          </w:p>
        </w:tc>
      </w:tr>
      <w:tr>
        <w:trPr>
          <w:trHeight w:val="212"/>
        </w:trPr>
        <w:tc>
          <w:tcPr>
            <w:tcW w:w="4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Proceeds from public offerings, net of underwriting fees and</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4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transaction costs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30,232</w:t>
            </w: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19"/>
                <w:szCs w:val="19"/>
                <w:color w:val="auto"/>
              </w:rPr>
            </w:pPr>
          </w:p>
        </w:tc>
      </w:tr>
      <w:tr>
        <w:trPr>
          <w:trHeight w:val="212"/>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sale of treasury shares in public offerings, net of</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0"/>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underwriting fees and transaction costs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5,700,000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(5,700,000)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20" w:type="dxa"/>
            <w:vAlign w:val="bottom"/>
          </w:tcPr>
          <w:p>
            <w:pPr>
              <w:spacing w:after="0"/>
              <w:rPr>
                <w:sz w:val="19"/>
                <w:szCs w:val="19"/>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Issuance of shares – incentive plans, net of transaction costs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1,168,363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13,953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3,496</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r>
      <w:tr>
        <w:trPr>
          <w:trHeight w:val="208"/>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111,310,150</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(10,899,773)</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478,506</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20" w:type="dxa"/>
            <w:vAlign w:val="bottom"/>
          </w:tcPr>
          <w:p>
            <w:pPr>
              <w:spacing w:after="0"/>
              <w:rPr>
                <w:sz w:val="18"/>
                <w:szCs w:val="18"/>
                <w:color w:val="auto"/>
              </w:rPr>
            </w:pPr>
          </w:p>
        </w:tc>
      </w:tr>
      <w:tr>
        <w:trPr>
          <w:trHeight w:val="208"/>
        </w:trPr>
        <w:tc>
          <w:tcPr>
            <w:tcW w:w="4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Issuance of shares – incentive plans, net of transaction costs</w:t>
            </w: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1,331,854</w:t>
            </w: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3,357</w:t>
            </w:r>
          </w:p>
        </w:tc>
        <w:tc>
          <w:tcPr>
            <w:tcW w:w="14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r>
      <w:tr>
        <w:trPr>
          <w:trHeight w:val="208"/>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112,642,004</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(10,899,773)</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481,863</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20" w:type="dxa"/>
            <w:vAlign w:val="bottom"/>
          </w:tcPr>
          <w:p>
            <w:pPr>
              <w:spacing w:after="0"/>
              <w:rPr>
                <w:sz w:val="18"/>
                <w:szCs w:val="18"/>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9" w:lineRule="exact"/>
        <w:rPr>
          <w:sz w:val="20"/>
          <w:szCs w:val="20"/>
          <w:color w:val="auto"/>
        </w:rPr>
      </w:pPr>
    </w:p>
    <w:p>
      <w:pPr>
        <w:ind w:left="40" w:right="319" w:firstLine="305"/>
        <w:spacing w:after="0" w:line="277" w:lineRule="auto"/>
        <w:rPr>
          <w:sz w:val="20"/>
          <w:szCs w:val="20"/>
          <w:color w:val="auto"/>
        </w:rPr>
      </w:pPr>
      <w:r>
        <w:rPr>
          <w:rFonts w:ascii="Times New Roman" w:cs="Times New Roman" w:eastAsia="Times New Roman" w:hAnsi="Times New Roman"/>
          <w:sz w:val="17"/>
          <w:szCs w:val="17"/>
          <w:color w:val="auto"/>
        </w:rPr>
        <w:t>The common shares and treasury shares have nominal values of CHF 0.02 per share. All shares have been fully paid. These treasury shares held by the Company are not considered outstanding shares as of December 31, 2025 or 2024.</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Conditional share capital for financing and other purposes</w:t>
      </w:r>
    </w:p>
    <w:p>
      <w:pPr>
        <w:spacing w:after="0" w:line="215" w:lineRule="exact"/>
        <w:rPr>
          <w:sz w:val="20"/>
          <w:szCs w:val="20"/>
          <w:color w:val="auto"/>
        </w:rPr>
      </w:pPr>
    </w:p>
    <w:p>
      <w:pPr>
        <w:ind w:left="40" w:right="99" w:firstLine="305"/>
        <w:spacing w:after="0" w:line="258" w:lineRule="auto"/>
        <w:rPr>
          <w:sz w:val="20"/>
          <w:szCs w:val="20"/>
          <w:color w:val="auto"/>
        </w:rPr>
      </w:pPr>
      <w:r>
        <w:rPr>
          <w:rFonts w:ascii="Times New Roman" w:cs="Times New Roman" w:eastAsia="Times New Roman" w:hAnsi="Times New Roman"/>
          <w:sz w:val="17"/>
          <w:szCs w:val="17"/>
          <w:color w:val="auto"/>
        </w:rPr>
        <w:t>The Company’s share capital may be increased by a maximum aggregate amount of CHF 100,000 through the issuance of a maximum of 5,000,000 registered shares, payable in full, each with a nominal value of CHF 0.02 per share, through the exercise of conversion and/or option or warrant rights granted in connection with bonds or similar instruments, issued or to be issued by the Company or by subsidiaries of the Company, including convertible debt instruments.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Conditional share capital for employee benefit plans</w:t>
      </w:r>
    </w:p>
    <w:p>
      <w:pPr>
        <w:spacing w:after="0" w:line="215" w:lineRule="exact"/>
        <w:rPr>
          <w:sz w:val="20"/>
          <w:szCs w:val="20"/>
          <w:color w:val="auto"/>
        </w:rPr>
      </w:pPr>
    </w:p>
    <w:p>
      <w:pPr>
        <w:ind w:left="40" w:right="279" w:firstLine="305"/>
        <w:spacing w:after="0" w:line="276" w:lineRule="auto"/>
        <w:rPr>
          <w:sz w:val="20"/>
          <w:szCs w:val="20"/>
          <w:color w:val="auto"/>
        </w:rPr>
      </w:pPr>
      <w:r>
        <w:rPr>
          <w:rFonts w:ascii="Times New Roman" w:cs="Times New Roman" w:eastAsia="Times New Roman" w:hAnsi="Times New Roman"/>
          <w:sz w:val="16"/>
          <w:szCs w:val="16"/>
          <w:color w:val="auto"/>
        </w:rPr>
        <w:t>The Company’s share capital may be increased by a maximum aggregate amount of CHF 90,057.34 through the issuance of not more than 4,502,867 common shares, payable in full, each with a nominal value of CHF 0.02 per share, by the exercise of options rights that have been granted to employees, consultants, members of the board of directors, or other person providing services to the Company or a subsidiary. As of December 31, 2025, 168,677 of our common shares, which were issued upon the exercise of options and restricted share units, have not yet been registered with the commercial register of the Canton of Vaud.</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Follow-On Offering</w:t>
      </w:r>
    </w:p>
    <w:p>
      <w:pPr>
        <w:spacing w:after="0" w:line="202" w:lineRule="exact"/>
        <w:rPr>
          <w:sz w:val="20"/>
          <w:szCs w:val="20"/>
          <w:color w:val="auto"/>
        </w:rPr>
      </w:pPr>
    </w:p>
    <w:p>
      <w:pPr>
        <w:ind w:left="40" w:right="99" w:firstLine="305"/>
        <w:spacing w:after="0" w:line="258" w:lineRule="auto"/>
        <w:rPr>
          <w:sz w:val="20"/>
          <w:szCs w:val="20"/>
          <w:color w:val="auto"/>
        </w:rPr>
      </w:pPr>
      <w:r>
        <w:rPr>
          <w:rFonts w:ascii="Times New Roman" w:cs="Times New Roman" w:eastAsia="Times New Roman" w:hAnsi="Times New Roman"/>
          <w:sz w:val="17"/>
          <w:szCs w:val="17"/>
          <w:color w:val="auto"/>
        </w:rPr>
        <w:t>On December 19, 2023, the Company announced that it had closed an underwritten offering of 14,300,000 common shares, resulting in gross proceeds of approximately USD 50.1 (CHF 43.8) million. Net underwriting fees and transaction costs totaled CHF 3.3 million for net proceeds of CHF 40.5 million. Transaction costs associated with these offerings and related to the issuance of new shares were charged directly against the share premium account thereby reducing the total equity reported.</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Shelf registration statement</w:t>
      </w:r>
    </w:p>
    <w:p>
      <w:pPr>
        <w:spacing w:after="0" w:line="215" w:lineRule="exact"/>
        <w:rPr>
          <w:sz w:val="20"/>
          <w:szCs w:val="20"/>
          <w:color w:val="auto"/>
        </w:rPr>
      </w:pPr>
    </w:p>
    <w:p>
      <w:pPr>
        <w:ind w:left="40" w:right="119" w:firstLine="305"/>
        <w:spacing w:after="0" w:line="255" w:lineRule="auto"/>
        <w:rPr>
          <w:sz w:val="20"/>
          <w:szCs w:val="20"/>
          <w:color w:val="auto"/>
        </w:rPr>
      </w:pPr>
      <w:r>
        <w:rPr>
          <w:rFonts w:ascii="Times New Roman" w:cs="Times New Roman" w:eastAsia="Times New Roman" w:hAnsi="Times New Roman"/>
          <w:sz w:val="17"/>
          <w:szCs w:val="17"/>
          <w:color w:val="auto"/>
        </w:rPr>
        <w:t>On March 14, 2024, the Company filed a Shelf Registration Statement on Form F-3 (Reg. No. 333-277940) (the “Shelf Registration Statement”), which was subsequently amended on July 26, 2024, with the SEC. The Shelf Registration Statement was declared effective by the SEC on July 31, 2024.</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4">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89" w:name="page190"/>
    <w:bookmarkEnd w:id="18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99" w:firstLine="305"/>
        <w:spacing w:after="0" w:line="276" w:lineRule="auto"/>
        <w:rPr>
          <w:sz w:val="20"/>
          <w:szCs w:val="20"/>
          <w:color w:val="auto"/>
        </w:rPr>
      </w:pPr>
      <w:r>
        <w:rPr>
          <w:rFonts w:ascii="Times New Roman" w:cs="Times New Roman" w:eastAsia="Times New Roman" w:hAnsi="Times New Roman"/>
          <w:sz w:val="16"/>
          <w:szCs w:val="16"/>
          <w:color w:val="auto"/>
        </w:rPr>
        <w:t>The Shelf Registration Statement allows the Company to offer and sell, from time to time, up to USD 350,000,000 of common shares, debt securities, warrants, purchase contracts, units, subscription rights or any combination of the foregoing in one or more future public offerings. The terms of any future offering would be determined at the time of the offering and would be subject to market conditions and approval by the Company’s Board of Directors. Any offering of securities covered by the Shelf Registration Statement will be made only by means of a written prospectus and prospectus supplement authorized and filed by the Company.</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At the market equity offering</w:t>
      </w:r>
    </w:p>
    <w:p>
      <w:pPr>
        <w:spacing w:after="0" w:line="215" w:lineRule="exact"/>
        <w:rPr>
          <w:sz w:val="20"/>
          <w:szCs w:val="20"/>
          <w:color w:val="auto"/>
        </w:rPr>
      </w:pPr>
    </w:p>
    <w:p>
      <w:pPr>
        <w:ind w:left="40" w:right="199" w:firstLine="305"/>
        <w:spacing w:after="0" w:line="255" w:lineRule="auto"/>
        <w:rPr>
          <w:sz w:val="20"/>
          <w:szCs w:val="20"/>
          <w:color w:val="auto"/>
        </w:rPr>
      </w:pPr>
      <w:r>
        <w:rPr>
          <w:rFonts w:ascii="Times New Roman" w:cs="Times New Roman" w:eastAsia="Times New Roman" w:hAnsi="Times New Roman"/>
          <w:sz w:val="17"/>
          <w:szCs w:val="17"/>
          <w:color w:val="auto"/>
        </w:rPr>
        <w:t>Commencing in September 2020, the Company established an “at the market offering” (ATM) for the sale of up to USD 80.0 (CHF 64.0) million worth of our common shares from time to time by entering into an Open Market Sale Agreement (“Sales Agreement”) with Jefferies LLC (“Jefferies”).</w:t>
      </w:r>
    </w:p>
    <w:p>
      <w:pPr>
        <w:spacing w:after="0" w:line="176" w:lineRule="exact"/>
        <w:rPr>
          <w:sz w:val="20"/>
          <w:szCs w:val="20"/>
          <w:color w:val="auto"/>
        </w:rPr>
      </w:pPr>
    </w:p>
    <w:p>
      <w:pPr>
        <w:ind w:left="40" w:right="319" w:firstLine="305"/>
        <w:spacing w:after="0" w:line="277" w:lineRule="auto"/>
        <w:rPr>
          <w:sz w:val="20"/>
          <w:szCs w:val="20"/>
          <w:color w:val="auto"/>
        </w:rPr>
      </w:pPr>
      <w:r>
        <w:rPr>
          <w:rFonts w:ascii="Times New Roman" w:cs="Times New Roman" w:eastAsia="Times New Roman" w:hAnsi="Times New Roman"/>
          <w:sz w:val="17"/>
          <w:szCs w:val="17"/>
          <w:color w:val="auto"/>
        </w:rPr>
        <w:t>In Q2 2021 and Q2 2024, we filed a new registration statement on Form F-3 and entered into a new Sales Agreement in Q2 2021 and Q3 2024 to replace and extend the ATM program.</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In Q2 2024, the Company issued 5,700,000 common shares with a nominal value of CHF 0.02 to be held as treasury shares.</w:t>
      </w:r>
    </w:p>
    <w:p>
      <w:pPr>
        <w:spacing w:after="0" w:line="211" w:lineRule="exact"/>
        <w:rPr>
          <w:sz w:val="20"/>
          <w:szCs w:val="20"/>
          <w:color w:val="auto"/>
        </w:rPr>
      </w:pPr>
    </w:p>
    <w:p>
      <w:pPr>
        <w:ind w:left="40" w:right="59" w:firstLine="305"/>
        <w:spacing w:after="0" w:line="253" w:lineRule="auto"/>
        <w:rPr>
          <w:sz w:val="20"/>
          <w:szCs w:val="20"/>
          <w:color w:val="auto"/>
        </w:rPr>
      </w:pPr>
      <w:r>
        <w:rPr>
          <w:rFonts w:ascii="Times New Roman" w:cs="Times New Roman" w:eastAsia="Times New Roman" w:hAnsi="Times New Roman"/>
          <w:sz w:val="17"/>
          <w:szCs w:val="17"/>
          <w:color w:val="auto"/>
        </w:rPr>
        <w:t>Through December 31, 2025, the Company has cumulatively sold 2,179,434 common shares previously held as treasury shares pursuant to the Sales Agreement, raising USD 16.4 (CHF 14.9) million, net of underwriting fees and transaction costs. We have paid commissions to Jefferies totaling USD 0.5 (CHF 0.5) million through December 31, 2025, for share issuances in accordance with our ATM programs. In 2025, the Company had no share activity related to the ATM program.</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12. Trade and other payables and accrued expenses</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6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640" w:type="dxa"/>
            <w:vAlign w:val="bottom"/>
          </w:tcPr>
          <w:p>
            <w:pPr>
              <w:spacing w:after="0"/>
              <w:rPr>
                <w:sz w:val="15"/>
                <w:szCs w:val="15"/>
                <w:color w:val="auto"/>
              </w:rPr>
            </w:pPr>
          </w:p>
        </w:tc>
      </w:tr>
      <w:tr>
        <w:trPr>
          <w:trHeight w:val="182"/>
        </w:trPr>
        <w:tc>
          <w:tcPr>
            <w:tcW w:w="6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Borders>
              <w:bottom w:val="single" w:sz="8" w:color="auto"/>
            </w:tcBorders>
            <w:gridSpan w:val="4"/>
          </w:tcPr>
          <w:p>
            <w:pPr>
              <w:jc w:val="center"/>
              <w:ind w:left="519"/>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640" w:type="dxa"/>
            <w:vAlign w:val="bottom"/>
            <w:tcBorders>
              <w:bottom w:val="single" w:sz="8" w:color="auto"/>
            </w:tcBorders>
          </w:tcPr>
          <w:p>
            <w:pPr>
              <w:spacing w:after="0"/>
              <w:rPr>
                <w:sz w:val="15"/>
                <w:szCs w:val="15"/>
                <w:color w:val="auto"/>
              </w:rPr>
            </w:pPr>
          </w:p>
        </w:tc>
      </w:tr>
      <w:tr>
        <w:trPr>
          <w:trHeight w:val="178"/>
        </w:trPr>
        <w:tc>
          <w:tcPr>
            <w:tcW w:w="6600" w:type="dxa"/>
            <w:vAlign w:val="bottom"/>
            <w:tcBorders>
              <w:bottom w:val="single" w:sz="8" w:color="auto"/>
            </w:tcBorders>
          </w:tcPr>
          <w:p>
            <w:pPr>
              <w:ind w:left="27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08"/>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 and other payables</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2,068</w:t>
            </w:r>
          </w:p>
        </w:tc>
        <w:tc>
          <w:tcPr>
            <w:tcW w:w="6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2,658</w:t>
            </w:r>
          </w:p>
        </w:tc>
      </w:tr>
      <w:tr>
        <w:trPr>
          <w:trHeight w:val="248"/>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Total trade and other payables</w:t>
            </w:r>
          </w:p>
        </w:tc>
        <w:tc>
          <w:tcPr>
            <w:tcW w:w="2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2,068</w:t>
            </w: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2,658</w:t>
            </w:r>
          </w:p>
        </w:tc>
      </w:tr>
      <w:tr>
        <w:trPr>
          <w:trHeight w:val="194"/>
        </w:trPr>
        <w:tc>
          <w:tcPr>
            <w:tcW w:w="6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7"/>
                <w:szCs w:val="17"/>
                <w:color w:val="auto"/>
              </w:rPr>
              <w:t>Accrued research and development costs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6,505</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payroll expenses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4,176</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7"/>
                <w:szCs w:val="17"/>
                <w:color w:val="auto"/>
              </w:rPr>
              <w:t>Restructuring provision</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accrued expenses</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1,128</w:t>
            </w:r>
          </w:p>
        </w:tc>
        <w:tc>
          <w:tcPr>
            <w:tcW w:w="6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1,417</w:t>
            </w:r>
          </w:p>
        </w:tc>
      </w:tr>
      <w:tr>
        <w:trPr>
          <w:trHeight w:val="208"/>
        </w:trPr>
        <w:tc>
          <w:tcPr>
            <w:tcW w:w="6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accrued expenses</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8,067</w:t>
            </w:r>
          </w:p>
        </w:tc>
        <w:tc>
          <w:tcPr>
            <w:tcW w:w="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12,098</w:t>
            </w:r>
          </w:p>
        </w:tc>
      </w:tr>
      <w:tr>
        <w:trPr>
          <w:trHeight w:val="20"/>
        </w:trPr>
        <w:tc>
          <w:tcPr>
            <w:tcW w:w="6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40" w:right="199" w:firstLine="305"/>
        <w:spacing w:after="0" w:line="263" w:lineRule="auto"/>
        <w:rPr>
          <w:sz w:val="20"/>
          <w:szCs w:val="20"/>
          <w:color w:val="auto"/>
        </w:rPr>
      </w:pPr>
      <w:r>
        <w:rPr>
          <w:rFonts w:ascii="Times New Roman" w:cs="Times New Roman" w:eastAsia="Times New Roman" w:hAnsi="Times New Roman"/>
          <w:sz w:val="17"/>
          <w:szCs w:val="17"/>
          <w:color w:val="auto"/>
        </w:rPr>
        <w:t>The decrease in trade payables and accrued research and development costs is primarily due a decrease in research and development expenses in 2025 leading up to and at year end including reduced activities in early-stage programs and reduction in manufacturing activities on clinical stage programs which did not recur in the current year.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5">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90" w:name="page191"/>
    <w:bookmarkEnd w:id="19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13. Contract revenues</w:t>
      </w:r>
    </w:p>
    <w:p>
      <w:pPr>
        <w:spacing w:after="0" w:line="215" w:lineRule="exact"/>
        <w:rPr>
          <w:sz w:val="20"/>
          <w:szCs w:val="20"/>
          <w:color w:val="auto"/>
        </w:rPr>
      </w:pPr>
    </w:p>
    <w:p>
      <w:pPr>
        <w:ind w:left="40" w:right="279" w:firstLine="305"/>
        <w:spacing w:after="0" w:line="277" w:lineRule="auto"/>
        <w:rPr>
          <w:sz w:val="20"/>
          <w:szCs w:val="20"/>
          <w:color w:val="auto"/>
        </w:rPr>
      </w:pPr>
      <w:r>
        <w:rPr>
          <w:rFonts w:ascii="Times New Roman" w:cs="Times New Roman" w:eastAsia="Times New Roman" w:hAnsi="Times New Roman"/>
          <w:sz w:val="17"/>
          <w:szCs w:val="17"/>
          <w:color w:val="auto"/>
        </w:rPr>
        <w:t>For the years ended December 31, 2025, 2024 and 2023, AC Immune generated contract revenues of CHF 3.6 million, CHF 27.3 million and CHF 14.8 million, respectively.</w:t>
      </w:r>
    </w:p>
    <w:p>
      <w:pPr>
        <w:spacing w:after="0" w:line="158" w:lineRule="exact"/>
        <w:rPr>
          <w:sz w:val="20"/>
          <w:szCs w:val="20"/>
          <w:color w:val="auto"/>
        </w:rPr>
      </w:pPr>
    </w:p>
    <w:p>
      <w:pPr>
        <w:ind w:left="40" w:right="379" w:firstLine="305"/>
        <w:spacing w:after="0" w:line="277" w:lineRule="auto"/>
        <w:rPr>
          <w:sz w:val="20"/>
          <w:szCs w:val="20"/>
          <w:color w:val="auto"/>
        </w:rPr>
      </w:pPr>
      <w:r>
        <w:rPr>
          <w:rFonts w:ascii="Times New Roman" w:cs="Times New Roman" w:eastAsia="Times New Roman" w:hAnsi="Times New Roman"/>
          <w:sz w:val="17"/>
          <w:szCs w:val="17"/>
          <w:color w:val="auto"/>
        </w:rPr>
        <w:t>The following tables provide contract revenue amounts from its OLCAs for the years ended December 31, 2025, 2024 and 2023, respectively.</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5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For the Year Ended</w:t>
            </w:r>
          </w:p>
        </w:tc>
        <w:tc>
          <w:tcPr>
            <w:tcW w:w="840" w:type="dxa"/>
            <w:vAlign w:val="bottom"/>
          </w:tcPr>
          <w:p>
            <w:pPr>
              <w:spacing w:after="0"/>
              <w:rPr>
                <w:sz w:val="15"/>
                <w:szCs w:val="15"/>
                <w:color w:val="auto"/>
              </w:rPr>
            </w:pPr>
          </w:p>
        </w:tc>
      </w:tr>
      <w:tr>
        <w:trPr>
          <w:trHeight w:val="182"/>
        </w:trPr>
        <w:tc>
          <w:tcPr>
            <w:tcW w:w="5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78"/>
        </w:trPr>
        <w:tc>
          <w:tcPr>
            <w:tcW w:w="584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8"/>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Janssen</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24,600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14,800</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Takeda</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3,573</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2,709</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08"/>
        </w:trPr>
        <w:tc>
          <w:tcPr>
            <w:tcW w:w="58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contract revenues</w:t>
            </w:r>
          </w:p>
        </w:tc>
        <w:tc>
          <w:tcPr>
            <w:tcW w:w="2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3,573</w:t>
            </w:r>
          </w:p>
        </w:tc>
        <w:tc>
          <w:tcPr>
            <w:tcW w:w="2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27,309</w:t>
            </w: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14,801</w:t>
            </w:r>
          </w:p>
        </w:tc>
      </w:tr>
      <w:tr>
        <w:trPr>
          <w:trHeight w:val="20"/>
        </w:trPr>
        <w:tc>
          <w:tcPr>
            <w:tcW w:w="5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40" w:right="379" w:firstLine="305"/>
        <w:spacing w:after="0" w:line="277" w:lineRule="auto"/>
        <w:rPr>
          <w:sz w:val="20"/>
          <w:szCs w:val="20"/>
          <w:color w:val="auto"/>
        </w:rPr>
      </w:pPr>
      <w:r>
        <w:rPr>
          <w:rFonts w:ascii="Times New Roman" w:cs="Times New Roman" w:eastAsia="Times New Roman" w:hAnsi="Times New Roman"/>
          <w:sz w:val="17"/>
          <w:szCs w:val="17"/>
          <w:color w:val="auto"/>
        </w:rPr>
        <w:t>During the years ended December 31, 2025, 2024 and 2023, the Company recognized the following contract revenues as a result of changes in the contract asset and the contract liability balances in the respective periods:</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For the Year Ended</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7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582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r>
      <w:tr>
        <w:trPr>
          <w:trHeight w:val="208"/>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Revenues recognized in the period from:</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Amounts included in the contract liability at the beginning of the period</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3,573</w:t>
            </w: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7"/>
                <w:szCs w:val="17"/>
                <w:color w:val="auto"/>
              </w:rPr>
              <w:t>Performance obligations satisfied in previous periods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14,801</w:t>
            </w:r>
          </w:p>
        </w:tc>
        <w:tc>
          <w:tcPr>
            <w:tcW w:w="40" w:type="dxa"/>
            <w:vAlign w:val="bottom"/>
          </w:tcPr>
          <w:p>
            <w:pPr>
              <w:spacing w:after="0"/>
              <w:rPr>
                <w:sz w:val="19"/>
                <w:szCs w:val="19"/>
                <w:color w:val="auto"/>
              </w:rPr>
            </w:pPr>
          </w:p>
        </w:tc>
      </w:tr>
    </w:tbl>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13.1 Licensing and collaboration agreements</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Morphomer Tau small molecule – 2018 license agreement with Eli Lilly and Company</w:t>
      </w:r>
    </w:p>
    <w:p>
      <w:pPr>
        <w:spacing w:after="0" w:line="215" w:lineRule="exact"/>
        <w:rPr>
          <w:sz w:val="20"/>
          <w:szCs w:val="20"/>
          <w:color w:val="auto"/>
        </w:rPr>
      </w:pPr>
    </w:p>
    <w:p>
      <w:pPr>
        <w:ind w:left="40" w:right="79" w:firstLine="305"/>
        <w:spacing w:after="0" w:line="266" w:lineRule="auto"/>
        <w:rPr>
          <w:sz w:val="20"/>
          <w:szCs w:val="20"/>
          <w:color w:val="auto"/>
        </w:rPr>
      </w:pPr>
      <w:r>
        <w:rPr>
          <w:rFonts w:ascii="Times New Roman" w:cs="Times New Roman" w:eastAsia="Times New Roman" w:hAnsi="Times New Roman"/>
          <w:sz w:val="16"/>
          <w:szCs w:val="16"/>
          <w:color w:val="auto"/>
        </w:rPr>
        <w:t>In December 2018, we entered into an exclusive, worldwide licensing agreement with Eli Lilly and Company (Lilly) to research and develop Morphomer Tau small molecules for the treatment of AD and other neurodegenerative diseases. More specifically, this is an exclusive license with the right to Lilly to grant sublicenses under the ACIU Patents, the ACIU know-how, and ACIU’s interests in the Joint Patents and the joint know-how to Exploit the Licensed Compounds and Licensed Products. The agreement became effective on January 23, 2019 (the “effective date”) when the waiting period under the Hart-Scott-Rodino Antitrust Improvements Act of 1976, as amended, expired. In Q3 2019, the Company and Lilly entered into the first amendment to divide the first discretionary milestone payment under the agreement of CHF 60 million into two installments, with the first CHF 30 million paid in Q3 2019 and the second CHF 30 million to be paid on or before March 31, 2020 unless Lilly terminated the agreement earlier. In Q1 2020, the Company and Lilly entered into a second amendment to replace the second CHF 30 million to be paid on or before March 31, 2020 with two milestone payments, one of CHF 10 million to be paid on or before March 31, 2020 and the other of CHF 60 million following the first patient dosed in a Phase 2 clinical study of a licensed product in the U.S. or EU.</w:t>
      </w:r>
    </w:p>
    <w:p>
      <w:pPr>
        <w:spacing w:after="0" w:line="168" w:lineRule="exact"/>
        <w:rPr>
          <w:sz w:val="20"/>
          <w:szCs w:val="20"/>
          <w:color w:val="auto"/>
        </w:rPr>
      </w:pPr>
    </w:p>
    <w:p>
      <w:pPr>
        <w:ind w:left="40" w:right="179" w:firstLine="305"/>
        <w:spacing w:after="0" w:line="277" w:lineRule="auto"/>
        <w:rPr>
          <w:sz w:val="20"/>
          <w:szCs w:val="20"/>
          <w:color w:val="auto"/>
        </w:rPr>
      </w:pPr>
      <w:r>
        <w:rPr>
          <w:rFonts w:ascii="Times New Roman" w:cs="Times New Roman" w:eastAsia="Times New Roman" w:hAnsi="Times New Roman"/>
          <w:sz w:val="17"/>
          <w:szCs w:val="17"/>
          <w:color w:val="auto"/>
        </w:rPr>
        <w:t>Per the terms of the agreement, the Company received an initial upfront payment of CHF 80 million in Q1 2019 for the rights granted by the Company to Lilly. To date, the Company has completed a Phase 1 clinical study with ACI-3024.</w:t>
      </w:r>
    </w:p>
    <w:p>
      <w:pPr>
        <w:spacing w:after="0" w:line="158" w:lineRule="exact"/>
        <w:rPr>
          <w:sz w:val="20"/>
          <w:szCs w:val="20"/>
          <w:color w:val="auto"/>
        </w:rPr>
      </w:pPr>
    </w:p>
    <w:p>
      <w:pPr>
        <w:ind w:left="40" w:right="79" w:firstLine="305"/>
        <w:spacing w:after="0" w:line="253" w:lineRule="auto"/>
        <w:rPr>
          <w:sz w:val="20"/>
          <w:szCs w:val="20"/>
          <w:color w:val="auto"/>
        </w:rPr>
      </w:pPr>
      <w:r>
        <w:rPr>
          <w:rFonts w:ascii="Times New Roman" w:cs="Times New Roman" w:eastAsia="Times New Roman" w:hAnsi="Times New Roman"/>
          <w:sz w:val="17"/>
          <w:szCs w:val="17"/>
          <w:color w:val="auto"/>
        </w:rPr>
        <w:t>Additionally, the Company and Lilly have continued candidate characterization across the research program, identifying new and highly differentiated candidates with desired cerebrospinal fluid exposure and selectivity for pathological aggregated Tau. These will be broadly developed in Tau-dependent neurodegenerative diseases by Lilly. Lilly is responsible for leading and funding further clinical development and will retain global commercialization rights for all indications.</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6">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91" w:name="page192"/>
    <w:bookmarkEnd w:id="19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119" w:firstLine="305"/>
        <w:spacing w:after="0" w:line="255" w:lineRule="auto"/>
        <w:rPr>
          <w:sz w:val="20"/>
          <w:szCs w:val="20"/>
          <w:color w:val="auto"/>
        </w:rPr>
      </w:pPr>
      <w:r>
        <w:rPr>
          <w:rFonts w:ascii="Times New Roman" w:cs="Times New Roman" w:eastAsia="Times New Roman" w:hAnsi="Times New Roman"/>
          <w:sz w:val="17"/>
          <w:szCs w:val="17"/>
          <w:color w:val="auto"/>
        </w:rPr>
        <w:t>Per the terms of the agreement, the Company may become eligible to receive additional milestone payments totaling up to approximately CHF 880 million for clinical and regulatory milestones and CHF 900 million upon achievement of certain commercial milestones. In addition to milestones, we will be eligible to receive royalties on sales at a percentage rate ranging from the low double-digits to the mid-teens. The agreement will terminate by the date of expiration of the last royalty term for the last licensed product. However, under the terms of the agreement, Lilly may terminate the agreement at any time by providing 3 months’ prior notice to us.</w:t>
      </w:r>
    </w:p>
    <w:p>
      <w:pPr>
        <w:spacing w:after="0" w:line="175" w:lineRule="exact"/>
        <w:rPr>
          <w:sz w:val="20"/>
          <w:szCs w:val="20"/>
          <w:color w:val="auto"/>
        </w:rPr>
      </w:pPr>
    </w:p>
    <w:p>
      <w:pPr>
        <w:ind w:left="40" w:right="139" w:firstLine="305"/>
        <w:spacing w:after="0" w:line="249" w:lineRule="auto"/>
        <w:rPr>
          <w:sz w:val="20"/>
          <w:szCs w:val="20"/>
          <w:color w:val="auto"/>
        </w:rPr>
      </w:pPr>
      <w:r>
        <w:rPr>
          <w:rFonts w:ascii="Times New Roman" w:cs="Times New Roman" w:eastAsia="Times New Roman" w:hAnsi="Times New Roman"/>
          <w:sz w:val="17"/>
          <w:szCs w:val="17"/>
          <w:color w:val="auto"/>
        </w:rPr>
        <w:t>AC Immune assessed this arrangement in accordance with IFRS 15 and concluded that Lilly is a customer. The Company identified the following significant performance obligations under the contract: (i) a right-of-use license and (ii) research and development activities outlined in the development plan. Per the agreement, the Company was responsible for the preclinical and Phase 1 activities for the first clinical candidate, ACI-3024, which the Company determined was distinct and capable of being completed by Lilly or a third party. Preclinical activities for which AC Immune was responsible prior to their completion in Q2 2019 included final manufacturing of materials for use in the regulatory submission of the protocol and in the Phase 1 study. For the completed Phase 1, AC Immune was responsible for leading the study design, obtaining relevant regulatory agency approvals, arranging necessary third-party contracts, completing patient selection, ensuring patient treatment, following up with patients, drafting the clinical study report development and other relevant clinical activities to ensure that the primary objective of the study was completed. The Company used CMOs for certain of its preclinical activities and CROs to complete certain Phase 1 activities and to issue the final clinical study report.</w:t>
      </w:r>
    </w:p>
    <w:p>
      <w:pPr>
        <w:spacing w:after="0" w:line="180" w:lineRule="exact"/>
        <w:rPr>
          <w:sz w:val="20"/>
          <w:szCs w:val="20"/>
          <w:color w:val="auto"/>
        </w:rPr>
      </w:pPr>
    </w:p>
    <w:p>
      <w:pPr>
        <w:ind w:left="40" w:right="59" w:firstLine="305"/>
        <w:spacing w:after="0" w:line="270" w:lineRule="auto"/>
        <w:rPr>
          <w:sz w:val="20"/>
          <w:szCs w:val="20"/>
          <w:color w:val="auto"/>
        </w:rPr>
      </w:pPr>
      <w:r>
        <w:rPr>
          <w:rFonts w:ascii="Times New Roman" w:cs="Times New Roman" w:eastAsia="Times New Roman" w:hAnsi="Times New Roman"/>
          <w:sz w:val="16"/>
          <w:szCs w:val="16"/>
          <w:color w:val="auto"/>
        </w:rPr>
        <w:t>Finally, per the agreement, each party has three representatives on a joint steering committee (JSC). Depending upon the agenda, additional field experts can attend the JSC to provide the technical and scientific contribution required. The JSC meets on a regular basis depending on agreements between the representatives. The JSC is responsible for serving as the forum to (i) discuss, review and approve certain activities by reviewing and discussing the development progress with updates on back-up candidates,</w:t>
      </w:r>
    </w:p>
    <w:p>
      <w:pPr>
        <w:ind w:left="40" w:right="279" w:firstLine="5"/>
        <w:spacing w:after="0" w:line="247" w:lineRule="auto"/>
        <w:tabs>
          <w:tab w:leader="none" w:pos="289"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 review and approve all amendments to the global development plan, (iii) periodically discuss and review commercialization of licensed products and (iv) review and approve reports related to development costs among other activities. The JSC is intended to ensure that communication between the parties remains consistent and that the development plan is progressing as intended.</w:t>
      </w:r>
    </w:p>
    <w:p>
      <w:pPr>
        <w:spacing w:after="0" w:line="182" w:lineRule="exact"/>
        <w:rPr>
          <w:sz w:val="20"/>
          <w:szCs w:val="20"/>
          <w:color w:val="auto"/>
        </w:rPr>
      </w:pPr>
    </w:p>
    <w:p>
      <w:pPr>
        <w:ind w:left="40" w:right="519" w:firstLine="305"/>
        <w:spacing w:after="0" w:line="277" w:lineRule="auto"/>
        <w:rPr>
          <w:sz w:val="20"/>
          <w:szCs w:val="20"/>
          <w:color w:val="auto"/>
        </w:rPr>
      </w:pPr>
      <w:r>
        <w:rPr>
          <w:rFonts w:ascii="Times New Roman" w:cs="Times New Roman" w:eastAsia="Times New Roman" w:hAnsi="Times New Roman"/>
          <w:sz w:val="17"/>
          <w:szCs w:val="17"/>
          <w:color w:val="auto"/>
        </w:rPr>
        <w:t>The valuation of each performance obligation involves estimates and assumptions with revenue recognition timing to be determined by either delivery or the provision of services.</w:t>
      </w:r>
    </w:p>
    <w:p>
      <w:pPr>
        <w:spacing w:after="0" w:line="158" w:lineRule="exact"/>
        <w:rPr>
          <w:sz w:val="20"/>
          <w:szCs w:val="20"/>
          <w:color w:val="auto"/>
        </w:rPr>
      </w:pPr>
    </w:p>
    <w:p>
      <w:pPr>
        <w:ind w:left="40" w:right="99" w:firstLine="305"/>
        <w:spacing w:after="0" w:line="250" w:lineRule="auto"/>
        <w:rPr>
          <w:sz w:val="20"/>
          <w:szCs w:val="20"/>
          <w:color w:val="auto"/>
        </w:rPr>
      </w:pPr>
      <w:r>
        <w:rPr>
          <w:rFonts w:ascii="Times New Roman" w:cs="Times New Roman" w:eastAsia="Times New Roman" w:hAnsi="Times New Roman"/>
          <w:sz w:val="17"/>
          <w:szCs w:val="17"/>
          <w:color w:val="auto"/>
        </w:rPr>
        <w:t>The Company used the residual approach to estimate the selling price for the right-of-use license and an expected cost plus margin approach for estimating the research and development activities. The right-of-use license was delivered on the effective date. The research and development activities were delivered over time as the services were performed. For these services, revenue was recognized over time using the input method, based on costs incurred to perform the services, as the level of costs incurred over time is thought to best reflect the transfer of services to Lilly. The Company determined the value of the research and development activities to be CHF 6.9 million and deferred this balance from the effective date. To date, the Company has cumulatively recognized CHF 6.9 million in contract revenue, resulting in no deferred income (contract liability) on the consolidated balance sheets. The remaining CHF 73.1 million from the upfront payment was allocated to the right-of-use license and recognized on the effective date.</w:t>
      </w:r>
    </w:p>
    <w:p>
      <w:pPr>
        <w:spacing w:after="0" w:line="173" w:lineRule="exact"/>
        <w:rPr>
          <w:sz w:val="20"/>
          <w:szCs w:val="20"/>
          <w:color w:val="auto"/>
        </w:rPr>
      </w:pPr>
    </w:p>
    <w:p>
      <w:pPr>
        <w:ind w:left="40" w:right="139" w:firstLine="305"/>
        <w:spacing w:after="0" w:line="250" w:lineRule="auto"/>
        <w:rPr>
          <w:sz w:val="20"/>
          <w:szCs w:val="20"/>
          <w:color w:val="auto"/>
        </w:rPr>
      </w:pPr>
      <w:r>
        <w:rPr>
          <w:rFonts w:ascii="Times New Roman" w:cs="Times New Roman" w:eastAsia="Times New Roman" w:hAnsi="Times New Roman"/>
          <w:sz w:val="17"/>
          <w:szCs w:val="17"/>
          <w:color w:val="auto"/>
        </w:rPr>
        <w:t>At inception of the agreement, none of the clinical, regulatory or commercial milestones had been included in the transaction price, as all milestone amounts were fully constrained. To date, the Company has recognized CHF 40 million from milestone payments triggered in Q3 2019 and Q1 2020 related to the right-of-use license for intellectual property as there were no further constraints related to these milestones. In assessing that future clinical, regulatory or commercial milestones are fully constrained, the Company considered numerous factors to determine that these milestones are not highly probable to obtain,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Lilly and therefore have also been excluded from the transaction price. The Company will re-evaluate the transaction price in each reporting period and as uncertain events are resolved or other changes in circumstances occur.</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7">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92" w:name="page193"/>
    <w:bookmarkEnd w:id="19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For the years ended December 31, 2025, 2024 and 2023, we have recognized no revenues from this arrangement.</w:t>
      </w:r>
    </w:p>
    <w:p>
      <w:pPr>
        <w:spacing w:after="0" w:line="207" w:lineRule="exact"/>
        <w:rPr>
          <w:sz w:val="20"/>
          <w:szCs w:val="20"/>
          <w:color w:val="auto"/>
        </w:rPr>
      </w:pPr>
    </w:p>
    <w:p>
      <w:pPr>
        <w:ind w:left="340" w:right="479"/>
        <w:spacing w:after="0" w:line="282" w:lineRule="auto"/>
        <w:rPr>
          <w:sz w:val="20"/>
          <w:szCs w:val="20"/>
          <w:color w:val="auto"/>
        </w:rPr>
      </w:pPr>
      <w:r>
        <w:rPr>
          <w:rFonts w:ascii="Times New Roman" w:cs="Times New Roman" w:eastAsia="Times New Roman" w:hAnsi="Times New Roman"/>
          <w:sz w:val="17"/>
          <w:szCs w:val="17"/>
          <w:i w:val="1"/>
          <w:iCs w:val="1"/>
          <w:color w:val="auto"/>
        </w:rPr>
        <w:t>Tau active immunotherapy in AD – 2014 agreement with Janssen Pharmaceuticals, Inc. (Janssen), a Johnson &amp; Johnson company</w:t>
      </w:r>
    </w:p>
    <w:p>
      <w:pPr>
        <w:spacing w:after="0" w:line="154" w:lineRule="exact"/>
        <w:rPr>
          <w:sz w:val="20"/>
          <w:szCs w:val="20"/>
          <w:color w:val="auto"/>
        </w:rPr>
      </w:pPr>
    </w:p>
    <w:p>
      <w:pPr>
        <w:ind w:left="40" w:right="79" w:firstLine="305"/>
        <w:spacing w:after="0" w:line="249" w:lineRule="auto"/>
        <w:rPr>
          <w:sz w:val="20"/>
          <w:szCs w:val="20"/>
          <w:color w:val="auto"/>
        </w:rPr>
      </w:pPr>
      <w:r>
        <w:rPr>
          <w:rFonts w:ascii="Times New Roman" w:cs="Times New Roman" w:eastAsia="Times New Roman" w:hAnsi="Times New Roman"/>
          <w:sz w:val="17"/>
          <w:szCs w:val="17"/>
          <w:color w:val="auto"/>
        </w:rPr>
        <w:t>In December 2014, we entered into an agreement with Janssen Pharmaceuticals, Inc. (Janssen), a Johnson &amp; Johnson company, to develop and commercialize therapeutic anti-Tau active immunotherapies for the treatment of AD and potentially other tauopathies. The value of this collaboration is potentially up to CHF 500 million and includes upfront and clinical, regulatory and commercial milestones. In addition to milestones, we will be eligible to receive royalties on sales at a percentage rate ranging from the low-double digits to the mid-teens for the ACI-35.030 active immunotherapy program. In April 2016, July 2017, January 2019, November 2019, December 2022, November 2023, September 2024 and December 2024, the companies entered into the first, second, third, fourth, fifth, sixth, seventh and eighth amendments, respectively. These amendments allow for the alignment of certain payment and activity provisions with the Development Plan and Research Plan activities. We and Janssen have completed the co-development of the second-generation lead active immunotherapies, ACI-35.030 and JACI-35.054, through Phase 1b/2a. In November 2022, it was announced that ACI-35.030 was selected to advance into further development based on interim data from the ongoing Phase 1b/2a trial. In December 2023, it was announced that Janssen has programmed the launch of Phase 2b clinical study to evaluate ACI-35.030/JNJ-2056 in patients with preclinical AD, those individuals not yet showing symptoms. AC Immune and Janssen will jointly share research and development costs until the completion of the first Phase 2b (AC Immune’s contribution to the first Phase 2b trial is capped). From Phase 2b and onwards, Janssen will assume responsibility for the clinical development, manufacturing and commercialization of ACI-35.030. In July 2024, JNJ-2056 was granted Fast Track designation from the FDA, for the treatment of AD.</w:t>
      </w:r>
    </w:p>
    <w:p>
      <w:pPr>
        <w:spacing w:after="0" w:line="182" w:lineRule="exact"/>
        <w:rPr>
          <w:sz w:val="20"/>
          <w:szCs w:val="20"/>
          <w:color w:val="auto"/>
        </w:rPr>
      </w:pPr>
    </w:p>
    <w:p>
      <w:pPr>
        <w:ind w:left="40" w:right="439" w:firstLine="305"/>
        <w:spacing w:after="0" w:line="263" w:lineRule="auto"/>
        <w:rPr>
          <w:sz w:val="20"/>
          <w:szCs w:val="20"/>
          <w:color w:val="auto"/>
        </w:rPr>
      </w:pPr>
      <w:r>
        <w:rPr>
          <w:rFonts w:ascii="Times New Roman" w:cs="Times New Roman" w:eastAsia="Times New Roman" w:hAnsi="Times New Roman"/>
          <w:sz w:val="17"/>
          <w:szCs w:val="17"/>
          <w:color w:val="auto"/>
        </w:rPr>
        <w:t>Under the terms of the agreement, Janssen may terminate the agreement at any time after completion of the first Phase 1b clinical study in 2016 by providing 90 days’ notice to us. If not otherwise terminated, the agreement shall continue until the expiration of all royalty obligations as outlined in the contract.</w:t>
      </w:r>
    </w:p>
    <w:p>
      <w:pPr>
        <w:spacing w:after="0" w:line="157" w:lineRule="exact"/>
        <w:rPr>
          <w:sz w:val="20"/>
          <w:szCs w:val="20"/>
          <w:color w:val="auto"/>
        </w:rPr>
      </w:pPr>
    </w:p>
    <w:p>
      <w:pPr>
        <w:ind w:left="40" w:right="59" w:firstLine="305"/>
        <w:spacing w:after="0" w:line="277" w:lineRule="auto"/>
        <w:rPr>
          <w:sz w:val="20"/>
          <w:szCs w:val="20"/>
          <w:color w:val="auto"/>
        </w:rPr>
      </w:pPr>
      <w:r>
        <w:rPr>
          <w:rFonts w:ascii="Times New Roman" w:cs="Times New Roman" w:eastAsia="Times New Roman" w:hAnsi="Times New Roman"/>
          <w:sz w:val="17"/>
          <w:szCs w:val="17"/>
          <w:color w:val="auto"/>
        </w:rPr>
        <w:t>The agreement also allows for the expansion to a second indication based on the same anti-Tau active immunotherapy program and based on intellectual property related to this program.</w:t>
      </w:r>
    </w:p>
    <w:p>
      <w:pPr>
        <w:spacing w:after="0" w:line="158" w:lineRule="exact"/>
        <w:rPr>
          <w:sz w:val="20"/>
          <w:szCs w:val="20"/>
          <w:color w:val="auto"/>
        </w:rPr>
      </w:pPr>
    </w:p>
    <w:p>
      <w:pPr>
        <w:ind w:left="40" w:right="159" w:firstLine="305"/>
        <w:spacing w:after="0" w:line="251" w:lineRule="auto"/>
        <w:rPr>
          <w:sz w:val="20"/>
          <w:szCs w:val="20"/>
          <w:color w:val="auto"/>
        </w:rPr>
      </w:pPr>
      <w:r>
        <w:rPr>
          <w:rFonts w:ascii="Times New Roman" w:cs="Times New Roman" w:eastAsia="Times New Roman" w:hAnsi="Times New Roman"/>
          <w:sz w:val="17"/>
          <w:szCs w:val="17"/>
          <w:color w:val="auto"/>
        </w:rPr>
        <w:t>The Company received an upfront, non-refundable license fee of CHF 25.9 million, which we recognized as revenue in 2014. In May 2016, we received a payment of CHF 4.9 million for reaching a clinical milestone in the first Phase 1b study. In February 2024, we received a payment of CHF 14.8 million for the commencement of the first Phase 2b clinical study. In October 2024, we received a payment of CHF 24.6 million for triggering the rapid rate of prescreening in the potentially registrational Phase 2b ReTain trial. The Company recognized this income as revenue because we deemed it highly probable that this milestone would be obtained and would not be subject to reversal in the future.</w:t>
      </w:r>
    </w:p>
    <w:p>
      <w:pPr>
        <w:spacing w:after="0" w:line="182" w:lineRule="exact"/>
        <w:rPr>
          <w:sz w:val="20"/>
          <w:szCs w:val="20"/>
          <w:color w:val="auto"/>
        </w:rPr>
      </w:pPr>
    </w:p>
    <w:p>
      <w:pPr>
        <w:ind w:left="40" w:right="99" w:firstLine="305"/>
        <w:spacing w:after="0" w:line="269" w:lineRule="auto"/>
        <w:rPr>
          <w:sz w:val="20"/>
          <w:szCs w:val="20"/>
          <w:color w:val="auto"/>
        </w:rPr>
      </w:pPr>
      <w:r>
        <w:rPr>
          <w:rFonts w:ascii="Times New Roman" w:cs="Times New Roman" w:eastAsia="Times New Roman" w:hAnsi="Times New Roman"/>
          <w:sz w:val="16"/>
          <w:szCs w:val="16"/>
          <w:color w:val="auto"/>
        </w:rPr>
        <w:t>AC Immune assessed this arrangement in accordance with IFRS 15 and concluded that Janssen is a customer. The Company identified the following performance obligations under the contract: (i) a right-of-use license and (ii) research and development services including a development and chemistry, manufacturing and controls work plan. The Company considered the research and development capabilities of Janssen, Janssen’s right to sublicense, and the fact that the research and development services are not proprietary and can be provided by other vendors, to conclude that the license has stand-alone functionality and is distinct. The Company’s obligation to perform research and development services does not significantly impact or modify the licenses’ granted functionality. Based on these assessments, the Company identified the license and the research and development services as the performance obligations at the inception of the arrangement, which were deemed to be distinct in the context of the contract.</w:t>
      </w:r>
    </w:p>
    <w:p>
      <w:pPr>
        <w:spacing w:after="0" w:line="165" w:lineRule="exact"/>
        <w:rPr>
          <w:sz w:val="20"/>
          <w:szCs w:val="20"/>
          <w:color w:val="auto"/>
        </w:rPr>
      </w:pPr>
    </w:p>
    <w:p>
      <w:pPr>
        <w:ind w:left="40" w:right="159" w:firstLine="305"/>
        <w:spacing w:after="0" w:line="251" w:lineRule="auto"/>
        <w:rPr>
          <w:sz w:val="20"/>
          <w:szCs w:val="20"/>
          <w:color w:val="auto"/>
        </w:rPr>
      </w:pPr>
      <w:r>
        <w:rPr>
          <w:rFonts w:ascii="Times New Roman" w:cs="Times New Roman" w:eastAsia="Times New Roman" w:hAnsi="Times New Roman"/>
          <w:sz w:val="17"/>
          <w:szCs w:val="17"/>
          <w:color w:val="auto"/>
        </w:rPr>
        <w:t>At execution of the agreement, the transaction price included only the upfront consideration received of CHF 25.9 million. At inception, none of the clinical, regulatory or commercial milestones has been included in the transaction price, as all milestone amounts were fully constrained. As described above, the Company has earned and received various milestone payments related to this contract. In the future, the Company could also receive up to more than CHF 418 million in clinical, regulatory and commercial milestones as well as tiered, low-double digits to mid-teen royalties on aggregate net sales for the ACI-35.030 active immunotherapy program. In assessing that future clinical, regulatory or</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8">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93" w:name="page194"/>
    <w:bookmarkEnd w:id="19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139"/>
        <w:spacing w:after="0" w:line="255" w:lineRule="auto"/>
        <w:rPr>
          <w:sz w:val="20"/>
          <w:szCs w:val="20"/>
          <w:color w:val="auto"/>
        </w:rPr>
      </w:pPr>
      <w:r>
        <w:rPr>
          <w:rFonts w:ascii="Times New Roman" w:cs="Times New Roman" w:eastAsia="Times New Roman" w:hAnsi="Times New Roman"/>
          <w:sz w:val="17"/>
          <w:szCs w:val="17"/>
          <w:color w:val="auto"/>
        </w:rPr>
        <w:t>commercial milestones are fully constrained, the Company considered numerous factors to determine that these milestones are not highly probable to obtain,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Janssen and therefore have also been excluded from the transaction price. The Company will re-evaluate the transaction price in each reporting period and as uncertain events are resolved or other changes in circumstances occur.</w:t>
      </w:r>
    </w:p>
    <w:p>
      <w:pPr>
        <w:spacing w:after="0" w:line="175" w:lineRule="exact"/>
        <w:rPr>
          <w:sz w:val="20"/>
          <w:szCs w:val="20"/>
          <w:color w:val="auto"/>
        </w:rPr>
      </w:pPr>
    </w:p>
    <w:p>
      <w:pPr>
        <w:ind w:left="40" w:right="339" w:firstLine="305"/>
        <w:spacing w:after="0" w:line="262" w:lineRule="auto"/>
        <w:rPr>
          <w:sz w:val="20"/>
          <w:szCs w:val="20"/>
          <w:color w:val="auto"/>
        </w:rPr>
      </w:pPr>
      <w:r>
        <w:rPr>
          <w:rFonts w:ascii="Times New Roman" w:cs="Times New Roman" w:eastAsia="Times New Roman" w:hAnsi="Times New Roman"/>
          <w:sz w:val="17"/>
          <w:szCs w:val="17"/>
          <w:color w:val="auto"/>
        </w:rPr>
        <w:t>For the years ended December 31, 2025, 2024 and 2023, we have recognized nil, CHF 24.6 million, and CHF 14.8 million, respectively, from this arrangement.</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Tau-PET imaging agent – 2014 agreement with Life Molecular Imaging (LMI)</w:t>
      </w:r>
    </w:p>
    <w:p>
      <w:pPr>
        <w:spacing w:after="0" w:line="215" w:lineRule="exact"/>
        <w:rPr>
          <w:sz w:val="20"/>
          <w:szCs w:val="20"/>
          <w:color w:val="auto"/>
        </w:rPr>
      </w:pPr>
    </w:p>
    <w:p>
      <w:pPr>
        <w:ind w:left="40" w:right="79" w:firstLine="305"/>
        <w:spacing w:after="0" w:line="251" w:lineRule="auto"/>
        <w:rPr>
          <w:sz w:val="20"/>
          <w:szCs w:val="20"/>
          <w:color w:val="auto"/>
        </w:rPr>
      </w:pPr>
      <w:r>
        <w:rPr>
          <w:rFonts w:ascii="Times New Roman" w:cs="Times New Roman" w:eastAsia="Times New Roman" w:hAnsi="Times New Roman"/>
          <w:sz w:val="17"/>
          <w:szCs w:val="17"/>
          <w:color w:val="auto"/>
        </w:rPr>
        <w:t>In May 2014 (as amended in June 2022), we entered into an agreement, our first diagnostic partnership, with LMI, the former Piramal Imaging SA. The partnership with LMI is an exclusive, worldwide licensing agreement for the research, development and commercialization of the Company’s Tau protein PET tracers supporting the early diagnosis and clinical management of AD and other Tau-related disorders and includes upfront and sales milestone payments totaling up to EUR 160 (CHF 150) million, plus royalties on sales at a percentage rate ranging from mid-single digits to low-teens. To date, the Company has received EUR 7.5 million (CHF 7.9 million) of payments related to these milestones and is eligible to receive the remaining EUR 152.5 million (CHF 142.9 million) related to achievement of certain clinical milestones as well as regulatory and sales-based milestones. No payments have been received in 2023, 2024, or 2025.</w:t>
      </w:r>
    </w:p>
    <w:p>
      <w:pPr>
        <w:spacing w:after="0" w:line="179" w:lineRule="exact"/>
        <w:rPr>
          <w:sz w:val="20"/>
          <w:szCs w:val="20"/>
          <w:color w:val="auto"/>
        </w:rPr>
      </w:pPr>
    </w:p>
    <w:p>
      <w:pPr>
        <w:ind w:left="40" w:right="79" w:firstLine="305"/>
        <w:spacing w:after="0" w:line="263" w:lineRule="auto"/>
        <w:rPr>
          <w:sz w:val="20"/>
          <w:szCs w:val="20"/>
          <w:color w:val="auto"/>
        </w:rPr>
      </w:pPr>
      <w:r>
        <w:rPr>
          <w:rFonts w:ascii="Times New Roman" w:cs="Times New Roman" w:eastAsia="Times New Roman" w:hAnsi="Times New Roman"/>
          <w:sz w:val="17"/>
          <w:szCs w:val="17"/>
          <w:color w:val="auto"/>
        </w:rPr>
        <w:t>AC Immune assessed this arrangement in accordance with IFRS 15 and concluded that LMI is a customer. The Company has identified that the right-of-use license as the only performance obligation. The Company determined that transaction price based on the defined terms allocated to each performance obligation specified in the contract.</w:t>
      </w:r>
    </w:p>
    <w:p>
      <w:pPr>
        <w:spacing w:after="0" w:line="170" w:lineRule="exact"/>
        <w:rPr>
          <w:sz w:val="20"/>
          <w:szCs w:val="20"/>
          <w:color w:val="auto"/>
        </w:rPr>
      </w:pPr>
    </w:p>
    <w:p>
      <w:pPr>
        <w:ind w:left="40" w:right="219" w:firstLine="305"/>
        <w:spacing w:after="0" w:line="252" w:lineRule="auto"/>
        <w:rPr>
          <w:sz w:val="20"/>
          <w:szCs w:val="20"/>
          <w:color w:val="auto"/>
        </w:rPr>
      </w:pPr>
      <w:r>
        <w:rPr>
          <w:rFonts w:ascii="Times New Roman" w:cs="Times New Roman" w:eastAsia="Times New Roman" w:hAnsi="Times New Roman"/>
          <w:sz w:val="17"/>
          <w:szCs w:val="17"/>
          <w:color w:val="auto"/>
        </w:rPr>
        <w:t>The upfront payment constitutes the amount of consideration to be included in the transaction price and has been allocated to the license. None of the clinical, regulatory or commercial milestones has been included in the transaction price as these variable consideration elements are considered fully constrained. As part of its evaluation of the constraint, the Company considered numerous factors, including that receipt of the milestones is outside the control of the Company and contingent upon success in future clinical trials and the licensee’s efforts.</w:t>
      </w:r>
    </w:p>
    <w:p>
      <w:pPr>
        <w:spacing w:after="0" w:line="179" w:lineRule="exact"/>
        <w:rPr>
          <w:sz w:val="20"/>
          <w:szCs w:val="20"/>
          <w:color w:val="auto"/>
        </w:rPr>
      </w:pPr>
    </w:p>
    <w:p>
      <w:pPr>
        <w:ind w:left="40" w:right="119" w:firstLine="305"/>
        <w:spacing w:after="0" w:line="251" w:lineRule="auto"/>
        <w:rPr>
          <w:sz w:val="20"/>
          <w:szCs w:val="20"/>
          <w:color w:val="auto"/>
        </w:rPr>
      </w:pPr>
      <w:r>
        <w:rPr>
          <w:rFonts w:ascii="Times New Roman" w:cs="Times New Roman" w:eastAsia="Times New Roman" w:hAnsi="Times New Roman"/>
          <w:sz w:val="17"/>
          <w:szCs w:val="17"/>
          <w:color w:val="auto"/>
        </w:rPr>
        <w:t>Any consideration related to sales-based milestones (including royalties) will be recognized when the related sales occur as these amounts have been determined to relate predominantly to the license granted to LMI and therefore are recognized at the later of when the performance obligation is satisfied or the related sales occur. The Company considered LMI’s right to sublicense and develop the Tau protein PET tracers, and the fact that LMI could perform the research and development work themselves within the license term without AC Immune, to conclude that the license has stand-alone functionality and is distinct. The Company believes that the contracted amount represents the fair value. The Company will re-evaluate the transaction price in each reporting period and as uncertain events are resolved or other changes in circumstances occur.</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For the years ended December 31, 2025, 2024 and 2023, the Company has recognized no revenues from this arrangement.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9">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94" w:name="page195"/>
    <w:bookmarkEnd w:id="19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Anti-Abeta Active Immunotherapy in AD – 2024 agreement with Takeda Pharmaceuticals, USA, Inc</w:t>
      </w:r>
    </w:p>
    <w:p>
      <w:pPr>
        <w:spacing w:after="0" w:line="215" w:lineRule="exact"/>
        <w:rPr>
          <w:sz w:val="20"/>
          <w:szCs w:val="20"/>
          <w:color w:val="auto"/>
        </w:rPr>
      </w:pPr>
    </w:p>
    <w:p>
      <w:pPr>
        <w:ind w:left="40" w:right="119" w:firstLine="305"/>
        <w:spacing w:after="0" w:line="250" w:lineRule="auto"/>
        <w:rPr>
          <w:sz w:val="20"/>
          <w:szCs w:val="20"/>
          <w:color w:val="auto"/>
        </w:rPr>
      </w:pPr>
      <w:r>
        <w:rPr>
          <w:rFonts w:ascii="Times New Roman" w:cs="Times New Roman" w:eastAsia="Times New Roman" w:hAnsi="Times New Roman"/>
          <w:sz w:val="17"/>
          <w:szCs w:val="17"/>
          <w:color w:val="auto"/>
        </w:rPr>
        <w:t>In May 2024, the Company entered into a worldwide option and license agreement with Takeda Pharmaceuticals, USA, Inc. (Takeda) for our active immunotherapies targeting Abeta, including ACI-24.060 for the treatment of AD. AC Immune will be responsible for completing the ABATE trial. Following option exercise, Takeda would conduct and fund all further clinical development and be responsible for all global regulatory activities as well as worldwide commercialization. Under the terms of the agreement, AC Immune received an upfront payment of USD 100.0 (CHF 92.3) million in May 2024 and is eligible to receive an option exercise fee in the low-to-mid nine-figure USD range and additional potential development, commercial and sales-based milestones of up to approximately USD 2.1 (CHF 1.7) billion if all related milestones are achieved over the course of the agreement. Upon commercialization, AC Immune will be entitled to receive tiered mid-to-high teens percentages royalties on worldwide net sales.</w:t>
      </w:r>
    </w:p>
    <w:p>
      <w:pPr>
        <w:spacing w:after="0" w:line="185" w:lineRule="exact"/>
        <w:rPr>
          <w:sz w:val="20"/>
          <w:szCs w:val="20"/>
          <w:color w:val="auto"/>
        </w:rPr>
      </w:pPr>
    </w:p>
    <w:p>
      <w:pPr>
        <w:ind w:left="40" w:right="199" w:firstLine="305"/>
        <w:spacing w:after="0" w:line="263" w:lineRule="auto"/>
        <w:rPr>
          <w:sz w:val="20"/>
          <w:szCs w:val="20"/>
          <w:color w:val="auto"/>
        </w:rPr>
      </w:pPr>
      <w:r>
        <w:rPr>
          <w:rFonts w:ascii="Times New Roman" w:cs="Times New Roman" w:eastAsia="Times New Roman" w:hAnsi="Times New Roman"/>
          <w:sz w:val="17"/>
          <w:szCs w:val="17"/>
          <w:color w:val="auto"/>
        </w:rPr>
        <w:t>Under the terms of the agreement, Takeda may terminate the agreement at any time by providing 90 days’ notice to the Company. If not otherwise terminated, the agreement shall continue until Takeda decides not to exercise its license option or until the expiration of all royalty obligations as outlined in the contract.</w:t>
      </w:r>
    </w:p>
    <w:p>
      <w:pPr>
        <w:spacing w:after="0" w:line="170" w:lineRule="exact"/>
        <w:rPr>
          <w:sz w:val="20"/>
          <w:szCs w:val="20"/>
          <w:color w:val="auto"/>
        </w:rPr>
      </w:pPr>
    </w:p>
    <w:p>
      <w:pPr>
        <w:ind w:left="40" w:right="79" w:firstLine="305"/>
        <w:spacing w:after="0" w:line="251" w:lineRule="auto"/>
        <w:rPr>
          <w:sz w:val="20"/>
          <w:szCs w:val="20"/>
          <w:color w:val="auto"/>
        </w:rPr>
      </w:pPr>
      <w:r>
        <w:rPr>
          <w:rFonts w:ascii="Times New Roman" w:cs="Times New Roman" w:eastAsia="Times New Roman" w:hAnsi="Times New Roman"/>
          <w:sz w:val="17"/>
          <w:szCs w:val="17"/>
          <w:color w:val="auto"/>
        </w:rPr>
        <w:t>AC Immune assessed this arrangement in accordance with IFRS 15 and concluded that Takeda is a customer. The Company identified the following performance obligations under the contract: (i) a license option and (ii) development, chemistry, manufacturing, and controls (“CMC”) and regulatory activities as outlined in the development and CMC plans, which are necessary to deliver the data package to Takeda. AC Immune concluded that the license option is considered a material right, as the value of the license exceeds the option exercise fee, thereby considering it a distinct performance obligation. The development, CMC, and regulatory activities are treated as one distinct performance obligation because the underlying activities are not distinguishable in the context of the contract and are inputs to an integrated development program that will generate valuable data and information for Takeda in determining whether to exercise the option.</w:t>
      </w:r>
    </w:p>
    <w:p>
      <w:pPr>
        <w:spacing w:after="0" w:line="179" w:lineRule="exact"/>
        <w:rPr>
          <w:sz w:val="20"/>
          <w:szCs w:val="20"/>
          <w:color w:val="auto"/>
        </w:rPr>
      </w:pPr>
    </w:p>
    <w:p>
      <w:pPr>
        <w:ind w:left="40" w:right="59" w:firstLine="305"/>
        <w:spacing w:after="0" w:line="249" w:lineRule="auto"/>
        <w:rPr>
          <w:sz w:val="20"/>
          <w:szCs w:val="20"/>
          <w:color w:val="auto"/>
        </w:rPr>
      </w:pPr>
      <w:r>
        <w:rPr>
          <w:rFonts w:ascii="Times New Roman" w:cs="Times New Roman" w:eastAsia="Times New Roman" w:hAnsi="Times New Roman"/>
          <w:sz w:val="17"/>
          <w:szCs w:val="17"/>
          <w:color w:val="auto"/>
        </w:rPr>
        <w:t>At the agreement's execution, the transaction price included only the upfront and non-refundable consideration of USD 100.0 (CHF 92.3) million. At inception, none of the development milestones, which may occur prior to the Takeda option exercise, were included in the transaction price, as all milestone amounts were fully constrained. The Takeda option exercise payment and any future development and commercial milestone payments, and royalties following the Takeda option exercise were excluded from the initial transaction price at contract inception. The option exercise fee is considered variable consideration as it depends on Takeda's decision to exercise. In assessing that future development or commercial milestones are fully constrained, the Company considered numerous factors, including that the receipt of these milestones is contingent upon success in future clinical trials and the licensee’s efforts, and thus not highly probable to obtain. Any consideration related to sales-based milestones (including royalties) will be recognized when the related sales occur, as they predominantly relate to the license that will be granted to Takeda upon exercise and therefore have also been excluded from the transaction price. The Company will re-evaluate the transaction price in each reporting period as uncertain events are resolved or other changes in circumstances occur.</w:t>
      </w:r>
    </w:p>
    <w:p>
      <w:pPr>
        <w:spacing w:after="0" w:line="180" w:lineRule="exact"/>
        <w:rPr>
          <w:sz w:val="20"/>
          <w:szCs w:val="20"/>
          <w:color w:val="auto"/>
        </w:rPr>
      </w:pPr>
    </w:p>
    <w:p>
      <w:pPr>
        <w:ind w:left="40" w:right="239" w:firstLine="305"/>
        <w:spacing w:after="0" w:line="250" w:lineRule="auto"/>
        <w:rPr>
          <w:sz w:val="20"/>
          <w:szCs w:val="20"/>
          <w:color w:val="auto"/>
        </w:rPr>
      </w:pPr>
      <w:r>
        <w:rPr>
          <w:rFonts w:ascii="Times New Roman" w:cs="Times New Roman" w:eastAsia="Times New Roman" w:hAnsi="Times New Roman"/>
          <w:sz w:val="17"/>
          <w:szCs w:val="17"/>
          <w:color w:val="auto"/>
        </w:rPr>
        <w:t>The valuation of each performance obligation involves estimates and assumptions, with the timing of revenue recognition determined by either delivery or the provision of services. In line with the allocation objective under IFRS 15, the Company allocated the USD 100.0 (CHF 92.3) million upfront payment within the transaction price to the license option and development, CMC, and regulatory activities, using the relative stand-alone selling price method. For the standalone selling price of the license option, the Company utilized an income-based approach, which included key assumptions such as the post-option development timeline and costs, revenue forecasts, discount rates, and probabilities of development and regulatory success. The standalone selling price for the development, CMC and regulatory activities was calculated using a cost-plus margin approach based on the estimated development timeline. The Company allocated the transaction price based on the relative standalone selling prices, assigning USD 87.4 (CHF 80.7) million to the license option and USD 12.6 (CHF 11.6) million to development, CMC, and regulatory activities.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329565</wp:posOffset>
            </wp:positionV>
            <wp:extent cx="5657850" cy="241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0">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95" w:name="page196"/>
    <w:bookmarkEnd w:id="19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179" w:firstLine="305"/>
        <w:spacing w:after="0" w:line="258" w:lineRule="auto"/>
        <w:rPr>
          <w:sz w:val="20"/>
          <w:szCs w:val="20"/>
          <w:color w:val="auto"/>
        </w:rPr>
      </w:pPr>
      <w:r>
        <w:rPr>
          <w:rFonts w:ascii="Times New Roman" w:cs="Times New Roman" w:eastAsia="Times New Roman" w:hAnsi="Times New Roman"/>
          <w:sz w:val="17"/>
          <w:szCs w:val="17"/>
          <w:color w:val="auto"/>
        </w:rPr>
        <w:t>The Company has deferred revenue recognition for the license option and will recognize the entirety of the revenue either when the option is exercised and Takeda obtains the exclusive license, or when the option expires. The Company will recognize revenue related to the development, CMC and regulatory performance obligation over the estimated period of completion of these obligations, using an input method reflecting the costs incurred relative to the total costs expected to be incurred.</w:t>
      </w:r>
    </w:p>
    <w:p>
      <w:pPr>
        <w:spacing w:after="0" w:line="187" w:lineRule="exact"/>
        <w:rPr>
          <w:sz w:val="20"/>
          <w:szCs w:val="20"/>
          <w:color w:val="auto"/>
        </w:rPr>
      </w:pPr>
    </w:p>
    <w:p>
      <w:pPr>
        <w:ind w:left="40" w:right="339"/>
        <w:spacing w:after="0" w:line="293" w:lineRule="auto"/>
        <w:rPr>
          <w:sz w:val="20"/>
          <w:szCs w:val="20"/>
          <w:color w:val="auto"/>
        </w:rPr>
      </w:pPr>
      <w:r>
        <w:rPr>
          <w:rFonts w:ascii="Times New Roman" w:cs="Times New Roman" w:eastAsia="Times New Roman" w:hAnsi="Times New Roman"/>
          <w:sz w:val="17"/>
          <w:szCs w:val="17"/>
          <w:color w:val="auto"/>
        </w:rPr>
        <w:t>For the years ended December 31, 2025, 2024, and 2023, the Company recorded contract revenue of CHF 3.6 million, CHF 2.7 million, and nil, respectively, reflecting its efforts under this agreement.</w:t>
      </w:r>
    </w:p>
    <w:p>
      <w:pPr>
        <w:spacing w:after="0" w:line="81" w:lineRule="exact"/>
        <w:rPr>
          <w:sz w:val="20"/>
          <w:szCs w:val="20"/>
          <w:color w:val="auto"/>
        </w:rPr>
      </w:pPr>
    </w:p>
    <w:p>
      <w:pPr>
        <w:ind w:left="40" w:right="99" w:firstLine="305"/>
        <w:spacing w:after="0" w:line="251" w:lineRule="auto"/>
        <w:rPr>
          <w:sz w:val="20"/>
          <w:szCs w:val="20"/>
          <w:color w:val="auto"/>
        </w:rPr>
      </w:pPr>
      <w:r>
        <w:rPr>
          <w:rFonts w:ascii="Times New Roman" w:cs="Times New Roman" w:eastAsia="Times New Roman" w:hAnsi="Times New Roman"/>
          <w:sz w:val="17"/>
          <w:szCs w:val="17"/>
          <w:color w:val="auto"/>
        </w:rPr>
        <w:t>As of December 31, 2025, the Company recorded CHF 86.0 million in deferred contract revenue related to the unsatisfied performance obligations under this agreement, compared to 89.6 million of December 31, 2024. The deferred contract revenue allocated to the license option is classified as short-term on the consolidated balance sheets because, in accordance with IAS 1, the Company does not have the right to defer the settlement of that portion for at least twelve months after the reporting period. The deferred contract revenue allocated to development, CMC, and regulatory activities will be recognized over the remaining performance period and classified as either current or non-current on the consolidated balance sheets, based on the expected timing of satisfaction of the performance obligations.</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13.2 Grant income</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Grants from the Michael J. Fox Foundation</w:t>
      </w:r>
    </w:p>
    <w:p>
      <w:pPr>
        <w:spacing w:after="0" w:line="202" w:lineRule="exact"/>
        <w:rPr>
          <w:sz w:val="20"/>
          <w:szCs w:val="20"/>
          <w:color w:val="auto"/>
        </w:rPr>
      </w:pPr>
    </w:p>
    <w:p>
      <w:pPr>
        <w:ind w:left="40" w:right="239" w:firstLine="305"/>
        <w:spacing w:after="0" w:line="256" w:lineRule="auto"/>
        <w:rPr>
          <w:sz w:val="20"/>
          <w:szCs w:val="20"/>
          <w:color w:val="auto"/>
        </w:rPr>
      </w:pPr>
      <w:r>
        <w:rPr>
          <w:rFonts w:ascii="Times New Roman" w:cs="Times New Roman" w:eastAsia="Times New Roman" w:hAnsi="Times New Roman"/>
          <w:sz w:val="17"/>
          <w:szCs w:val="17"/>
          <w:color w:val="auto"/>
        </w:rPr>
        <w:t>In December 2021, the Company announced that it had been awarded two grants totaling USD 1.5 (CHF 1.4) million to advance small molecule PD programs. One award supported an existing early-stage program to develop small molecules that can prevent intracellular aggregation and spreading of a-syn. The other award funded research on the therapeutic potential of chemically and mechanistically novel, brain penetrant small molecule inhibitors of NLRP3 inflammasome activation for the treatment of PD.</w:t>
      </w:r>
    </w:p>
    <w:p>
      <w:pPr>
        <w:spacing w:after="0" w:line="176" w:lineRule="exact"/>
        <w:rPr>
          <w:sz w:val="20"/>
          <w:szCs w:val="20"/>
          <w:color w:val="auto"/>
        </w:rPr>
      </w:pPr>
    </w:p>
    <w:p>
      <w:pPr>
        <w:ind w:left="40" w:right="119" w:firstLine="305"/>
        <w:spacing w:after="0" w:line="253" w:lineRule="auto"/>
        <w:rPr>
          <w:sz w:val="20"/>
          <w:szCs w:val="20"/>
          <w:color w:val="auto"/>
        </w:rPr>
      </w:pPr>
      <w:r>
        <w:rPr>
          <w:rFonts w:ascii="Times New Roman" w:cs="Times New Roman" w:eastAsia="Times New Roman" w:hAnsi="Times New Roman"/>
          <w:sz w:val="17"/>
          <w:szCs w:val="17"/>
          <w:color w:val="auto"/>
        </w:rPr>
        <w:t>In August 2022, the Company received follow-on grant funding as part of its joint arrangement with Skåne in Sweden totaling USD 0.5 (CHF 0.5) million for the continued development of its alpha-synuclein PET imaging diagnostic agent. As part of this grant, AC Immune received USD 0.4 (CHF 0.4) million directly from the MJFF. Skåne received USD 0.1 (CHF 0.1) million of the total grant directly from the MJFF over the duration of the grant period.</w:t>
      </w:r>
    </w:p>
    <w:p>
      <w:pPr>
        <w:spacing w:after="0" w:line="178" w:lineRule="exact"/>
        <w:rPr>
          <w:sz w:val="20"/>
          <w:szCs w:val="20"/>
          <w:color w:val="auto"/>
        </w:rPr>
      </w:pPr>
    </w:p>
    <w:p>
      <w:pPr>
        <w:ind w:left="40" w:right="119" w:firstLine="305"/>
        <w:spacing w:after="0" w:line="277" w:lineRule="auto"/>
        <w:rPr>
          <w:sz w:val="20"/>
          <w:szCs w:val="20"/>
          <w:color w:val="auto"/>
        </w:rPr>
      </w:pPr>
      <w:r>
        <w:rPr>
          <w:rFonts w:ascii="Times New Roman" w:cs="Times New Roman" w:eastAsia="Times New Roman" w:hAnsi="Times New Roman"/>
          <w:sz w:val="17"/>
          <w:szCs w:val="17"/>
          <w:color w:val="auto"/>
        </w:rPr>
        <w:t>In February 2023, the Company announced that it had been awarded a new grant totaling USD 0.5 (CHF 0.4) million from the MJFF to support the development of its TDP-43 PET tracer program.</w:t>
      </w:r>
    </w:p>
    <w:p>
      <w:pPr>
        <w:spacing w:after="0" w:line="158" w:lineRule="exact"/>
        <w:rPr>
          <w:sz w:val="20"/>
          <w:szCs w:val="20"/>
          <w:color w:val="auto"/>
        </w:rPr>
      </w:pPr>
    </w:p>
    <w:p>
      <w:pPr>
        <w:ind w:left="40" w:right="399" w:firstLine="305"/>
        <w:spacing w:after="0" w:line="263" w:lineRule="auto"/>
        <w:rPr>
          <w:sz w:val="20"/>
          <w:szCs w:val="20"/>
          <w:color w:val="auto"/>
        </w:rPr>
      </w:pPr>
      <w:r>
        <w:rPr>
          <w:rFonts w:ascii="Times New Roman" w:cs="Times New Roman" w:eastAsia="Times New Roman" w:hAnsi="Times New Roman"/>
          <w:sz w:val="17"/>
          <w:szCs w:val="17"/>
          <w:color w:val="auto"/>
        </w:rPr>
        <w:t>For the years ended December 31, 2025, the Company has recognized nil, less than CHF 0.1 million for the year ended December 31, 2024 and CHF 1.2 million for the year ended December 31, 2023, from its MJFF grants, under “Other operating income/(expense), net”.</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14. Expenses by category</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8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For the Year Ended</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88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96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8"/>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33,890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39,177</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32,076</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expense</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886</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986</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1,122</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Payroll expenses</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20,213</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20,195</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19,499</w:t>
            </w:r>
          </w:p>
        </w:tc>
        <w:tc>
          <w:tcPr>
            <w:tcW w:w="0" w:type="dxa"/>
            <w:vAlign w:val="bottom"/>
          </w:tcPr>
          <w:p>
            <w:pPr>
              <w:spacing w:after="0"/>
              <w:rPr>
                <w:sz w:val="1"/>
                <w:szCs w:val="1"/>
                <w:color w:val="auto"/>
              </w:rPr>
            </w:pPr>
          </w:p>
        </w:tc>
      </w:tr>
      <w:tr>
        <w:trPr>
          <w:trHeight w:val="216"/>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Share-based compensation</w:t>
            </w:r>
          </w:p>
        </w:tc>
        <w:tc>
          <w:tcPr>
            <w:tcW w:w="19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1,447</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2,212</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1,909</w:t>
            </w:r>
          </w:p>
        </w:tc>
        <w:tc>
          <w:tcPr>
            <w:tcW w:w="0" w:type="dxa"/>
            <w:vAlign w:val="bottom"/>
          </w:tcPr>
          <w:p>
            <w:pPr>
              <w:spacing w:after="0"/>
              <w:rPr>
                <w:sz w:val="1"/>
                <w:szCs w:val="1"/>
                <w:color w:val="auto"/>
              </w:rPr>
            </w:pPr>
          </w:p>
        </w:tc>
      </w:tr>
      <w:tr>
        <w:trPr>
          <w:trHeight w:val="208"/>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research and development expenses</w:t>
            </w:r>
          </w:p>
        </w:tc>
        <w:tc>
          <w:tcPr>
            <w:tcW w:w="19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56,436</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62,570</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54,606</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1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7"/>
                <w:szCs w:val="17"/>
                <w:color w:val="auto"/>
              </w:rPr>
              <w:t>F-31</w:t>
            </w: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2"/>
        </w:trPr>
        <w:tc>
          <w:tcPr>
            <w:tcW w:w="3880" w:type="dxa"/>
            <w:vAlign w:val="bottom"/>
          </w:tcPr>
          <w:p>
            <w:pPr>
              <w:spacing w:after="0"/>
              <w:rPr>
                <w:sz w:val="24"/>
                <w:szCs w:val="24"/>
                <w:color w:val="auto"/>
              </w:rPr>
            </w:pPr>
          </w:p>
        </w:tc>
        <w:tc>
          <w:tcPr>
            <w:tcW w:w="218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38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92" w:right="1440" w:bottom="1440" w:gutter="0" w:footer="0" w:header="0"/>
        </w:sectPr>
      </w:pPr>
    </w:p>
    <w:bookmarkStart w:id="196" w:name="page197"/>
    <w:bookmarkEnd w:id="19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40" w:right="499" w:firstLine="305"/>
        <w:spacing w:after="0" w:line="263" w:lineRule="auto"/>
        <w:rPr>
          <w:sz w:val="20"/>
          <w:szCs w:val="20"/>
          <w:color w:val="auto"/>
        </w:rPr>
      </w:pPr>
      <w:r>
        <w:rPr>
          <w:rFonts w:ascii="Times New Roman" w:cs="Times New Roman" w:eastAsia="Times New Roman" w:hAnsi="Times New Roman"/>
          <w:sz w:val="17"/>
          <w:szCs w:val="17"/>
          <w:color w:val="auto"/>
        </w:rPr>
        <w:t>The decrease of research and development expenses in 2025 compared with the prior period is predominantly driven by decreases in manufacturing costs not recurring in the current period for ACI-7104.056 and reduced activity in the Company’s discovery and preclinical expenses for the TDP-43 antibody and PET tracer programs.</w:t>
      </w:r>
    </w:p>
    <w:p>
      <w:pPr>
        <w:spacing w:after="0" w:line="170" w:lineRule="exact"/>
        <w:rPr>
          <w:sz w:val="20"/>
          <w:szCs w:val="20"/>
          <w:color w:val="auto"/>
        </w:rPr>
      </w:pPr>
    </w:p>
    <w:p>
      <w:pPr>
        <w:ind w:left="40" w:right="259" w:firstLine="305"/>
        <w:spacing w:after="0" w:line="277" w:lineRule="auto"/>
        <w:rPr>
          <w:sz w:val="20"/>
          <w:szCs w:val="20"/>
          <w:color w:val="auto"/>
        </w:rPr>
      </w:pPr>
      <w:r>
        <w:rPr>
          <w:rFonts w:ascii="Times New Roman" w:cs="Times New Roman" w:eastAsia="Times New Roman" w:hAnsi="Times New Roman"/>
          <w:sz w:val="17"/>
          <w:szCs w:val="17"/>
          <w:color w:val="auto"/>
        </w:rPr>
        <w:t>For the years ended December 31, 2025, 2024 and 2023, the Company had 105.0, 122.5 and 115.4 FTEs in our research and development functions.</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5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For the Year Ended</w:t>
            </w:r>
          </w:p>
        </w:tc>
        <w:tc>
          <w:tcPr>
            <w:tcW w:w="840" w:type="dxa"/>
            <w:vAlign w:val="bottom"/>
          </w:tcPr>
          <w:p>
            <w:pPr>
              <w:spacing w:after="0"/>
              <w:rPr>
                <w:sz w:val="15"/>
                <w:szCs w:val="15"/>
                <w:color w:val="auto"/>
              </w:rPr>
            </w:pPr>
          </w:p>
        </w:tc>
      </w:tr>
      <w:tr>
        <w:trPr>
          <w:trHeight w:val="182"/>
        </w:trPr>
        <w:tc>
          <w:tcPr>
            <w:tcW w:w="5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78"/>
        </w:trPr>
        <w:tc>
          <w:tcPr>
            <w:tcW w:w="584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8"/>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3,658</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expense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1,617</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1,153</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1,071</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Payroll expenses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8,529</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7,755</w:t>
            </w:r>
          </w:p>
        </w:tc>
      </w:tr>
      <w:tr>
        <w:trPr>
          <w:trHeight w:val="216"/>
        </w:trPr>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Share-based compensation</w:t>
            </w:r>
          </w:p>
        </w:tc>
        <w:tc>
          <w:tcPr>
            <w:tcW w:w="2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3,123</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3,212</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2,821</w:t>
            </w:r>
          </w:p>
        </w:tc>
      </w:tr>
      <w:tr>
        <w:trPr>
          <w:trHeight w:val="208"/>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general and administrative expenses</w:t>
            </w: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16,094</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17,259</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15,305</w:t>
            </w:r>
          </w:p>
        </w:tc>
      </w:tr>
      <w:tr>
        <w:trPr>
          <w:trHeight w:val="20"/>
        </w:trPr>
        <w:tc>
          <w:tcPr>
            <w:tcW w:w="5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40" w:right="139" w:firstLine="305"/>
        <w:spacing w:after="0" w:line="255" w:lineRule="auto"/>
        <w:rPr>
          <w:sz w:val="20"/>
          <w:szCs w:val="20"/>
          <w:color w:val="auto"/>
        </w:rPr>
      </w:pPr>
      <w:r>
        <w:rPr>
          <w:rFonts w:ascii="Times New Roman" w:cs="Times New Roman" w:eastAsia="Times New Roman" w:hAnsi="Times New Roman"/>
          <w:sz w:val="17"/>
          <w:szCs w:val="17"/>
          <w:color w:val="auto"/>
        </w:rPr>
        <w:t>In 2025, general and administrative expenses decreased compared to the previous year, primarily driven by a decrease in legal fees related to business development and licensing activities, as well as lower salaries and related costs as a result of the restructuring, partly offset by increased severance costs.</w:t>
      </w:r>
    </w:p>
    <w:p>
      <w:pPr>
        <w:spacing w:after="0" w:line="176" w:lineRule="exact"/>
        <w:rPr>
          <w:sz w:val="20"/>
          <w:szCs w:val="20"/>
          <w:color w:val="auto"/>
        </w:rPr>
      </w:pPr>
    </w:p>
    <w:p>
      <w:pPr>
        <w:ind w:left="40" w:right="579" w:firstLine="305"/>
        <w:spacing w:after="0" w:line="277" w:lineRule="auto"/>
        <w:rPr>
          <w:sz w:val="20"/>
          <w:szCs w:val="20"/>
          <w:color w:val="auto"/>
        </w:rPr>
      </w:pPr>
      <w:r>
        <w:rPr>
          <w:rFonts w:ascii="Times New Roman" w:cs="Times New Roman" w:eastAsia="Times New Roman" w:hAnsi="Times New Roman"/>
          <w:sz w:val="17"/>
          <w:szCs w:val="17"/>
          <w:color w:val="auto"/>
        </w:rPr>
        <w:t>For the years ended December 31, 2025, 2024 and 2023, the Company had 26.7, 30.9 and 26.2 FTEs in our general and administrative functions.</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Financial result, net</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5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For the Year Ended</w:t>
            </w:r>
          </w:p>
        </w:tc>
        <w:tc>
          <w:tcPr>
            <w:tcW w:w="840" w:type="dxa"/>
            <w:vAlign w:val="bottom"/>
          </w:tcPr>
          <w:p>
            <w:pPr>
              <w:spacing w:after="0"/>
              <w:rPr>
                <w:sz w:val="15"/>
                <w:szCs w:val="15"/>
                <w:color w:val="auto"/>
              </w:rPr>
            </w:pPr>
          </w:p>
        </w:tc>
      </w:tr>
      <w:tr>
        <w:trPr>
          <w:trHeight w:val="182"/>
        </w:trPr>
        <w:tc>
          <w:tcPr>
            <w:tcW w:w="5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78"/>
        </w:trPr>
        <w:tc>
          <w:tcPr>
            <w:tcW w:w="584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8"/>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Financial income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3,196</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Financial expense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Exchange differences</w:t>
            </w:r>
          </w:p>
        </w:tc>
        <w:tc>
          <w:tcPr>
            <w:tcW w:w="2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(2,803)</w:t>
            </w:r>
          </w:p>
        </w:tc>
        <w:tc>
          <w:tcPr>
            <w:tcW w:w="2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(1,598)</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(1,467)</w:t>
            </w:r>
          </w:p>
        </w:tc>
      </w:tr>
      <w:tr>
        <w:trPr>
          <w:trHeight w:val="208"/>
        </w:trPr>
        <w:tc>
          <w:tcPr>
            <w:tcW w:w="58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Finance result, net</w:t>
            </w:r>
          </w:p>
        </w:tc>
        <w:tc>
          <w:tcPr>
            <w:tcW w:w="2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(1,129)</w:t>
            </w:r>
          </w:p>
        </w:tc>
        <w:tc>
          <w:tcPr>
            <w:tcW w:w="2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1,465</w:t>
            </w: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(599)</w:t>
            </w:r>
          </w:p>
        </w:tc>
      </w:tr>
      <w:tr>
        <w:trPr>
          <w:trHeight w:val="20"/>
        </w:trPr>
        <w:tc>
          <w:tcPr>
            <w:tcW w:w="5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40" w:right="359" w:firstLine="305"/>
        <w:spacing w:after="0" w:line="277" w:lineRule="auto"/>
        <w:rPr>
          <w:sz w:val="20"/>
          <w:szCs w:val="20"/>
          <w:color w:val="auto"/>
        </w:rPr>
      </w:pPr>
      <w:r>
        <w:rPr>
          <w:rFonts w:ascii="Times New Roman" w:cs="Times New Roman" w:eastAsia="Times New Roman" w:hAnsi="Times New Roman"/>
          <w:sz w:val="17"/>
          <w:szCs w:val="17"/>
          <w:color w:val="auto"/>
        </w:rPr>
        <w:t>Our finance result primarily consists of interest income associated with our short-term financial assets and interest expense associated with lease liabilities as well as foreign currency exchange differences.</w:t>
      </w:r>
    </w:p>
    <w:p>
      <w:pPr>
        <w:spacing w:after="0" w:line="145" w:lineRule="exact"/>
        <w:rPr>
          <w:sz w:val="20"/>
          <w:szCs w:val="20"/>
          <w:color w:val="auto"/>
        </w:rPr>
      </w:pPr>
    </w:p>
    <w:p>
      <w:pPr>
        <w:ind w:left="40" w:right="179" w:firstLine="305"/>
        <w:spacing w:after="0" w:line="258" w:lineRule="auto"/>
        <w:rPr>
          <w:sz w:val="20"/>
          <w:szCs w:val="20"/>
          <w:color w:val="auto"/>
        </w:rPr>
      </w:pPr>
      <w:r>
        <w:rPr>
          <w:rFonts w:ascii="Times New Roman" w:cs="Times New Roman" w:eastAsia="Times New Roman" w:hAnsi="Times New Roman"/>
          <w:sz w:val="17"/>
          <w:szCs w:val="17"/>
          <w:color w:val="auto"/>
        </w:rPr>
        <w:t>For the year ended December 31, 2025, the unfavorable change in net finance result of CHF 2.5 million primarily related to a decrease of CHF 1.3 million in financial income attributed to lower interest received on net investments in short-term financial assets, with less deposits made in 2025 compared to the previous period. The unfavorable change in exchange differences was caused by foreign currencies depreciating against the Swiss franc, predominantly the U.S. Dollar.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1">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97" w:name="page198"/>
    <w:bookmarkEnd w:id="19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15. Related-party transactions</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Board of directors and executive management compensation</w:t>
      </w:r>
    </w:p>
    <w:p>
      <w:pPr>
        <w:spacing w:after="0" w:line="215" w:lineRule="exact"/>
        <w:rPr>
          <w:sz w:val="20"/>
          <w:szCs w:val="20"/>
          <w:color w:val="auto"/>
        </w:rPr>
      </w:pPr>
    </w:p>
    <w:p>
      <w:pPr>
        <w:ind w:left="40" w:right="379" w:firstLine="305"/>
        <w:spacing w:after="0" w:line="263" w:lineRule="auto"/>
        <w:rPr>
          <w:sz w:val="20"/>
          <w:szCs w:val="20"/>
          <w:color w:val="auto"/>
        </w:rPr>
      </w:pPr>
      <w:r>
        <w:rPr>
          <w:rFonts w:ascii="Times New Roman" w:cs="Times New Roman" w:eastAsia="Times New Roman" w:hAnsi="Times New Roman"/>
          <w:sz w:val="17"/>
          <w:szCs w:val="17"/>
          <w:color w:val="auto"/>
        </w:rPr>
        <w:t>Key management includes the board of directors and executive management. For 2025, there were six members (2024: six members and 2023: eight) of the Board (excluding the CEO) and three members (2024: seven and 2023: seven) of executive management (including the CEO). Compensation was as follows: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5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For the Year Ended</w:t>
            </w:r>
          </w:p>
        </w:tc>
        <w:tc>
          <w:tcPr>
            <w:tcW w:w="700" w:type="dxa"/>
            <w:vAlign w:val="bottom"/>
          </w:tcPr>
          <w:p>
            <w:pPr>
              <w:spacing w:after="0"/>
              <w:rPr>
                <w:sz w:val="15"/>
                <w:szCs w:val="15"/>
                <w:color w:val="auto"/>
              </w:rPr>
            </w:pPr>
          </w:p>
        </w:tc>
      </w:tr>
      <w:tr>
        <w:trPr>
          <w:trHeight w:val="182"/>
        </w:trPr>
        <w:tc>
          <w:tcPr>
            <w:tcW w:w="5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r>
      <w:tr>
        <w:trPr>
          <w:trHeight w:val="178"/>
        </w:trPr>
        <w:tc>
          <w:tcPr>
            <w:tcW w:w="584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8"/>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employee benefits</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3,533</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5,071</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4,661</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Post-employment benefits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Share-based compensation</w:t>
            </w:r>
          </w:p>
        </w:tc>
        <w:tc>
          <w:tcPr>
            <w:tcW w:w="2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3,051</w:t>
            </w:r>
          </w:p>
        </w:tc>
        <w:tc>
          <w:tcPr>
            <w:tcW w:w="2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3,251</w:t>
            </w:r>
          </w:p>
        </w:tc>
      </w:tr>
      <w:tr>
        <w:trPr>
          <w:trHeight w:val="208"/>
        </w:trPr>
        <w:tc>
          <w:tcPr>
            <w:tcW w:w="58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compensation</w:t>
            </w:r>
          </w:p>
        </w:tc>
        <w:tc>
          <w:tcPr>
            <w:tcW w:w="2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7,002</w:t>
            </w:r>
          </w:p>
        </w:tc>
        <w:tc>
          <w:tcPr>
            <w:tcW w:w="2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9,118</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8,358</w:t>
            </w:r>
          </w:p>
        </w:tc>
      </w:tr>
      <w:tr>
        <w:trPr>
          <w:trHeight w:val="20"/>
        </w:trPr>
        <w:tc>
          <w:tcPr>
            <w:tcW w:w="5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16. Income taxes</w:t>
      </w:r>
    </w:p>
    <w:p>
      <w:pPr>
        <w:spacing w:after="0" w:line="215" w:lineRule="exact"/>
        <w:rPr>
          <w:sz w:val="20"/>
          <w:szCs w:val="20"/>
          <w:color w:val="auto"/>
        </w:rPr>
      </w:pPr>
    </w:p>
    <w:p>
      <w:pPr>
        <w:ind w:left="40" w:right="99" w:firstLine="305"/>
        <w:spacing w:after="0" w:line="252" w:lineRule="auto"/>
        <w:rPr>
          <w:sz w:val="20"/>
          <w:szCs w:val="20"/>
          <w:color w:val="auto"/>
        </w:rPr>
      </w:pPr>
      <w:r>
        <w:rPr>
          <w:rFonts w:ascii="Times New Roman" w:cs="Times New Roman" w:eastAsia="Times New Roman" w:hAnsi="Times New Roman"/>
          <w:sz w:val="17"/>
          <w:szCs w:val="17"/>
          <w:color w:val="auto"/>
        </w:rPr>
        <w:t>The Group recognized less than CHF 0.1 million in income taxes and no deferred tax asset or liability positions for the years ended December 31, 2025, 2024 and 2023, respectively. The Group’s expected tax expense for each year is based on the applicable tax rates in each jurisdiction. In 2025, these rates ranged from 13.6% to 34.0% (13.6% - 33.8% for 2024 and 2023) in the Group’s respective tax jurisdictions. The weighted average tax rate applicable to the Group was 13.6% (13.6% for 2024 and 2023, respectively).</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Group’s income tax expense for each year can be reconciled to loss before tax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5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For the Year Ended</w:t>
            </w:r>
          </w:p>
        </w:tc>
        <w:tc>
          <w:tcPr>
            <w:tcW w:w="840" w:type="dxa"/>
            <w:vAlign w:val="bottom"/>
          </w:tcPr>
          <w:p>
            <w:pPr>
              <w:spacing w:after="0"/>
              <w:rPr>
                <w:sz w:val="15"/>
                <w:szCs w:val="15"/>
                <w:color w:val="auto"/>
              </w:rPr>
            </w:pPr>
          </w:p>
        </w:tc>
      </w:tr>
      <w:tr>
        <w:trPr>
          <w:trHeight w:val="182"/>
        </w:trPr>
        <w:tc>
          <w:tcPr>
            <w:tcW w:w="5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78"/>
        </w:trPr>
        <w:tc>
          <w:tcPr>
            <w:tcW w:w="584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8"/>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income tax</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(70,447)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(50,913)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(54,223)</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Tax benefit calculated at the domestic rates applicable in the respective countries</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(9,586)</w:t>
            </w: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(6,925)</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(7,371)</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not subject to tax)/expenses not deductible for tax purposes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w:t>
            </w:r>
          </w:p>
        </w:tc>
      </w:tr>
      <w:tr>
        <w:trPr>
          <w:trHeight w:val="216"/>
        </w:trPr>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Effect of unused tax losses and tax offsets not recognized as deferred tax assets</w:t>
            </w:r>
          </w:p>
        </w:tc>
        <w:tc>
          <w:tcPr>
            <w:tcW w:w="2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8,988</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6,236</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6,770</w:t>
            </w:r>
          </w:p>
        </w:tc>
      </w:tr>
      <w:tr>
        <w:trPr>
          <w:trHeight w:val="208"/>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Effective income tax rate expense</w:t>
            </w: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0"/>
        </w:trPr>
        <w:tc>
          <w:tcPr>
            <w:tcW w:w="5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40" w:right="159" w:firstLine="305"/>
        <w:spacing w:after="0" w:line="310" w:lineRule="auto"/>
        <w:rPr>
          <w:sz w:val="20"/>
          <w:szCs w:val="20"/>
          <w:color w:val="auto"/>
        </w:rPr>
      </w:pPr>
      <w:r>
        <w:rPr>
          <w:rFonts w:ascii="Times New Roman" w:cs="Times New Roman" w:eastAsia="Times New Roman" w:hAnsi="Times New Roman"/>
          <w:sz w:val="16"/>
          <w:szCs w:val="16"/>
          <w:color w:val="auto"/>
        </w:rPr>
        <w:t>The Swiss tax rate used for the 2025 reconciliations is the corporate tax rate of 13.6% (13.6% in 2024 and 2023, respectively) payable by corporate entities in the Canton of Vaud, Switzerland on taxable profits under tax law in that jurisdiction.</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2">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98" w:name="page199"/>
    <w:bookmarkEnd w:id="19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below table details the total unrecognized deductible temporary differences, unused tax losses and unused tax credits:</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gridSpan w:val="5"/>
          </w:tcPr>
          <w:p>
            <w:pPr>
              <w:jc w:val="center"/>
              <w:ind w:left="44"/>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420" w:type="dxa"/>
            <w:vAlign w:val="bottom"/>
          </w:tcPr>
          <w:p>
            <w:pPr>
              <w:ind w:left="27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9"/>
              </w:rPr>
              <w:t>Unrecognized deductible temporary differences, unused tax losses and unused tax credits</w:t>
            </w:r>
          </w:p>
        </w:tc>
        <w:tc>
          <w:tcPr>
            <w:tcW w:w="1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7"/>
                <w:szCs w:val="17"/>
                <w:color w:val="auto"/>
              </w:rPr>
              <w:t>Deductible temporary differences, unused tax losses and unused tax credits for which no</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7"/>
                <w:szCs w:val="17"/>
                <w:color w:val="auto"/>
              </w:rPr>
              <w:t>deferred tax assets have been recognized are attributable to the following:</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Tax losses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362,290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343,589</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Deductible temporary differences related to:</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Retirement benefit plan</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370,935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352,433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20" w:type="dxa"/>
            <w:vAlign w:val="bottom"/>
          </w:tcPr>
          <w:p>
            <w:pPr>
              <w:spacing w:after="0"/>
              <w:rPr>
                <w:sz w:val="24"/>
                <w:szCs w:val="24"/>
                <w:color w:val="auto"/>
              </w:rPr>
            </w:pPr>
          </w:p>
        </w:tc>
        <w:tc>
          <w:tcPr>
            <w:tcW w:w="7820" w:type="dxa"/>
            <w:vAlign w:val="bottom"/>
            <w:gridSpan w:val="8"/>
          </w:tcPr>
          <w:p>
            <w:pPr>
              <w:ind w:left="280"/>
              <w:spacing w:after="0"/>
              <w:rPr>
                <w:sz w:val="20"/>
                <w:szCs w:val="20"/>
                <w:color w:val="auto"/>
              </w:rPr>
            </w:pPr>
            <w:r>
              <w:rPr>
                <w:rFonts w:ascii="Times New Roman" w:cs="Times New Roman" w:eastAsia="Times New Roman" w:hAnsi="Times New Roman"/>
                <w:sz w:val="17"/>
                <w:szCs w:val="17"/>
                <w:color w:val="auto"/>
              </w:rPr>
              <w:t>The following table details the tax losses carry forwards of the Company and their respective expiry dates: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4"/>
          </w:tcPr>
          <w:p>
            <w:pPr>
              <w:jc w:val="center"/>
              <w:ind w:left="60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6"/>
          </w:tcPr>
          <w:p>
            <w:pPr>
              <w:jc w:val="center"/>
              <w:ind w:left="34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420" w:type="dxa"/>
            <w:vAlign w:val="bottom"/>
            <w:tcBorders>
              <w:bottom w:val="single" w:sz="8" w:color="auto"/>
            </w:tcBorders>
          </w:tcPr>
          <w:p>
            <w:pPr>
              <w:ind w:left="26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Tax losses split by expiry date:</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December 31, 2025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48,894</w:t>
            </w: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December 31, 2026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4"/>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December 31, 2027</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57,824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57,824</w:t>
            </w: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December 31, 2028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75,204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75,204</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December 31, 2029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66,936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66,936</w:t>
            </w: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December 31, 2030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48,883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48,883</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December 31, 2031</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45,848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45,848</w:t>
            </w: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December 31, 2032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67,595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unrecorded tax loss carryforwards</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362,290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343,589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40" w:right="239" w:firstLine="305"/>
        <w:spacing w:after="0" w:line="263" w:lineRule="auto"/>
        <w:rPr>
          <w:sz w:val="20"/>
          <w:szCs w:val="20"/>
          <w:color w:val="auto"/>
        </w:rPr>
      </w:pPr>
      <w:r>
        <w:rPr>
          <w:rFonts w:ascii="Times New Roman" w:cs="Times New Roman" w:eastAsia="Times New Roman" w:hAnsi="Times New Roman"/>
          <w:sz w:val="17"/>
          <w:szCs w:val="17"/>
          <w:color w:val="auto"/>
        </w:rPr>
        <w:t>The tax losses available for future offset against taxable profits have increased by CHF 18.7 million from 2024, representing the amount of tax losses that are additionally available as an offset reduced by expiring tax losses in 2025 of CHF 48.9 million, subject to expiration as disclosed in the table above, against future taxable income.</w:t>
      </w:r>
    </w:p>
    <w:p>
      <w:pPr>
        <w:spacing w:after="0" w:line="170" w:lineRule="exact"/>
        <w:rPr>
          <w:sz w:val="20"/>
          <w:szCs w:val="20"/>
          <w:color w:val="auto"/>
        </w:rPr>
      </w:pPr>
    </w:p>
    <w:p>
      <w:pPr>
        <w:ind w:left="40" w:right="299" w:firstLine="305"/>
        <w:spacing w:after="0" w:line="277" w:lineRule="auto"/>
        <w:rPr>
          <w:sz w:val="20"/>
          <w:szCs w:val="20"/>
          <w:color w:val="auto"/>
        </w:rPr>
      </w:pPr>
      <w:r>
        <w:rPr>
          <w:rFonts w:ascii="Times New Roman" w:cs="Times New Roman" w:eastAsia="Times New Roman" w:hAnsi="Times New Roman"/>
          <w:sz w:val="17"/>
          <w:szCs w:val="17"/>
          <w:color w:val="auto"/>
        </w:rPr>
        <w:t>Consistent with prior years, the Company has not recorded any deferred tax assets in relation to the past tax losses available for offset against future profits as the recognition criteria were not met at the balance sheet date.</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17. Retirement benefit plan</w:t>
      </w:r>
    </w:p>
    <w:p>
      <w:pPr>
        <w:spacing w:after="0" w:line="202" w:lineRule="exact"/>
        <w:rPr>
          <w:sz w:val="20"/>
          <w:szCs w:val="20"/>
          <w:color w:val="auto"/>
        </w:rPr>
      </w:pPr>
    </w:p>
    <w:p>
      <w:pPr>
        <w:ind w:left="40" w:right="179" w:firstLine="305"/>
        <w:spacing w:after="0" w:line="277" w:lineRule="auto"/>
        <w:rPr>
          <w:sz w:val="20"/>
          <w:szCs w:val="20"/>
          <w:color w:val="auto"/>
        </w:rPr>
      </w:pPr>
      <w:r>
        <w:rPr>
          <w:rFonts w:ascii="Times New Roman" w:cs="Times New Roman" w:eastAsia="Times New Roman" w:hAnsi="Times New Roman"/>
          <w:sz w:val="17"/>
          <w:szCs w:val="17"/>
          <w:color w:val="auto"/>
        </w:rPr>
        <w:t>The Company participates in a collective foundation covering all of its employees including its executive officers. In addition to retirement benefits, the plan provides death or long-term disability benefits.</w:t>
      </w:r>
    </w:p>
    <w:p>
      <w:pPr>
        <w:spacing w:after="0" w:line="158" w:lineRule="exact"/>
        <w:rPr>
          <w:sz w:val="20"/>
          <w:szCs w:val="20"/>
          <w:color w:val="auto"/>
        </w:rPr>
      </w:pPr>
    </w:p>
    <w:p>
      <w:pPr>
        <w:ind w:left="40" w:right="679" w:firstLine="305"/>
        <w:spacing w:after="0" w:line="277" w:lineRule="auto"/>
        <w:rPr>
          <w:sz w:val="20"/>
          <w:szCs w:val="20"/>
          <w:color w:val="auto"/>
        </w:rPr>
      </w:pPr>
      <w:r>
        <w:rPr>
          <w:rFonts w:ascii="Times New Roman" w:cs="Times New Roman" w:eastAsia="Times New Roman" w:hAnsi="Times New Roman"/>
          <w:sz w:val="17"/>
          <w:szCs w:val="17"/>
          <w:color w:val="auto"/>
        </w:rPr>
        <w:t>Contributions paid to the plan are computed as a percentage of salary, adjusted for the age of the employee and shared approximately 47% and 53% by employee and employer, respectively.</w:t>
      </w:r>
    </w:p>
    <w:p>
      <w:pPr>
        <w:spacing w:after="0" w:line="158" w:lineRule="exact"/>
        <w:rPr>
          <w:sz w:val="20"/>
          <w:szCs w:val="20"/>
          <w:color w:val="auto"/>
        </w:rPr>
      </w:pPr>
    </w:p>
    <w:p>
      <w:pPr>
        <w:ind w:left="40" w:right="139" w:firstLine="305"/>
        <w:spacing w:after="0" w:line="252" w:lineRule="auto"/>
        <w:rPr>
          <w:sz w:val="20"/>
          <w:szCs w:val="20"/>
          <w:color w:val="auto"/>
        </w:rPr>
      </w:pPr>
      <w:r>
        <w:rPr>
          <w:rFonts w:ascii="Times New Roman" w:cs="Times New Roman" w:eastAsia="Times New Roman" w:hAnsi="Times New Roman"/>
          <w:sz w:val="17"/>
          <w:szCs w:val="17"/>
          <w:color w:val="auto"/>
        </w:rPr>
        <w:t>This plan is governed by the Swiss Law on Occupational Retirement, Survivors and Disability Pension Plans (BVG), which requires contributions to be made to a separately administered fund. The fund has the legal form of a foundation and it is governed by a board of trustees, which consists of an equal number of employer and employee representatives of its members. The board of trustees is responsible for the administration of the plan assets and for the definition of the investment strategy. The Company has no direct influence on the investment strategy of the foundation board.</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3">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99" w:name="page200"/>
    <w:bookmarkEnd w:id="19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59" w:firstLine="305"/>
        <w:spacing w:after="0" w:line="251" w:lineRule="auto"/>
        <w:rPr>
          <w:sz w:val="20"/>
          <w:szCs w:val="20"/>
          <w:color w:val="auto"/>
        </w:rPr>
      </w:pPr>
      <w:r>
        <w:rPr>
          <w:rFonts w:ascii="Times New Roman" w:cs="Times New Roman" w:eastAsia="Times New Roman" w:hAnsi="Times New Roman"/>
          <w:sz w:val="17"/>
          <w:szCs w:val="17"/>
          <w:color w:val="auto"/>
        </w:rPr>
        <w:t>The assets are invested by the pension plan, to which many companies contribute, in a diversified portfolio that respects the requirements of the Swiss BVG. Therefore, disaggregation of the pension assets and presentation of plan assets in classes that distinguish the nature and risks of those assets is not possible. Under the plan, both the Company and the employee share the costs. The structure of the plan and the legal provisions of the BVG mean that the employer is exposed to actuarial risks. The main risks are investment risk, interest risk, disability risk and the life expectancy of pensioners. Through our affiliation with the pension plan, the Company has minimized these risks, as they are shared between a much greater number of participants. On leaving the Company, a departing employee’s retirement savings are transferred to the pension institution of the new employer or to a vested benefits institution. This transfer mechanism may result in pension payments varying considerably from year to year.</w:t>
      </w:r>
    </w:p>
    <w:p>
      <w:pPr>
        <w:spacing w:after="0" w:line="116" w:lineRule="exact"/>
        <w:rPr>
          <w:sz w:val="20"/>
          <w:szCs w:val="20"/>
          <w:color w:val="auto"/>
        </w:rPr>
      </w:pPr>
    </w:p>
    <w:p>
      <w:pPr>
        <w:ind w:left="40" w:right="359" w:firstLine="305"/>
        <w:spacing w:after="0" w:line="310" w:lineRule="auto"/>
        <w:rPr>
          <w:sz w:val="20"/>
          <w:szCs w:val="20"/>
          <w:color w:val="auto"/>
        </w:rPr>
      </w:pPr>
      <w:r>
        <w:rPr>
          <w:rFonts w:ascii="Times New Roman" w:cs="Times New Roman" w:eastAsia="Times New Roman" w:hAnsi="Times New Roman"/>
          <w:sz w:val="16"/>
          <w:szCs w:val="16"/>
          <w:color w:val="auto"/>
        </w:rPr>
        <w:t>The pension plan is exposed to Swiss inflation, interest rate risks and changes in the life expectancy for pensioners. For accounting purposes under IFRS Accounting Standards, the plan is treated as a defined benefit plan in accordance with IAS 19.</w:t>
      </w:r>
    </w:p>
    <w:p>
      <w:pPr>
        <w:spacing w:after="0" w:line="58" w:lineRule="exact"/>
        <w:rPr>
          <w:sz w:val="20"/>
          <w:szCs w:val="20"/>
          <w:color w:val="auto"/>
        </w:rPr>
      </w:pPr>
    </w:p>
    <w:p>
      <w:pPr>
        <w:ind w:left="40" w:right="859" w:firstLine="305"/>
        <w:spacing w:after="0" w:line="277" w:lineRule="auto"/>
        <w:rPr>
          <w:sz w:val="20"/>
          <w:szCs w:val="20"/>
          <w:color w:val="auto"/>
        </w:rPr>
      </w:pPr>
      <w:r>
        <w:rPr>
          <w:rFonts w:ascii="Times New Roman" w:cs="Times New Roman" w:eastAsia="Times New Roman" w:hAnsi="Times New Roman"/>
          <w:sz w:val="17"/>
          <w:szCs w:val="17"/>
          <w:color w:val="auto"/>
        </w:rPr>
        <w:t>The following table sets forth the status of the defined benefit pension plan and the amount that is recognized in the consolidated balance sheets: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5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0"/>
              </w:rPr>
              <w:t>As of</w:t>
            </w:r>
          </w:p>
        </w:tc>
        <w:tc>
          <w:tcPr>
            <w:tcW w:w="700" w:type="dxa"/>
            <w:vAlign w:val="bottom"/>
          </w:tcPr>
          <w:p>
            <w:pPr>
              <w:spacing w:after="0"/>
              <w:rPr>
                <w:sz w:val="15"/>
                <w:szCs w:val="15"/>
                <w:color w:val="auto"/>
              </w:rPr>
            </w:pPr>
          </w:p>
        </w:tc>
      </w:tr>
      <w:tr>
        <w:trPr>
          <w:trHeight w:val="182"/>
        </w:trPr>
        <w:tc>
          <w:tcPr>
            <w:tcW w:w="5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700" w:type="dxa"/>
            <w:vAlign w:val="bottom"/>
            <w:tcBorders>
              <w:bottom w:val="single" w:sz="8" w:color="auto"/>
            </w:tcBorders>
          </w:tcPr>
          <w:p>
            <w:pPr>
              <w:spacing w:after="0"/>
              <w:rPr>
                <w:sz w:val="15"/>
                <w:szCs w:val="15"/>
                <w:color w:val="auto"/>
              </w:rPr>
            </w:pPr>
          </w:p>
        </w:tc>
      </w:tr>
      <w:tr>
        <w:trPr>
          <w:trHeight w:val="178"/>
        </w:trPr>
        <w:tc>
          <w:tcPr>
            <w:tcW w:w="584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8"/>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Defined benefit obligation</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(48,261)</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(52,455)</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(41,060)</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Fair value of plan assets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39,615</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35,290</w:t>
            </w:r>
          </w:p>
        </w:tc>
      </w:tr>
      <w:tr>
        <w:trPr>
          <w:trHeight w:val="208"/>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liability</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(5,770)</w:t>
            </w:r>
          </w:p>
        </w:tc>
      </w:tr>
      <w:tr>
        <w:trPr>
          <w:trHeight w:val="20"/>
        </w:trPr>
        <w:tc>
          <w:tcPr>
            <w:tcW w:w="5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amounts have been recorded as net pension cost in the consolidated statements of income/(loss):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5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For the Year Ended</w:t>
            </w:r>
          </w:p>
        </w:tc>
        <w:tc>
          <w:tcPr>
            <w:tcW w:w="700" w:type="dxa"/>
            <w:vAlign w:val="bottom"/>
          </w:tcPr>
          <w:p>
            <w:pPr>
              <w:spacing w:after="0"/>
              <w:rPr>
                <w:sz w:val="15"/>
                <w:szCs w:val="15"/>
                <w:color w:val="auto"/>
              </w:rPr>
            </w:pPr>
          </w:p>
        </w:tc>
      </w:tr>
      <w:tr>
        <w:trPr>
          <w:trHeight w:val="182"/>
        </w:trPr>
        <w:tc>
          <w:tcPr>
            <w:tcW w:w="5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r>
      <w:tr>
        <w:trPr>
          <w:trHeight w:val="178"/>
        </w:trPr>
        <w:tc>
          <w:tcPr>
            <w:tcW w:w="584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8"/>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service cost</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1,952</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1,688</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1,453</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Past service cost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903</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(Gains) and losses on settlement / curtailment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(1,757)</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Interest cost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2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w:t>
            </w:r>
          </w:p>
        </w:tc>
        <w:tc>
          <w:tcPr>
            <w:tcW w:w="2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w:t>
            </w:r>
          </w:p>
        </w:tc>
      </w:tr>
      <w:tr>
        <w:trPr>
          <w:trHeight w:val="208"/>
        </w:trPr>
        <w:tc>
          <w:tcPr>
            <w:tcW w:w="58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pension cost</w:t>
            </w:r>
          </w:p>
        </w:tc>
        <w:tc>
          <w:tcPr>
            <w:tcW w:w="2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2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1,794</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2,455</w:t>
            </w:r>
          </w:p>
        </w:tc>
      </w:tr>
      <w:tr>
        <w:trPr>
          <w:trHeight w:val="20"/>
        </w:trPr>
        <w:tc>
          <w:tcPr>
            <w:tcW w:w="5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40" w:right="1259"/>
        <w:spacing w:after="0" w:line="433" w:lineRule="auto"/>
        <w:rPr>
          <w:sz w:val="20"/>
          <w:szCs w:val="20"/>
          <w:color w:val="auto"/>
        </w:rPr>
      </w:pPr>
      <w:r>
        <w:rPr>
          <w:rFonts w:ascii="Times New Roman" w:cs="Times New Roman" w:eastAsia="Times New Roman" w:hAnsi="Times New Roman"/>
          <w:sz w:val="17"/>
          <w:szCs w:val="17"/>
          <w:color w:val="auto"/>
        </w:rPr>
        <w:t xml:space="preserve">The changes in defined benefit obligation, fair value of plan assets and unrecognized gains/(losses) are as follows. </w:t>
      </w:r>
      <w:r>
        <w:rPr>
          <w:rFonts w:ascii="Times New Roman" w:cs="Times New Roman" w:eastAsia="Times New Roman" w:hAnsi="Times New Roman"/>
          <w:sz w:val="17"/>
          <w:szCs w:val="17"/>
          <w:b w:val="1"/>
          <w:bCs w:val="1"/>
          <w:color w:val="auto"/>
        </w:rPr>
        <w:t>A. Change in defined benefit obligation</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8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For the Year Ended</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88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96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8"/>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Defined benefit obligation as of January 1</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(52,455)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(41,060)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(32,410)</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Current service cost</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(1,952)</w:t>
            </w: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(1,688)</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(1,453)</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Past service cost</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Interest cost</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(544)</w:t>
            </w: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(680)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demographic assumptions</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Change in financial assumptions</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(2,652)</w:t>
            </w: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(3,846)</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(2,908)</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experience assumptions</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(1,078)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Benefits (deposited)/paid</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(2,504)</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(1,265)</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Gains and (losses) on settlement / curtailment</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Employees’ contributions</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(1,665)</w:t>
            </w: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(1,583)</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(1,396)</w:t>
            </w:r>
          </w:p>
        </w:tc>
        <w:tc>
          <w:tcPr>
            <w:tcW w:w="0" w:type="dxa"/>
            <w:vAlign w:val="bottom"/>
          </w:tcPr>
          <w:p>
            <w:pPr>
              <w:spacing w:after="0"/>
              <w:rPr>
                <w:sz w:val="1"/>
                <w:szCs w:val="1"/>
                <w:color w:val="auto"/>
              </w:rPr>
            </w:pPr>
          </w:p>
        </w:tc>
      </w:tr>
      <w:tr>
        <w:trPr>
          <w:trHeight w:val="208"/>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Defined benefit obligation as of December 31</w:t>
            </w:r>
          </w:p>
        </w:tc>
        <w:tc>
          <w:tcPr>
            <w:tcW w:w="19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(48,261)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(52,455)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(41,060)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1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7"/>
                <w:szCs w:val="17"/>
                <w:color w:val="auto"/>
              </w:rPr>
              <w:t>F-35</w:t>
            </w: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2"/>
        </w:trPr>
        <w:tc>
          <w:tcPr>
            <w:tcW w:w="3880" w:type="dxa"/>
            <w:vAlign w:val="bottom"/>
          </w:tcPr>
          <w:p>
            <w:pPr>
              <w:spacing w:after="0"/>
              <w:rPr>
                <w:sz w:val="24"/>
                <w:szCs w:val="24"/>
                <w:color w:val="auto"/>
              </w:rPr>
            </w:pPr>
          </w:p>
        </w:tc>
        <w:tc>
          <w:tcPr>
            <w:tcW w:w="218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38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91" w:right="1440" w:bottom="1440" w:gutter="0" w:footer="0" w:header="0"/>
        </w:sectPr>
      </w:pPr>
    </w:p>
    <w:bookmarkStart w:id="200" w:name="page201"/>
    <w:bookmarkEnd w:id="20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B.</w:t>
      </w:r>
      <w:r>
        <w:rPr>
          <w:sz w:val="20"/>
          <w:szCs w:val="20"/>
          <w:color w:val="auto"/>
        </w:rPr>
        <w:tab/>
      </w:r>
      <w:r>
        <w:rPr>
          <w:rFonts w:ascii="Times New Roman" w:cs="Times New Roman" w:eastAsia="Times New Roman" w:hAnsi="Times New Roman"/>
          <w:sz w:val="16"/>
          <w:szCs w:val="16"/>
          <w:b w:val="1"/>
          <w:bCs w:val="1"/>
          <w:color w:val="auto"/>
        </w:rPr>
        <w:t>Change in fair value of plan assets</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5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For the Year Ended</w:t>
            </w:r>
          </w:p>
        </w:tc>
        <w:tc>
          <w:tcPr>
            <w:tcW w:w="700" w:type="dxa"/>
            <w:vAlign w:val="bottom"/>
          </w:tcPr>
          <w:p>
            <w:pPr>
              <w:spacing w:after="0"/>
              <w:rPr>
                <w:sz w:val="15"/>
                <w:szCs w:val="15"/>
                <w:color w:val="auto"/>
              </w:rPr>
            </w:pPr>
          </w:p>
        </w:tc>
      </w:tr>
      <w:tr>
        <w:trPr>
          <w:trHeight w:val="182"/>
        </w:trPr>
        <w:tc>
          <w:tcPr>
            <w:tcW w:w="5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r>
      <w:tr>
        <w:trPr>
          <w:trHeight w:val="178"/>
        </w:trPr>
        <w:tc>
          <w:tcPr>
            <w:tcW w:w="584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8"/>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Fair value of plan assets as of January 1</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43,611</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35,290</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29,197</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Employees’ contributions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1,396</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Employer’s contributions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1,853</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1,567</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Benefits (paid) / deposited</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(4,119)</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1,265</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Gains and (losses) on settlement / curtailment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(4,300)</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Return on plan assets excluding interest income</w:t>
            </w:r>
          </w:p>
        </w:tc>
        <w:tc>
          <w:tcPr>
            <w:tcW w:w="2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w:t>
            </w:r>
          </w:p>
        </w:tc>
        <w:tc>
          <w:tcPr>
            <w:tcW w:w="2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w:t>
            </w:r>
          </w:p>
        </w:tc>
      </w:tr>
      <w:tr>
        <w:trPr>
          <w:trHeight w:val="208"/>
        </w:trPr>
        <w:tc>
          <w:tcPr>
            <w:tcW w:w="58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Fair value of plan assets as of December 31</w:t>
            </w:r>
          </w:p>
        </w:tc>
        <w:tc>
          <w:tcPr>
            <w:tcW w:w="2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39,615</w:t>
            </w:r>
          </w:p>
        </w:tc>
        <w:tc>
          <w:tcPr>
            <w:tcW w:w="2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43,611</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35,290</w:t>
            </w:r>
          </w:p>
        </w:tc>
      </w:tr>
      <w:tr>
        <w:trPr>
          <w:trHeight w:val="20"/>
        </w:trPr>
        <w:tc>
          <w:tcPr>
            <w:tcW w:w="5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40" w:right="279" w:firstLine="305"/>
        <w:spacing w:after="0" w:line="277" w:lineRule="auto"/>
        <w:rPr>
          <w:sz w:val="20"/>
          <w:szCs w:val="20"/>
          <w:color w:val="auto"/>
        </w:rPr>
      </w:pPr>
      <w:r>
        <w:rPr>
          <w:rFonts w:ascii="Times New Roman" w:cs="Times New Roman" w:eastAsia="Times New Roman" w:hAnsi="Times New Roman"/>
          <w:sz w:val="17"/>
          <w:szCs w:val="17"/>
          <w:color w:val="auto"/>
        </w:rPr>
        <w:t>Expected contributions by the employer to be paid to the post-employment benefit plans during the annual period beginning after the end of the reporting period amount to approximately CHF 1.5 million.</w:t>
      </w:r>
    </w:p>
    <w:p>
      <w:pPr>
        <w:spacing w:after="0" w:line="154"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C.</w:t>
        <w:tab/>
        <w:t>Change in net defined benefit liability</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5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For the Year Ended</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84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8"/>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defined benefit liabilities as of January 1</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8,844</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5,770</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3,213</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Net pension cost through statement of income/(loss)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2,455</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Remeasurement through other comprehensive income/(loss)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1,353</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1,669</w:t>
            </w: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Employer’s contribution</w:t>
            </w:r>
          </w:p>
        </w:tc>
        <w:tc>
          <w:tcPr>
            <w:tcW w:w="2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(1,853)</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(1,567)</w:t>
            </w:r>
          </w:p>
        </w:tc>
        <w:tc>
          <w:tcPr>
            <w:tcW w:w="0" w:type="dxa"/>
            <w:vAlign w:val="bottom"/>
          </w:tcPr>
          <w:p>
            <w:pPr>
              <w:spacing w:after="0"/>
              <w:rPr>
                <w:sz w:val="1"/>
                <w:szCs w:val="1"/>
                <w:color w:val="auto"/>
              </w:rPr>
            </w:pPr>
          </w:p>
        </w:tc>
      </w:tr>
      <w:tr>
        <w:trPr>
          <w:trHeight w:val="208"/>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defined benefit liabilities as of December 31</w:t>
            </w: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8,645</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8,844</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5,770</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D.  Other comprehensive gains/(losses)</w:t>
            </w: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5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For the Year Ended</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84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8"/>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changes in demographic assumptions</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Effect of changes in financial assumptions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(2,652)</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(2,908)</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changes in experience assumptions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Return on plan assets excluding interest income</w:t>
            </w:r>
          </w:p>
        </w:tc>
        <w:tc>
          <w:tcPr>
            <w:tcW w:w="2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1,160</w:t>
            </w:r>
          </w:p>
        </w:tc>
        <w:tc>
          <w:tcPr>
            <w:tcW w:w="0" w:type="dxa"/>
            <w:vAlign w:val="bottom"/>
          </w:tcPr>
          <w:p>
            <w:pPr>
              <w:spacing w:after="0"/>
              <w:rPr>
                <w:sz w:val="1"/>
                <w:szCs w:val="1"/>
                <w:color w:val="auto"/>
              </w:rPr>
            </w:pPr>
          </w:p>
        </w:tc>
      </w:tr>
      <w:tr>
        <w:trPr>
          <w:trHeight w:val="208"/>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other comprehensive gain/(loss)</w:t>
            </w: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(1,353)</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(3,084)</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(1,669)</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40" w:right="399" w:firstLine="305"/>
        <w:spacing w:after="0" w:line="263" w:lineRule="auto"/>
        <w:rPr>
          <w:sz w:val="20"/>
          <w:szCs w:val="20"/>
          <w:color w:val="auto"/>
        </w:rPr>
      </w:pPr>
      <w:r>
        <w:rPr>
          <w:rFonts w:ascii="Times New Roman" w:cs="Times New Roman" w:eastAsia="Times New Roman" w:hAnsi="Times New Roman"/>
          <w:sz w:val="17"/>
          <w:szCs w:val="17"/>
          <w:color w:val="auto"/>
        </w:rPr>
        <w:t>In 2024, the change in experience assumptions mainly due to new active insured and pensioners. In 2025, the change in experience assumptions is mainly due to leavers after the restructuring. The experience changes are offset by an increase in the interest rate on savings capital which was updated based on emerging long-term trends of increased returns on capital.</w:t>
      </w:r>
    </w:p>
    <w:p>
      <w:pPr>
        <w:spacing w:after="0" w:line="170" w:lineRule="exact"/>
        <w:rPr>
          <w:sz w:val="20"/>
          <w:szCs w:val="20"/>
          <w:color w:val="auto"/>
        </w:rPr>
      </w:pPr>
    </w:p>
    <w:p>
      <w:pPr>
        <w:ind w:left="40" w:right="739" w:firstLine="305"/>
        <w:spacing w:after="0" w:line="262" w:lineRule="auto"/>
        <w:rPr>
          <w:sz w:val="20"/>
          <w:szCs w:val="20"/>
          <w:color w:val="auto"/>
        </w:rPr>
      </w:pPr>
      <w:r>
        <w:rPr>
          <w:rFonts w:ascii="Times New Roman" w:cs="Times New Roman" w:eastAsia="Times New Roman" w:hAnsi="Times New Roman"/>
          <w:sz w:val="17"/>
          <w:szCs w:val="17"/>
          <w:color w:val="auto"/>
        </w:rPr>
        <w:t>The fair value of the plan assets is the cash surrender value of the insurance with the insurance company (AXA). The investment strategy defined by the board of trustees follows a conservative profile.</w:t>
      </w:r>
    </w:p>
    <w:p>
      <w:pPr>
        <w:spacing w:after="0" w:line="170" w:lineRule="exact"/>
        <w:rPr>
          <w:sz w:val="20"/>
          <w:szCs w:val="20"/>
          <w:color w:val="auto"/>
        </w:rPr>
      </w:pPr>
    </w:p>
    <w:p>
      <w:pPr>
        <w:ind w:left="40" w:right="399" w:firstLine="305"/>
        <w:spacing w:after="0" w:line="277" w:lineRule="auto"/>
        <w:rPr>
          <w:sz w:val="20"/>
          <w:szCs w:val="20"/>
          <w:color w:val="auto"/>
        </w:rPr>
      </w:pPr>
      <w:r>
        <w:rPr>
          <w:rFonts w:ascii="Times New Roman" w:cs="Times New Roman" w:eastAsia="Times New Roman" w:hAnsi="Times New Roman"/>
          <w:sz w:val="17"/>
          <w:szCs w:val="17"/>
          <w:color w:val="auto"/>
        </w:rPr>
        <w:t>The weighted-average duration of the defined benefit obligation is 16.1 years and 16.3 years as of December 31, 2025 and 2024, respectively.</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4">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201" w:name="page202"/>
    <w:bookmarkEnd w:id="20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139" w:firstLine="305"/>
        <w:spacing w:after="0" w:line="277" w:lineRule="auto"/>
        <w:rPr>
          <w:sz w:val="20"/>
          <w:szCs w:val="20"/>
          <w:color w:val="auto"/>
        </w:rPr>
      </w:pPr>
      <w:r>
        <w:rPr>
          <w:rFonts w:ascii="Times New Roman" w:cs="Times New Roman" w:eastAsia="Times New Roman" w:hAnsi="Times New Roman"/>
          <w:sz w:val="17"/>
          <w:szCs w:val="17"/>
          <w:color w:val="auto"/>
        </w:rPr>
        <w:t>The actuarial assumptions used for the calculation of the pension cost and the defined benefit obligation of the defined benefit pension plan for the years ended December 31, 2025, 2024 and 2023, respectively, are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4"/>
        </w:trPr>
        <w:tc>
          <w:tcPr>
            <w:tcW w:w="37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76"/>
        </w:trPr>
        <w:tc>
          <w:tcPr>
            <w:tcW w:w="3760" w:type="dxa"/>
            <w:vAlign w:val="bottom"/>
            <w:gridSpan w:val="2"/>
          </w:tcPr>
          <w:p>
            <w:pPr>
              <w:ind w:left="36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240" w:type="dxa"/>
            <w:vAlign w:val="bottom"/>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r>
      <w:tr>
        <w:trPr>
          <w:trHeight w:val="208"/>
        </w:trPr>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Discount rate</w:t>
            </w:r>
          </w:p>
        </w:tc>
        <w:tc>
          <w:tcPr>
            <w:tcW w:w="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24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84"/>
              </w:rPr>
              <w:t>%</w:t>
            </w:r>
          </w:p>
        </w:tc>
        <w:tc>
          <w:tcPr>
            <w:tcW w:w="1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40" w:type="dxa"/>
            <w:vAlign w:val="bottom"/>
            <w:tcBorders>
              <w:top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84"/>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Rate of future increase in compensations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w w:val="84"/>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28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Rate of future increase in current pensions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84"/>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w:t>
            </w:r>
          </w:p>
        </w:tc>
        <w:tc>
          <w:tcPr>
            <w:tcW w:w="2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 rate on retirement savings capital</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w w:val="84"/>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28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Mortality and disability rates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2020 GT (CMI)</w:t>
            </w: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BVG 2020 GT (CMI)</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BVG 2020 GT (CMI)</w:t>
            </w:r>
          </w:p>
        </w:tc>
        <w:tc>
          <w:tcPr>
            <w:tcW w:w="160" w:type="dxa"/>
            <w:vAlign w:val="bottom"/>
            <w:shd w:val="clear" w:color="auto" w:fill="CCEEFF"/>
          </w:tcPr>
          <w:p>
            <w:pPr>
              <w:spacing w:after="0"/>
              <w:rPr>
                <w:sz w:val="18"/>
                <w:szCs w:val="18"/>
                <w:color w:val="auto"/>
              </w:rPr>
            </w:pPr>
          </w:p>
        </w:tc>
      </w:tr>
    </w:tbl>
    <w:p>
      <w:pPr>
        <w:spacing w:after="0" w:line="199" w:lineRule="exact"/>
        <w:rPr>
          <w:sz w:val="20"/>
          <w:szCs w:val="20"/>
          <w:color w:val="auto"/>
        </w:rPr>
      </w:pPr>
    </w:p>
    <w:p>
      <w:pPr>
        <w:ind w:left="40" w:right="119" w:firstLine="305"/>
        <w:spacing w:after="0" w:line="277" w:lineRule="auto"/>
        <w:rPr>
          <w:sz w:val="20"/>
          <w:szCs w:val="20"/>
          <w:color w:val="auto"/>
        </w:rPr>
      </w:pPr>
      <w:r>
        <w:rPr>
          <w:rFonts w:ascii="Times New Roman" w:cs="Times New Roman" w:eastAsia="Times New Roman" w:hAnsi="Times New Roman"/>
          <w:sz w:val="17"/>
          <w:szCs w:val="17"/>
          <w:color w:val="auto"/>
        </w:rPr>
        <w:t>In defining the benefits, the minimum requirements of the Swiss BVG and its implementing provisions must be observed. The BVG defines the minimum pensionable salary and the minimum retirement credits.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 quantitative sensitivity analysis for significant assumptions as of December 31, 2025 is shown below:</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Interest rate on</w:t>
            </w:r>
          </w:p>
        </w:tc>
      </w:tr>
      <w:tr>
        <w:trPr>
          <w:trHeight w:val="184"/>
        </w:trPr>
        <w:tc>
          <w:tcPr>
            <w:tcW w:w="2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Discount rate</w:t>
            </w:r>
          </w:p>
        </w:tc>
        <w:tc>
          <w:tcPr>
            <w:tcW w:w="100" w:type="dxa"/>
            <w:vAlign w:val="bottom"/>
          </w:tcPr>
          <w:p>
            <w:pPr>
              <w:spacing w:after="0"/>
              <w:rPr>
                <w:sz w:val="15"/>
                <w:szCs w:val="15"/>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Future salary increase</w:t>
            </w:r>
          </w:p>
        </w:tc>
        <w:tc>
          <w:tcPr>
            <w:tcW w:w="160" w:type="dxa"/>
            <w:vAlign w:val="bottom"/>
          </w:tcPr>
          <w:p>
            <w:pPr>
              <w:spacing w:after="0"/>
              <w:rPr>
                <w:sz w:val="15"/>
                <w:szCs w:val="15"/>
                <w:color w:val="auto"/>
              </w:rPr>
            </w:pPr>
          </w:p>
        </w:tc>
        <w:tc>
          <w:tcPr>
            <w:tcW w:w="142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Future pension cost</w:t>
            </w:r>
          </w:p>
        </w:tc>
        <w:tc>
          <w:tcPr>
            <w:tcW w:w="160" w:type="dxa"/>
            <w:vAlign w:val="bottom"/>
          </w:tcPr>
          <w:p>
            <w:pPr>
              <w:spacing w:after="0"/>
              <w:rPr>
                <w:sz w:val="15"/>
                <w:szCs w:val="15"/>
                <w:color w:val="auto"/>
              </w:rPr>
            </w:pPr>
          </w:p>
        </w:tc>
        <w:tc>
          <w:tcPr>
            <w:tcW w:w="14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savings capital</w:t>
            </w:r>
          </w:p>
        </w:tc>
      </w:tr>
      <w:tr>
        <w:trPr>
          <w:trHeight w:val="164"/>
        </w:trPr>
        <w:tc>
          <w:tcPr>
            <w:tcW w:w="2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0.5%</w:t>
            </w:r>
          </w:p>
        </w:tc>
        <w:tc>
          <w:tcPr>
            <w:tcW w:w="78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0.5%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0.5%</w:t>
            </w:r>
          </w:p>
        </w:tc>
        <w:tc>
          <w:tcPr>
            <w:tcW w:w="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2"/>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0.5%</w:t>
            </w:r>
          </w:p>
        </w:tc>
        <w:tc>
          <w:tcPr>
            <w:tcW w:w="160" w:type="dxa"/>
            <w:vAlign w:val="bottom"/>
          </w:tcPr>
          <w:p>
            <w:pPr>
              <w:spacing w:after="0"/>
              <w:rPr>
                <w:sz w:val="14"/>
                <w:szCs w:val="14"/>
                <w:color w:val="auto"/>
              </w:rPr>
            </w:pPr>
          </w:p>
        </w:tc>
        <w:tc>
          <w:tcPr>
            <w:tcW w:w="64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0.5%</w:t>
            </w:r>
          </w:p>
        </w:tc>
        <w:tc>
          <w:tcPr>
            <w:tcW w:w="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0.5%</w:t>
            </w:r>
          </w:p>
        </w:tc>
        <w:tc>
          <w:tcPr>
            <w:tcW w:w="160" w:type="dxa"/>
            <w:vAlign w:val="bottom"/>
          </w:tcPr>
          <w:p>
            <w:pPr>
              <w:spacing w:after="0"/>
              <w:rPr>
                <w:sz w:val="14"/>
                <w:szCs w:val="14"/>
                <w:color w:val="auto"/>
              </w:rPr>
            </w:pPr>
          </w:p>
        </w:tc>
        <w:tc>
          <w:tcPr>
            <w:tcW w:w="62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0.5%</w:t>
            </w:r>
          </w:p>
        </w:tc>
        <w:tc>
          <w:tcPr>
            <w:tcW w:w="78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0.5%</w:t>
            </w:r>
          </w:p>
        </w:tc>
      </w:tr>
      <w:tr>
        <w:trPr>
          <w:trHeight w:val="184"/>
        </w:trPr>
        <w:tc>
          <w:tcPr>
            <w:tcW w:w="268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Assumptions</w:t>
            </w:r>
          </w:p>
        </w:tc>
        <w:tc>
          <w:tcPr>
            <w:tcW w:w="78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increase</w:t>
            </w: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decrease</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increase</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decrease</w:t>
            </w: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increase</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decrease</w:t>
            </w:r>
          </w:p>
        </w:tc>
        <w:tc>
          <w:tcPr>
            <w:tcW w:w="78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increase</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decrease</w:t>
            </w:r>
          </w:p>
        </w:tc>
      </w:tr>
      <w:tr>
        <w:trPr>
          <w:trHeight w:val="176"/>
        </w:trPr>
        <w:tc>
          <w:tcPr>
            <w:tcW w:w="26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CHF</w:t>
            </w:r>
          </w:p>
        </w:tc>
        <w:tc>
          <w:tcPr>
            <w:tcW w:w="160" w:type="dxa"/>
            <w:vAlign w:val="bottom"/>
          </w:tcPr>
          <w:p>
            <w:pPr>
              <w:spacing w:after="0"/>
              <w:rPr>
                <w:sz w:val="15"/>
                <w:szCs w:val="15"/>
                <w:color w:val="auto"/>
              </w:rPr>
            </w:pPr>
          </w:p>
        </w:tc>
        <w:tc>
          <w:tcPr>
            <w:tcW w:w="64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w w:val="75"/>
              </w:rPr>
              <w:t>thousands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Potential defined benefit obligation</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44,698</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52,332</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49,343</w:t>
            </w: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47,256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50,262</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46,435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49,613</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46,984</w:t>
            </w:r>
          </w:p>
        </w:tc>
      </w:tr>
      <w:tr>
        <w:trPr>
          <w:trHeight w:val="212"/>
        </w:trPr>
        <w:tc>
          <w:tcPr>
            <w:tcW w:w="2680" w:type="dxa"/>
            <w:vAlign w:val="bottom"/>
          </w:tcPr>
          <w:p>
            <w:pPr>
              <w:spacing w:after="0"/>
              <w:rPr>
                <w:sz w:val="20"/>
                <w:szCs w:val="20"/>
                <w:color w:val="auto"/>
              </w:rPr>
            </w:pPr>
            <w:r>
              <w:rPr>
                <w:rFonts w:ascii="Times New Roman" w:cs="Times New Roman" w:eastAsia="Times New Roman" w:hAnsi="Times New Roman"/>
                <w:sz w:val="17"/>
                <w:szCs w:val="17"/>
                <w:color w:val="auto"/>
              </w:rPr>
              <w:t>Decrease/(increase) from actual</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9"/>
        </w:trPr>
        <w:tc>
          <w:tcPr>
            <w:tcW w:w="2680" w:type="dxa"/>
            <w:vAlign w:val="bottom"/>
          </w:tcPr>
          <w:p>
            <w:pPr>
              <w:spacing w:after="0"/>
              <w:rPr>
                <w:sz w:val="20"/>
                <w:szCs w:val="20"/>
                <w:color w:val="auto"/>
              </w:rPr>
            </w:pPr>
            <w:r>
              <w:rPr>
                <w:rFonts w:ascii="Times New Roman" w:cs="Times New Roman" w:eastAsia="Times New Roman" w:hAnsi="Times New Roman"/>
                <w:sz w:val="17"/>
                <w:szCs w:val="17"/>
                <w:color w:val="auto"/>
              </w:rPr>
              <w:t>defined benefit obligation</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3,563</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(4,071)</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(1,082)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1,005</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(2,001)</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1,826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(1,352)</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1,277</w:t>
            </w:r>
          </w:p>
        </w:tc>
      </w:tr>
    </w:tbl>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 quantitative sensitivity analysis for significant assumptions as of December 31, 2024 is shown below:</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Interest rate on</w:t>
            </w:r>
          </w:p>
        </w:tc>
      </w:tr>
      <w:tr>
        <w:trPr>
          <w:trHeight w:val="184"/>
        </w:trPr>
        <w:tc>
          <w:tcPr>
            <w:tcW w:w="2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Discount rate</w:t>
            </w:r>
          </w:p>
        </w:tc>
        <w:tc>
          <w:tcPr>
            <w:tcW w:w="100" w:type="dxa"/>
            <w:vAlign w:val="bottom"/>
          </w:tcPr>
          <w:p>
            <w:pPr>
              <w:spacing w:after="0"/>
              <w:rPr>
                <w:sz w:val="15"/>
                <w:szCs w:val="15"/>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Future salary increase</w:t>
            </w:r>
          </w:p>
        </w:tc>
        <w:tc>
          <w:tcPr>
            <w:tcW w:w="160" w:type="dxa"/>
            <w:vAlign w:val="bottom"/>
          </w:tcPr>
          <w:p>
            <w:pPr>
              <w:spacing w:after="0"/>
              <w:rPr>
                <w:sz w:val="15"/>
                <w:szCs w:val="15"/>
                <w:color w:val="auto"/>
              </w:rPr>
            </w:pPr>
          </w:p>
        </w:tc>
        <w:tc>
          <w:tcPr>
            <w:tcW w:w="142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Future pension cost</w:t>
            </w:r>
          </w:p>
        </w:tc>
        <w:tc>
          <w:tcPr>
            <w:tcW w:w="160" w:type="dxa"/>
            <w:vAlign w:val="bottom"/>
          </w:tcPr>
          <w:p>
            <w:pPr>
              <w:spacing w:after="0"/>
              <w:rPr>
                <w:sz w:val="15"/>
                <w:szCs w:val="15"/>
                <w:color w:val="auto"/>
              </w:rPr>
            </w:pPr>
          </w:p>
        </w:tc>
        <w:tc>
          <w:tcPr>
            <w:tcW w:w="14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savings capital</w:t>
            </w:r>
          </w:p>
        </w:tc>
      </w:tr>
      <w:tr>
        <w:trPr>
          <w:trHeight w:val="164"/>
        </w:trPr>
        <w:tc>
          <w:tcPr>
            <w:tcW w:w="2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0.5%</w:t>
            </w:r>
          </w:p>
        </w:tc>
        <w:tc>
          <w:tcPr>
            <w:tcW w:w="78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0.5%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0.5%</w:t>
            </w:r>
          </w:p>
        </w:tc>
        <w:tc>
          <w:tcPr>
            <w:tcW w:w="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2"/>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0.5%</w:t>
            </w:r>
          </w:p>
        </w:tc>
        <w:tc>
          <w:tcPr>
            <w:tcW w:w="160" w:type="dxa"/>
            <w:vAlign w:val="bottom"/>
          </w:tcPr>
          <w:p>
            <w:pPr>
              <w:spacing w:after="0"/>
              <w:rPr>
                <w:sz w:val="14"/>
                <w:szCs w:val="14"/>
                <w:color w:val="auto"/>
              </w:rPr>
            </w:pPr>
          </w:p>
        </w:tc>
        <w:tc>
          <w:tcPr>
            <w:tcW w:w="64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0.5%</w:t>
            </w:r>
          </w:p>
        </w:tc>
        <w:tc>
          <w:tcPr>
            <w:tcW w:w="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0.5%</w:t>
            </w:r>
          </w:p>
        </w:tc>
        <w:tc>
          <w:tcPr>
            <w:tcW w:w="160" w:type="dxa"/>
            <w:vAlign w:val="bottom"/>
          </w:tcPr>
          <w:p>
            <w:pPr>
              <w:spacing w:after="0"/>
              <w:rPr>
                <w:sz w:val="14"/>
                <w:szCs w:val="14"/>
                <w:color w:val="auto"/>
              </w:rPr>
            </w:pPr>
          </w:p>
        </w:tc>
        <w:tc>
          <w:tcPr>
            <w:tcW w:w="62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0.5%</w:t>
            </w:r>
          </w:p>
        </w:tc>
        <w:tc>
          <w:tcPr>
            <w:tcW w:w="78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0.5%</w:t>
            </w:r>
          </w:p>
        </w:tc>
      </w:tr>
      <w:tr>
        <w:trPr>
          <w:trHeight w:val="184"/>
        </w:trPr>
        <w:tc>
          <w:tcPr>
            <w:tcW w:w="268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Assumptions</w:t>
            </w:r>
          </w:p>
        </w:tc>
        <w:tc>
          <w:tcPr>
            <w:tcW w:w="78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increase</w:t>
            </w: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decrease</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increase</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decrease</w:t>
            </w: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increase</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decrease</w:t>
            </w:r>
          </w:p>
        </w:tc>
        <w:tc>
          <w:tcPr>
            <w:tcW w:w="78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increase</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decrease</w:t>
            </w:r>
          </w:p>
        </w:tc>
      </w:tr>
      <w:tr>
        <w:trPr>
          <w:trHeight w:val="176"/>
        </w:trPr>
        <w:tc>
          <w:tcPr>
            <w:tcW w:w="26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CHF</w:t>
            </w:r>
          </w:p>
        </w:tc>
        <w:tc>
          <w:tcPr>
            <w:tcW w:w="160" w:type="dxa"/>
            <w:vAlign w:val="bottom"/>
          </w:tcPr>
          <w:p>
            <w:pPr>
              <w:spacing w:after="0"/>
              <w:rPr>
                <w:sz w:val="15"/>
                <w:szCs w:val="15"/>
                <w:color w:val="auto"/>
              </w:rPr>
            </w:pPr>
          </w:p>
        </w:tc>
        <w:tc>
          <w:tcPr>
            <w:tcW w:w="64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w w:val="75"/>
              </w:rPr>
              <w:t>thousands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Potential defined benefit obligation</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48,532</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56,936</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53,728</w:t>
            </w: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51,262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54,683</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50,423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53,865</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51,118</w:t>
            </w:r>
          </w:p>
        </w:tc>
      </w:tr>
      <w:tr>
        <w:trPr>
          <w:trHeight w:val="212"/>
        </w:trPr>
        <w:tc>
          <w:tcPr>
            <w:tcW w:w="2680" w:type="dxa"/>
            <w:vAlign w:val="bottom"/>
          </w:tcPr>
          <w:p>
            <w:pPr>
              <w:spacing w:after="0"/>
              <w:rPr>
                <w:sz w:val="20"/>
                <w:szCs w:val="20"/>
                <w:color w:val="auto"/>
              </w:rPr>
            </w:pPr>
            <w:r>
              <w:rPr>
                <w:rFonts w:ascii="Times New Roman" w:cs="Times New Roman" w:eastAsia="Times New Roman" w:hAnsi="Times New Roman"/>
                <w:sz w:val="17"/>
                <w:szCs w:val="17"/>
                <w:color w:val="auto"/>
              </w:rPr>
              <w:t>Decrease/(increase) from actual</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9"/>
        </w:trPr>
        <w:tc>
          <w:tcPr>
            <w:tcW w:w="2680" w:type="dxa"/>
            <w:vAlign w:val="bottom"/>
          </w:tcPr>
          <w:p>
            <w:pPr>
              <w:spacing w:after="0"/>
              <w:rPr>
                <w:sz w:val="20"/>
                <w:szCs w:val="20"/>
                <w:color w:val="auto"/>
              </w:rPr>
            </w:pPr>
            <w:r>
              <w:rPr>
                <w:rFonts w:ascii="Times New Roman" w:cs="Times New Roman" w:eastAsia="Times New Roman" w:hAnsi="Times New Roman"/>
                <w:sz w:val="17"/>
                <w:szCs w:val="17"/>
                <w:color w:val="auto"/>
              </w:rPr>
              <w:t>defined benefit obligation</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3,923</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(4,481)</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(1,273)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1,193</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(2,228)</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2,032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(1,410)</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1,337</w:t>
            </w:r>
          </w:p>
        </w:tc>
      </w:tr>
    </w:tbl>
    <w:p>
      <w:pPr>
        <w:spacing w:after="0" w:line="187" w:lineRule="exact"/>
        <w:rPr>
          <w:sz w:val="20"/>
          <w:szCs w:val="20"/>
          <w:color w:val="auto"/>
        </w:rPr>
      </w:pPr>
    </w:p>
    <w:p>
      <w:pPr>
        <w:ind w:left="40" w:right="179" w:firstLine="305"/>
        <w:spacing w:after="0" w:line="263" w:lineRule="auto"/>
        <w:rPr>
          <w:sz w:val="20"/>
          <w:szCs w:val="20"/>
          <w:color w:val="auto"/>
        </w:rPr>
      </w:pPr>
      <w:r>
        <w:rPr>
          <w:rFonts w:ascii="Times New Roman" w:cs="Times New Roman" w:eastAsia="Times New Roman" w:hAnsi="Times New Roman"/>
          <w:sz w:val="17"/>
          <w:szCs w:val="17"/>
          <w:color w:val="auto"/>
        </w:rPr>
        <w:t>The sensitivity analyses above are subject to limitations and have been determined based on a method that extrapolates the impact on net defined benefit obligation as a result of reasonable changes in key assumptions occurring at the end of the reporting period.</w:t>
      </w:r>
    </w:p>
    <w:p>
      <w:pPr>
        <w:spacing w:after="0" w:line="166" w:lineRule="exact"/>
        <w:rPr>
          <w:sz w:val="20"/>
          <w:szCs w:val="20"/>
          <w:color w:val="auto"/>
        </w:rPr>
      </w:pPr>
    </w:p>
    <w:p>
      <w:pPr>
        <w:ind w:left="340" w:right="6739" w:hanging="295"/>
        <w:spacing w:after="0" w:line="524" w:lineRule="auto"/>
        <w:tabs>
          <w:tab w:leader="none" w:pos="340" w:val="left"/>
        </w:tabs>
        <w:numPr>
          <w:ilvl w:val="0"/>
          <w:numId w:val="1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Share-based compensation </w:t>
      </w:r>
      <w:r>
        <w:rPr>
          <w:rFonts w:ascii="Times New Roman" w:cs="Times New Roman" w:eastAsia="Times New Roman" w:hAnsi="Times New Roman"/>
          <w:sz w:val="16"/>
          <w:szCs w:val="16"/>
          <w:i w:val="1"/>
          <w:iCs w:val="1"/>
          <w:color w:val="auto"/>
        </w:rPr>
        <w:t>Share-based option awards</w:t>
      </w:r>
    </w:p>
    <w:p>
      <w:pPr>
        <w:ind w:left="40" w:right="279" w:firstLine="305"/>
        <w:spacing w:after="0" w:line="277" w:lineRule="auto"/>
        <w:rPr>
          <w:sz w:val="20"/>
          <w:szCs w:val="20"/>
          <w:color w:val="auto"/>
        </w:rPr>
      </w:pPr>
      <w:r>
        <w:rPr>
          <w:rFonts w:ascii="Times New Roman" w:cs="Times New Roman" w:eastAsia="Times New Roman" w:hAnsi="Times New Roman"/>
          <w:sz w:val="17"/>
          <w:szCs w:val="17"/>
          <w:color w:val="auto"/>
        </w:rPr>
        <w:t>As of December 31, 2025, there are equity-based instruments outstanding that the Company has granted under two different plans.</w:t>
      </w:r>
    </w:p>
    <w:p>
      <w:pPr>
        <w:spacing w:after="0" w:line="158" w:lineRule="exact"/>
        <w:rPr>
          <w:sz w:val="20"/>
          <w:szCs w:val="20"/>
          <w:color w:val="auto"/>
        </w:rPr>
      </w:pPr>
    </w:p>
    <w:p>
      <w:pPr>
        <w:ind w:left="40" w:right="79" w:firstLine="305"/>
        <w:spacing w:after="0" w:line="252" w:lineRule="auto"/>
        <w:rPr>
          <w:sz w:val="20"/>
          <w:szCs w:val="20"/>
          <w:color w:val="auto"/>
        </w:rPr>
      </w:pPr>
      <w:r>
        <w:rPr>
          <w:rFonts w:ascii="Times New Roman" w:cs="Times New Roman" w:eastAsia="Times New Roman" w:hAnsi="Times New Roman"/>
          <w:sz w:val="17"/>
          <w:szCs w:val="17"/>
          <w:color w:val="auto"/>
        </w:rPr>
        <w:t>The Company’s 2016 Share Option and Incentive Plan (SOIP) was approved by the shareholders at the ordinary shareholders’ meeting in November 2016. The 2016 Plan authorizes the grant of incentive and non-qualified share options, share appreciation rights, restricted share awards, restricted share units, unrestricted share awards, performance share awards, performance-based awards to covered employees and dividend equivalent rights. The Company only grants equity-based instruments from the SOIP as of December 31, 2025.</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5">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202" w:name="page203"/>
    <w:bookmarkEnd w:id="20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summarizes equity-settled share option grants for plans that existed during the period:</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580" w:type="dxa"/>
            <w:vAlign w:val="bottom"/>
          </w:tcPr>
          <w:p>
            <w:pPr>
              <w:spacing w:after="0"/>
              <w:rPr>
                <w:sz w:val="15"/>
                <w:szCs w:val="15"/>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8"/>
        </w:trPr>
        <w:tc>
          <w:tcPr>
            <w:tcW w:w="3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options awarded</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6"/>
              </w:rPr>
              <w:t>Contractual</w:t>
            </w:r>
          </w:p>
        </w:tc>
      </w:tr>
      <w:tr>
        <w:trPr>
          <w:trHeight w:val="184"/>
        </w:trPr>
        <w:tc>
          <w:tcPr>
            <w:tcW w:w="3760" w:type="dxa"/>
            <w:vAlign w:val="bottom"/>
            <w:gridSpan w:val="3"/>
          </w:tcPr>
          <w:p>
            <w:pPr>
              <w:ind w:left="166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(since inception)</w:t>
            </w:r>
          </w:p>
        </w:tc>
        <w:tc>
          <w:tcPr>
            <w:tcW w:w="200" w:type="dxa"/>
            <w:vAlign w:val="bottom"/>
          </w:tcPr>
          <w:p>
            <w:pPr>
              <w:spacing w:after="0"/>
              <w:rPr>
                <w:sz w:val="15"/>
                <w:szCs w:val="15"/>
                <w:color w:val="auto"/>
              </w:rPr>
            </w:pPr>
          </w:p>
        </w:tc>
        <w:tc>
          <w:tcPr>
            <w:tcW w:w="234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Vesting conditions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6"/>
              </w:rPr>
              <w:t>life of options</w:t>
            </w:r>
          </w:p>
        </w:tc>
      </w:tr>
      <w:tr>
        <w:trPr>
          <w:trHeight w:val="214"/>
        </w:trPr>
        <w:tc>
          <w:tcPr>
            <w:tcW w:w="3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option plan C1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6,775,250</w:t>
            </w:r>
          </w:p>
        </w:tc>
        <w:tc>
          <w:tcPr>
            <w:tcW w:w="20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4 years’ service from grant date</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center"/>
              <w:ind w:right="103"/>
              <w:spacing w:after="0"/>
              <w:rPr>
                <w:sz w:val="20"/>
                <w:szCs w:val="20"/>
                <w:color w:val="auto"/>
              </w:rPr>
            </w:pPr>
            <w:r>
              <w:rPr>
                <w:rFonts w:ascii="Times New Roman" w:cs="Times New Roman" w:eastAsia="Times New Roman" w:hAnsi="Times New Roman"/>
                <w:sz w:val="17"/>
                <w:szCs w:val="17"/>
                <w:color w:val="auto"/>
              </w:rPr>
              <w:t>10 years</w:t>
            </w:r>
          </w:p>
        </w:tc>
      </w:tr>
      <w:tr>
        <w:trPr>
          <w:trHeight w:val="216"/>
        </w:trPr>
        <w:tc>
          <w:tcPr>
            <w:tcW w:w="3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2016 SOIP:</w:t>
            </w:r>
          </w:p>
        </w:tc>
        <w:tc>
          <w:tcPr>
            <w:tcW w:w="100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563"/>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3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Executives and directors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5,869,455</w:t>
            </w:r>
          </w:p>
        </w:tc>
        <w:tc>
          <w:tcPr>
            <w:tcW w:w="20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1 year, 3 year and 4 years’ service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right="103"/>
              <w:spacing w:after="0"/>
              <w:rPr>
                <w:sz w:val="20"/>
                <w:szCs w:val="20"/>
                <w:color w:val="auto"/>
              </w:rPr>
            </w:pPr>
            <w:r>
              <w:rPr>
                <w:rFonts w:ascii="Times New Roman" w:cs="Times New Roman" w:eastAsia="Times New Roman" w:hAnsi="Times New Roman"/>
                <w:sz w:val="17"/>
                <w:szCs w:val="17"/>
                <w:color w:val="auto"/>
              </w:rPr>
              <w:t>10 years</w:t>
            </w:r>
          </w:p>
        </w:tc>
      </w:tr>
      <w:tr>
        <w:trPr>
          <w:trHeight w:val="216"/>
        </w:trPr>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from the date of grant, quarterly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0"/>
        </w:trPr>
        <w:tc>
          <w:tcPr>
            <w:tcW w:w="3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and annually</w:t>
            </w: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2"/>
        </w:trPr>
        <w:tc>
          <w:tcPr>
            <w:tcW w:w="3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Employees</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1,888,258</w:t>
            </w:r>
          </w:p>
        </w:tc>
        <w:tc>
          <w:tcPr>
            <w:tcW w:w="20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4 years’ service from the date of</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103"/>
              <w:spacing w:after="0"/>
              <w:rPr>
                <w:sz w:val="20"/>
                <w:szCs w:val="20"/>
                <w:color w:val="auto"/>
              </w:rPr>
            </w:pPr>
            <w:r>
              <w:rPr>
                <w:rFonts w:ascii="Times New Roman" w:cs="Times New Roman" w:eastAsia="Times New Roman" w:hAnsi="Times New Roman"/>
                <w:sz w:val="17"/>
                <w:szCs w:val="17"/>
                <w:color w:val="auto"/>
              </w:rPr>
              <w:t>10 years</w:t>
            </w:r>
          </w:p>
        </w:tc>
      </w:tr>
      <w:tr>
        <w:trPr>
          <w:trHeight w:val="219"/>
        </w:trPr>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grant, annually</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bl>
    <w:p>
      <w:pPr>
        <w:spacing w:after="0" w:line="187" w:lineRule="exact"/>
        <w:rPr>
          <w:sz w:val="20"/>
          <w:szCs w:val="20"/>
          <w:color w:val="auto"/>
        </w:rPr>
      </w:pPr>
    </w:p>
    <w:p>
      <w:pPr>
        <w:ind w:left="40" w:right="239" w:firstLine="305"/>
        <w:spacing w:after="0" w:line="277" w:lineRule="auto"/>
        <w:rPr>
          <w:sz w:val="20"/>
          <w:szCs w:val="20"/>
          <w:color w:val="auto"/>
        </w:rPr>
      </w:pPr>
      <w:r>
        <w:rPr>
          <w:rFonts w:ascii="Times New Roman" w:cs="Times New Roman" w:eastAsia="Times New Roman" w:hAnsi="Times New Roman"/>
          <w:sz w:val="17"/>
          <w:szCs w:val="17"/>
          <w:color w:val="auto"/>
        </w:rPr>
        <w:t>The number and weighted-average exercise prices (in CHF) of options under the share option programs for Plans C1 and the 2016 SOIP are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6000" w:type="dxa"/>
            <w:vAlign w:val="bottom"/>
          </w:tcPr>
          <w:p>
            <w:pPr>
              <w:ind w:left="590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  Weighted-</w:t>
            </w:r>
          </w:p>
        </w:tc>
        <w:tc>
          <w:tcPr>
            <w:tcW w:w="2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0" w:type="dxa"/>
            <w:vAlign w:val="bottom"/>
          </w:tcPr>
          <w:p>
            <w:pPr>
              <w:spacing w:after="0"/>
              <w:rPr>
                <w:sz w:val="1"/>
                <w:szCs w:val="1"/>
                <w:color w:val="auto"/>
              </w:rPr>
            </w:pPr>
          </w:p>
        </w:tc>
      </w:tr>
      <w:tr>
        <w:trPr>
          <w:trHeight w:val="178"/>
        </w:trPr>
        <w:tc>
          <w:tcPr>
            <w:tcW w:w="6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average</w:t>
            </w:r>
          </w:p>
        </w:tc>
        <w:tc>
          <w:tcPr>
            <w:tcW w:w="2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average</w:t>
            </w:r>
          </w:p>
        </w:tc>
        <w:tc>
          <w:tcPr>
            <w:tcW w:w="0" w:type="dxa"/>
            <w:vAlign w:val="bottom"/>
          </w:tcPr>
          <w:p>
            <w:pPr>
              <w:spacing w:after="0"/>
              <w:rPr>
                <w:sz w:val="1"/>
                <w:szCs w:val="1"/>
                <w:color w:val="auto"/>
              </w:rPr>
            </w:pPr>
          </w:p>
        </w:tc>
      </w:tr>
      <w:tr>
        <w:trPr>
          <w:trHeight w:val="178"/>
        </w:trPr>
        <w:tc>
          <w:tcPr>
            <w:tcW w:w="6000" w:type="dxa"/>
            <w:vAlign w:val="bottom"/>
          </w:tcPr>
          <w:p>
            <w:pPr>
              <w:spacing w:after="0"/>
              <w:rPr>
                <w:sz w:val="15"/>
                <w:szCs w:val="15"/>
                <w:color w:val="auto"/>
              </w:rPr>
            </w:pPr>
          </w:p>
        </w:tc>
        <w:tc>
          <w:tcPr>
            <w:tcW w:w="84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exercise price</w:t>
            </w:r>
          </w:p>
        </w:tc>
        <w:tc>
          <w:tcPr>
            <w:tcW w:w="2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remaining</w:t>
            </w:r>
          </w:p>
        </w:tc>
        <w:tc>
          <w:tcPr>
            <w:tcW w:w="0" w:type="dxa"/>
            <w:vAlign w:val="bottom"/>
          </w:tcPr>
          <w:p>
            <w:pPr>
              <w:spacing w:after="0"/>
              <w:rPr>
                <w:sz w:val="1"/>
                <w:szCs w:val="1"/>
                <w:color w:val="auto"/>
              </w:rPr>
            </w:pPr>
          </w:p>
        </w:tc>
      </w:tr>
      <w:tr>
        <w:trPr>
          <w:trHeight w:val="189"/>
        </w:trPr>
        <w:tc>
          <w:tcPr>
            <w:tcW w:w="6000" w:type="dxa"/>
            <w:vAlign w:val="bottom"/>
          </w:tcPr>
          <w:p>
            <w:pPr>
              <w:spacing w:after="0"/>
              <w:rPr>
                <w:sz w:val="16"/>
                <w:szCs w:val="16"/>
                <w:color w:val="auto"/>
              </w:rPr>
            </w:pPr>
          </w:p>
        </w:tc>
        <w:tc>
          <w:tcPr>
            <w:tcW w:w="840" w:type="dxa"/>
            <w:vAlign w:val="bottom"/>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(CHF)</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 </w:t>
            </w:r>
            <w:r>
              <w:rPr>
                <w:rFonts w:ascii="Times New Roman" w:cs="Times New Roman" w:eastAsia="Times New Roman" w:hAnsi="Times New Roman"/>
                <w:sz w:val="14"/>
                <w:szCs w:val="14"/>
                <w:b w:val="1"/>
                <w:bCs w:val="1"/>
                <w:color w:val="auto"/>
              </w:rPr>
              <w:t>term (years)</w:t>
            </w:r>
          </w:p>
        </w:tc>
        <w:tc>
          <w:tcPr>
            <w:tcW w:w="0" w:type="dxa"/>
            <w:vAlign w:val="bottom"/>
          </w:tcPr>
          <w:p>
            <w:pPr>
              <w:spacing w:after="0"/>
              <w:rPr>
                <w:sz w:val="1"/>
                <w:szCs w:val="1"/>
                <w:color w:val="auto"/>
              </w:rPr>
            </w:pPr>
          </w:p>
        </w:tc>
      </w:tr>
      <w:tr>
        <w:trPr>
          <w:trHeight w:val="209"/>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January 1, 2023</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4,261,017</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7"/>
                <w:szCs w:val="17"/>
                <w:color w:val="auto"/>
              </w:rPr>
              <w:t>Forfeited during the year</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(824,084)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 during the year</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(42,037)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7"/>
                <w:szCs w:val="17"/>
                <w:color w:val="auto"/>
              </w:rPr>
              <w:t>Granted during the year</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1,554,281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December 31, 2023</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4,949,177</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248"/>
        </w:trPr>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Exercisable at December 31, 2023</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3,022,345</w:t>
            </w:r>
          </w:p>
        </w:tc>
        <w:tc>
          <w:tcPr>
            <w:tcW w:w="2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4.88</w:t>
            </w:r>
          </w:p>
        </w:tc>
        <w:tc>
          <w:tcPr>
            <w:tcW w:w="2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0" w:type="dxa"/>
            <w:vAlign w:val="bottom"/>
          </w:tcPr>
          <w:p>
            <w:pPr>
              <w:spacing w:after="0"/>
              <w:rPr>
                <w:sz w:val="1"/>
                <w:szCs w:val="1"/>
                <w:color w:val="auto"/>
              </w:rPr>
            </w:pPr>
          </w:p>
        </w:tc>
      </w:tr>
      <w:tr>
        <w:trPr>
          <w:trHeight w:val="194"/>
        </w:trPr>
        <w:tc>
          <w:tcPr>
            <w:tcW w:w="60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Outstanding at January 1, 2024</w:t>
            </w:r>
          </w:p>
        </w:tc>
        <w:tc>
          <w:tcPr>
            <w:tcW w:w="8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4,949,177</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4.11</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7"/>
                <w:szCs w:val="17"/>
                <w:color w:val="auto"/>
              </w:rPr>
              <w:t>Forfeited during the year</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(135,118)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Expired during the year</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(205,634)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7"/>
                <w:szCs w:val="17"/>
                <w:color w:val="auto"/>
              </w:rPr>
              <w:t>Exercised during the year</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Granted during the year</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406,680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Outstanding at December 31, 2024</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5,010,827</w:t>
            </w:r>
          </w:p>
        </w:tc>
        <w:tc>
          <w:tcPr>
            <w:tcW w:w="2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20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08"/>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Exercisable at December 31, 2024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4,097,932</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Outstanding at January 1, 2025</w:t>
            </w:r>
          </w:p>
        </w:tc>
        <w:tc>
          <w:tcPr>
            <w:tcW w:w="8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00" w:type="dxa"/>
            <w:vAlign w:val="bottom"/>
            <w:vMerge w:val="continue"/>
          </w:tcPr>
          <w:p>
            <w:pPr>
              <w:spacing w:after="0"/>
              <w:rPr>
                <w:sz w:val="16"/>
                <w:szCs w:val="16"/>
                <w:color w:val="auto"/>
              </w:rPr>
            </w:pPr>
          </w:p>
        </w:tc>
        <w:tc>
          <w:tcPr>
            <w:tcW w:w="8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5,010,827</w:t>
            </w:r>
          </w:p>
        </w:tc>
        <w:tc>
          <w:tcPr>
            <w:tcW w:w="200" w:type="dxa"/>
            <w:vAlign w:val="bottom"/>
          </w:tcPr>
          <w:p>
            <w:pPr>
              <w:spacing w:after="0"/>
              <w:rPr>
                <w:sz w:val="16"/>
                <w:szCs w:val="16"/>
                <w:color w:val="auto"/>
              </w:rPr>
            </w:pPr>
          </w:p>
        </w:tc>
        <w:tc>
          <w:tcPr>
            <w:tcW w:w="8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4.50</w:t>
            </w:r>
          </w:p>
        </w:tc>
        <w:tc>
          <w:tcPr>
            <w:tcW w:w="200" w:type="dxa"/>
            <w:vAlign w:val="bottom"/>
          </w:tcPr>
          <w:p>
            <w:pPr>
              <w:spacing w:after="0"/>
              <w:rPr>
                <w:sz w:val="16"/>
                <w:szCs w:val="16"/>
                <w:color w:val="auto"/>
              </w:rPr>
            </w:pP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Forfeited during the year</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(69,422)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7"/>
                <w:szCs w:val="17"/>
                <w:color w:val="auto"/>
              </w:rPr>
              <w:t>Expired during the year</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(89,722)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 during the year</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(41,140)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0.23</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7"/>
                <w:szCs w:val="17"/>
                <w:color w:val="auto"/>
              </w:rPr>
              <w:t>Granted during the year</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708,021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December 31, 2025</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5,518,564</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08"/>
        </w:trPr>
        <w:tc>
          <w:tcPr>
            <w:tcW w:w="6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Exercisable at December 31, 2025</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4,815,928</w:t>
            </w:r>
          </w:p>
        </w:tc>
        <w:tc>
          <w:tcPr>
            <w:tcW w:w="2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4.54</w:t>
            </w:r>
          </w:p>
        </w:tc>
        <w:tc>
          <w:tcPr>
            <w:tcW w:w="2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329565</wp:posOffset>
            </wp:positionV>
            <wp:extent cx="5657850" cy="241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6">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203" w:name="page204"/>
    <w:bookmarkEnd w:id="20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outstanding stock options as of December 31, 2025 have the following range of exercise prices:</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7060" w:type="dxa"/>
            <w:vAlign w:val="bottom"/>
          </w:tcPr>
          <w:p>
            <w:pPr>
              <w:ind w:left="69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Weighted-</w:t>
            </w:r>
          </w:p>
        </w:tc>
      </w:tr>
      <w:tr>
        <w:trPr>
          <w:trHeight w:val="178"/>
        </w:trPr>
        <w:tc>
          <w:tcPr>
            <w:tcW w:w="7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average</w:t>
            </w:r>
          </w:p>
        </w:tc>
      </w:tr>
      <w:tr>
        <w:trPr>
          <w:trHeight w:val="178"/>
        </w:trPr>
        <w:tc>
          <w:tcPr>
            <w:tcW w:w="7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remaining</w:t>
            </w:r>
          </w:p>
        </w:tc>
      </w:tr>
      <w:tr>
        <w:trPr>
          <w:trHeight w:val="182"/>
        </w:trPr>
        <w:tc>
          <w:tcPr>
            <w:tcW w:w="70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Total options</w:t>
            </w:r>
          </w:p>
        </w:tc>
        <w:tc>
          <w:tcPr>
            <w:tcW w:w="200" w:type="dxa"/>
            <w:vAlign w:val="bottom"/>
          </w:tcPr>
          <w:p>
            <w:pPr>
              <w:spacing w:after="0"/>
              <w:rPr>
                <w:sz w:val="15"/>
                <w:szCs w:val="15"/>
                <w:color w:val="auto"/>
              </w:rPr>
            </w:pPr>
          </w:p>
        </w:tc>
        <w:tc>
          <w:tcPr>
            <w:tcW w:w="86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term (years)</w:t>
            </w:r>
          </w:p>
        </w:tc>
      </w:tr>
      <w:tr>
        <w:trPr>
          <w:trHeight w:val="215"/>
        </w:trPr>
        <w:tc>
          <w:tcPr>
            <w:tcW w:w="7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Range of exercise prices</w:t>
            </w: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CHF 0.15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15,625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0.40</w:t>
            </w:r>
          </w:p>
        </w:tc>
        <w:tc>
          <w:tcPr>
            <w:tcW w:w="40" w:type="dxa"/>
            <w:vAlign w:val="bottom"/>
          </w:tcPr>
          <w:p>
            <w:pPr>
              <w:spacing w:after="0"/>
              <w:rPr>
                <w:sz w:val="18"/>
                <w:szCs w:val="18"/>
                <w:color w:val="auto"/>
              </w:rPr>
            </w:pPr>
          </w:p>
        </w:tc>
      </w:tr>
      <w:tr>
        <w:trPr>
          <w:trHeight w:val="216"/>
        </w:trPr>
        <w:tc>
          <w:tcPr>
            <w:tcW w:w="70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CHF 9.53</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109,665</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40" w:type="dxa"/>
            <w:vAlign w:val="bottom"/>
          </w:tcPr>
          <w:p>
            <w:pPr>
              <w:spacing w:after="0"/>
              <w:rPr>
                <w:sz w:val="18"/>
                <w:szCs w:val="18"/>
                <w:color w:val="auto"/>
              </w:rPr>
            </w:pPr>
          </w:p>
        </w:tc>
      </w:tr>
      <w:tr>
        <w:trPr>
          <w:trHeight w:val="216"/>
        </w:trPr>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USD 2.03 to USD 3.00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2,031,586</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40" w:type="dxa"/>
            <w:vAlign w:val="bottom"/>
          </w:tcPr>
          <w:p>
            <w:pPr>
              <w:spacing w:after="0"/>
              <w:rPr>
                <w:sz w:val="18"/>
                <w:szCs w:val="18"/>
                <w:color w:val="auto"/>
              </w:rPr>
            </w:pPr>
          </w:p>
        </w:tc>
      </w:tr>
      <w:tr>
        <w:trPr>
          <w:trHeight w:val="216"/>
        </w:trPr>
        <w:tc>
          <w:tcPr>
            <w:tcW w:w="70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USD 3.00 to USD 6.00</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1,885,863</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w:t>
            </w:r>
          </w:p>
        </w:tc>
        <w:tc>
          <w:tcPr>
            <w:tcW w:w="40" w:type="dxa"/>
            <w:vAlign w:val="bottom"/>
          </w:tcPr>
          <w:p>
            <w:pPr>
              <w:spacing w:after="0"/>
              <w:rPr>
                <w:sz w:val="18"/>
                <w:szCs w:val="18"/>
                <w:color w:val="auto"/>
              </w:rPr>
            </w:pPr>
          </w:p>
        </w:tc>
      </w:tr>
      <w:tr>
        <w:trPr>
          <w:trHeight w:val="216"/>
        </w:trPr>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USD 6.00 to USD 9.00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1,356,455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w:t>
            </w:r>
          </w:p>
        </w:tc>
        <w:tc>
          <w:tcPr>
            <w:tcW w:w="40" w:type="dxa"/>
            <w:vAlign w:val="bottom"/>
          </w:tcPr>
          <w:p>
            <w:pPr>
              <w:spacing w:after="0"/>
              <w:rPr>
                <w:sz w:val="18"/>
                <w:szCs w:val="18"/>
                <w:color w:val="auto"/>
              </w:rPr>
            </w:pPr>
          </w:p>
        </w:tc>
      </w:tr>
      <w:tr>
        <w:trPr>
          <w:trHeight w:val="216"/>
        </w:trPr>
        <w:tc>
          <w:tcPr>
            <w:tcW w:w="7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USD 9.00 to USD 12.30</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119,370</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40" w:type="dxa"/>
            <w:vAlign w:val="bottom"/>
          </w:tcPr>
          <w:p>
            <w:pPr>
              <w:spacing w:after="0"/>
              <w:rPr>
                <w:sz w:val="18"/>
                <w:szCs w:val="18"/>
                <w:color w:val="auto"/>
              </w:rPr>
            </w:pPr>
          </w:p>
        </w:tc>
      </w:tr>
      <w:tr>
        <w:trPr>
          <w:trHeight w:val="208"/>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outstanding options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5,518,564</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7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5" w:lineRule="exact"/>
        <w:rPr>
          <w:sz w:val="20"/>
          <w:szCs w:val="20"/>
          <w:color w:val="auto"/>
        </w:rPr>
      </w:pPr>
    </w:p>
    <w:p>
      <w:pPr>
        <w:ind w:left="40" w:right="159" w:firstLine="305"/>
        <w:spacing w:after="0" w:line="258" w:lineRule="auto"/>
        <w:rPr>
          <w:sz w:val="20"/>
          <w:szCs w:val="20"/>
          <w:color w:val="auto"/>
        </w:rPr>
      </w:pPr>
      <w:r>
        <w:rPr>
          <w:rFonts w:ascii="Times New Roman" w:cs="Times New Roman" w:eastAsia="Times New Roman" w:hAnsi="Times New Roman"/>
          <w:sz w:val="17"/>
          <w:szCs w:val="17"/>
          <w:color w:val="auto"/>
        </w:rPr>
        <w:t>The weighted-average exercise price for options granted in 2025, 2024 and 2023 is USD 2.40 (CHF 2.09), USD 3.99 (CHF 3.40) and USD 2.08 (CHF 1.75), respectively. The range of exercise prices for outstanding options was CHF 0.15 to CHF 9.53 for awards previously granted in CHF (prior to 2018) and USD 1.84 to USD 12.30 for awards granted in USD as of December 31, 2025.</w:t>
      </w:r>
    </w:p>
    <w:p>
      <w:pPr>
        <w:spacing w:after="0" w:line="175" w:lineRule="exact"/>
        <w:rPr>
          <w:sz w:val="20"/>
          <w:szCs w:val="20"/>
          <w:color w:val="auto"/>
        </w:rPr>
      </w:pPr>
    </w:p>
    <w:p>
      <w:pPr>
        <w:ind w:left="40" w:right="79" w:firstLine="305"/>
        <w:spacing w:after="0" w:line="253" w:lineRule="auto"/>
        <w:rPr>
          <w:sz w:val="20"/>
          <w:szCs w:val="20"/>
          <w:color w:val="auto"/>
        </w:rPr>
      </w:pPr>
      <w:r>
        <w:rPr>
          <w:rFonts w:ascii="Times New Roman" w:cs="Times New Roman" w:eastAsia="Times New Roman" w:hAnsi="Times New Roman"/>
          <w:sz w:val="17"/>
          <w:szCs w:val="17"/>
          <w:color w:val="auto"/>
        </w:rPr>
        <w:t>For awards issued in 2024, the volatility is based on the Company’s actual volatility for the period congruent with the expected term of the underlying option. The risk-free interest rate is based on yields of long-dated U.S. Treasury notes that align with the expected term of the award. The weighted-average share price of common share options exercised in 2025 is USD 2.57 (CHF 2.12).</w:t>
      </w:r>
    </w:p>
    <w:p>
      <w:pPr>
        <w:spacing w:after="0" w:line="178" w:lineRule="exact"/>
        <w:rPr>
          <w:sz w:val="20"/>
          <w:szCs w:val="20"/>
          <w:color w:val="auto"/>
        </w:rPr>
      </w:pPr>
    </w:p>
    <w:p>
      <w:pPr>
        <w:ind w:left="40" w:right="159" w:firstLine="305"/>
        <w:spacing w:after="0" w:line="263" w:lineRule="auto"/>
        <w:rPr>
          <w:sz w:val="20"/>
          <w:szCs w:val="20"/>
          <w:color w:val="auto"/>
        </w:rPr>
      </w:pPr>
      <w:r>
        <w:rPr>
          <w:rFonts w:ascii="Times New Roman" w:cs="Times New Roman" w:eastAsia="Times New Roman" w:hAnsi="Times New Roman"/>
          <w:sz w:val="17"/>
          <w:szCs w:val="17"/>
          <w:color w:val="auto"/>
        </w:rPr>
        <w:t>The weighted-average grant date fair values of the options granted in 2025, 2024 and 2023 are USD 1.69 (CHF 1.47), USD 3.68 (CHF 3.13) and USD 1.57 (CHF 1.33), respectively. The following table illustrates the weighted-average assumptions for the Black-Scholes option-pricing model used in determining the fair value of these awards:</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5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For the Year Ended</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4"/>
        </w:trPr>
        <w:tc>
          <w:tcPr>
            <w:tcW w:w="35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7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76"/>
        </w:trPr>
        <w:tc>
          <w:tcPr>
            <w:tcW w:w="35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76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240" w:type="dxa"/>
            <w:vAlign w:val="bottom"/>
          </w:tcPr>
          <w:p>
            <w:pPr>
              <w:spacing w:after="0"/>
              <w:rPr>
                <w:sz w:val="15"/>
                <w:szCs w:val="15"/>
                <w:color w:val="auto"/>
              </w:rPr>
            </w:pPr>
          </w:p>
        </w:tc>
        <w:tc>
          <w:tcPr>
            <w:tcW w:w="760" w:type="dxa"/>
            <w:vAlign w:val="bottom"/>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r>
      <w:tr>
        <w:trPr>
          <w:trHeight w:val="208"/>
        </w:trPr>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 price (USD)</w:t>
            </w:r>
          </w:p>
        </w:tc>
        <w:tc>
          <w:tcPr>
            <w:tcW w:w="24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​​1.84-2.91</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3.39-4.23</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2.03-3.11</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Share price (USD and weighted average)</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3.99</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6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342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4.2-4.5 %</w:t>
            </w:r>
          </w:p>
        </w:tc>
        <w:tc>
          <w:tcPr>
            <w:tcW w:w="1040" w:type="dxa"/>
            <w:vAlign w:val="bottom"/>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3.7-4.2 %</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4.0-4.6 %</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3420" w:type="dxa"/>
            <w:vAlign w:val="bottom"/>
            <w:gridSpan w:val="3"/>
          </w:tcPr>
          <w:p>
            <w:pPr>
              <w:jc w:val="right"/>
              <w:ind w:right="4"/>
              <w:spacing w:after="0"/>
              <w:rPr>
                <w:sz w:val="20"/>
                <w:szCs w:val="20"/>
                <w:color w:val="auto"/>
              </w:rPr>
            </w:pPr>
            <w:r>
              <w:rPr>
                <w:rFonts w:ascii="Times New Roman" w:cs="Times New Roman" w:eastAsia="Times New Roman" w:hAnsi="Times New Roman"/>
                <w:sz w:val="17"/>
                <w:szCs w:val="17"/>
                <w:color w:val="auto"/>
              </w:rPr>
              <w:t>56-85 %</w:t>
            </w:r>
          </w:p>
        </w:tc>
        <w:tc>
          <w:tcPr>
            <w:tcW w:w="1040" w:type="dxa"/>
            <w:vAlign w:val="bottom"/>
            <w:gridSpan w:val="3"/>
          </w:tcPr>
          <w:p>
            <w:pPr>
              <w:jc w:val="right"/>
              <w:ind w:right="35"/>
              <w:spacing w:after="0"/>
              <w:rPr>
                <w:sz w:val="20"/>
                <w:szCs w:val="20"/>
                <w:color w:val="auto"/>
              </w:rPr>
            </w:pPr>
            <w:r>
              <w:rPr>
                <w:rFonts w:ascii="Times New Roman" w:cs="Times New Roman" w:eastAsia="Times New Roman" w:hAnsi="Times New Roman"/>
                <w:sz w:val="17"/>
                <w:szCs w:val="17"/>
                <w:color w:val="auto"/>
              </w:rPr>
              <w:t>82-107 %</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72-86 %</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3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6.25-8.25</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w:t>
            </w:r>
          </w:p>
        </w:tc>
        <w:tc>
          <w:tcPr>
            <w:tcW w:w="160" w:type="dxa"/>
            <w:vAlign w:val="bottom"/>
            <w:shd w:val="clear" w:color="auto" w:fill="CCEEFF"/>
          </w:tcPr>
          <w:p>
            <w:pPr>
              <w:spacing w:after="0"/>
              <w:rPr>
                <w:sz w:val="18"/>
                <w:szCs w:val="18"/>
                <w:color w:val="auto"/>
              </w:rPr>
            </w:pPr>
          </w:p>
        </w:tc>
      </w:tr>
      <w:tr>
        <w:trPr>
          <w:trHeight w:val="219"/>
        </w:trPr>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2440" w:type="dxa"/>
            <w:vAlign w:val="bottom"/>
          </w:tcPr>
          <w:p>
            <w:pPr>
              <w:spacing w:after="0"/>
              <w:rPr>
                <w:sz w:val="19"/>
                <w:szCs w:val="19"/>
                <w:color w:val="auto"/>
              </w:rPr>
            </w:pPr>
          </w:p>
        </w:tc>
        <w:tc>
          <w:tcPr>
            <w:tcW w:w="980" w:type="dxa"/>
            <w:vAlign w:val="bottom"/>
            <w:gridSpan w:val="2"/>
          </w:tcPr>
          <w:p>
            <w:pPr>
              <w:jc w:val="right"/>
              <w:ind w:right="204"/>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020" w:type="dxa"/>
            <w:vAlign w:val="bottom"/>
            <w:gridSpan w:val="2"/>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r>
      <w:tr>
        <w:trPr>
          <w:trHeight w:val="821"/>
        </w:trPr>
        <w:tc>
          <w:tcPr>
            <w:tcW w:w="3540" w:type="dxa"/>
            <w:vAlign w:val="bottom"/>
          </w:tcPr>
          <w:p>
            <w:pPr>
              <w:spacing w:after="0"/>
              <w:rPr>
                <w:sz w:val="24"/>
                <w:szCs w:val="24"/>
                <w:color w:val="auto"/>
              </w:rPr>
            </w:pPr>
          </w:p>
        </w:tc>
        <w:tc>
          <w:tcPr>
            <w:tcW w:w="3420" w:type="dxa"/>
            <w:vAlign w:val="bottom"/>
            <w:gridSpan w:val="3"/>
          </w:tcPr>
          <w:p>
            <w:pPr>
              <w:jc w:val="right"/>
              <w:ind w:right="2264"/>
              <w:spacing w:after="0"/>
              <w:rPr>
                <w:sz w:val="20"/>
                <w:szCs w:val="20"/>
                <w:color w:val="auto"/>
              </w:rPr>
            </w:pPr>
            <w:r>
              <w:rPr>
                <w:rFonts w:ascii="Times New Roman" w:cs="Times New Roman" w:eastAsia="Times New Roman" w:hAnsi="Times New Roman"/>
                <w:sz w:val="17"/>
                <w:szCs w:val="17"/>
                <w:color w:val="auto"/>
              </w:rPr>
              <w:t>F-39</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14"/>
        </w:trPr>
        <w:tc>
          <w:tcPr>
            <w:tcW w:w="35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91" w:right="1440" w:bottom="1440" w:gutter="0" w:footer="0" w:header="0"/>
        </w:sectPr>
      </w:pPr>
    </w:p>
    <w:bookmarkStart w:id="204" w:name="page205"/>
    <w:bookmarkEnd w:id="20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Restricted share awards</w:t>
      </w:r>
    </w:p>
    <w:p>
      <w:pPr>
        <w:spacing w:after="0" w:line="215" w:lineRule="exact"/>
        <w:rPr>
          <w:sz w:val="20"/>
          <w:szCs w:val="20"/>
          <w:color w:val="auto"/>
        </w:rPr>
      </w:pPr>
    </w:p>
    <w:p>
      <w:pPr>
        <w:ind w:left="40" w:right="219" w:firstLine="305"/>
        <w:spacing w:after="0" w:line="277" w:lineRule="auto"/>
        <w:rPr>
          <w:sz w:val="20"/>
          <w:szCs w:val="20"/>
          <w:color w:val="auto"/>
        </w:rPr>
      </w:pPr>
      <w:r>
        <w:rPr>
          <w:rFonts w:ascii="Times New Roman" w:cs="Times New Roman" w:eastAsia="Times New Roman" w:hAnsi="Times New Roman"/>
          <w:sz w:val="17"/>
          <w:szCs w:val="17"/>
          <w:color w:val="auto"/>
        </w:rPr>
        <w:t>A summary of share awards (restricted share and restricted share units) activity as of December 31, 2025 and changes during the year then ended is presented below:</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560" w:type="dxa"/>
            <w:vAlign w:val="bottom"/>
          </w:tcPr>
          <w:p>
            <w:pPr>
              <w:spacing w:after="0"/>
              <w:rPr>
                <w:sz w:val="15"/>
                <w:szCs w:val="15"/>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Pr>
          <w:p>
            <w:pPr>
              <w:spacing w:after="0"/>
              <w:rPr>
                <w:sz w:val="15"/>
                <w:szCs w:val="15"/>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5"/>
                <w:szCs w:val="15"/>
                <w:color w:val="auto"/>
              </w:rPr>
            </w:pPr>
          </w:p>
        </w:tc>
        <w:tc>
          <w:tcPr>
            <w:tcW w:w="4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3"/>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w w:val="96"/>
              </w:rPr>
              <w:t>Contractual</w:t>
            </w:r>
          </w:p>
        </w:tc>
        <w:tc>
          <w:tcPr>
            <w:tcW w:w="0" w:type="dxa"/>
            <w:vAlign w:val="bottom"/>
          </w:tcPr>
          <w:p>
            <w:pPr>
              <w:spacing w:after="0"/>
              <w:rPr>
                <w:sz w:val="1"/>
                <w:szCs w:val="1"/>
                <w:color w:val="auto"/>
              </w:rPr>
            </w:pPr>
          </w:p>
        </w:tc>
      </w:tr>
      <w:tr>
        <w:trPr>
          <w:trHeight w:val="178"/>
        </w:trPr>
        <w:tc>
          <w:tcPr>
            <w:tcW w:w="3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4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3"/>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w w:val="95"/>
              </w:rPr>
              <w:t>life of non-</w:t>
            </w:r>
          </w:p>
        </w:tc>
        <w:tc>
          <w:tcPr>
            <w:tcW w:w="0" w:type="dxa"/>
            <w:vAlign w:val="bottom"/>
          </w:tcPr>
          <w:p>
            <w:pPr>
              <w:spacing w:after="0"/>
              <w:rPr>
                <w:sz w:val="1"/>
                <w:szCs w:val="1"/>
                <w:color w:val="auto"/>
              </w:rPr>
            </w:pPr>
          </w:p>
        </w:tc>
      </w:tr>
      <w:tr>
        <w:trPr>
          <w:trHeight w:val="178"/>
        </w:trPr>
        <w:tc>
          <w:tcPr>
            <w:tcW w:w="3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4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6"/>
              </w:rPr>
              <w:t>share awards granted</w:t>
            </w: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3"/>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w w:val="95"/>
              </w:rPr>
              <w:t>vested share</w:t>
            </w:r>
          </w:p>
        </w:tc>
        <w:tc>
          <w:tcPr>
            <w:tcW w:w="0" w:type="dxa"/>
            <w:vAlign w:val="bottom"/>
          </w:tcPr>
          <w:p>
            <w:pPr>
              <w:spacing w:after="0"/>
              <w:rPr>
                <w:sz w:val="1"/>
                <w:szCs w:val="1"/>
                <w:color w:val="auto"/>
              </w:rPr>
            </w:pPr>
          </w:p>
        </w:tc>
      </w:tr>
      <w:tr>
        <w:trPr>
          <w:trHeight w:val="184"/>
        </w:trPr>
        <w:tc>
          <w:tcPr>
            <w:tcW w:w="3740" w:type="dxa"/>
            <w:vAlign w:val="bottom"/>
            <w:gridSpan w:val="3"/>
          </w:tcPr>
          <w:p>
            <w:pPr>
              <w:ind w:left="1400"/>
              <w:spacing w:after="0"/>
              <w:rPr>
                <w:sz w:val="20"/>
                <w:szCs w:val="20"/>
                <w:color w:val="auto"/>
              </w:rPr>
            </w:pPr>
            <w:r>
              <w:rPr>
                <w:rFonts w:ascii="Times New Roman" w:cs="Times New Roman" w:eastAsia="Times New Roman" w:hAnsi="Times New Roman"/>
                <w:sz w:val="14"/>
                <w:szCs w:val="14"/>
                <w:b w:val="1"/>
                <w:bCs w:val="1"/>
                <w:color w:val="auto"/>
              </w:rPr>
              <w:t>Grantee type</w:t>
            </w:r>
          </w:p>
        </w:tc>
        <w:tc>
          <w:tcPr>
            <w:tcW w:w="174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6"/>
              </w:rPr>
              <w:t>(since inception)</w:t>
            </w: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Vesting conditions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455"/>
              <w:spacing w:after="0"/>
              <w:rPr>
                <w:sz w:val="20"/>
                <w:szCs w:val="20"/>
                <w:color w:val="auto"/>
              </w:rPr>
            </w:pPr>
            <w:r>
              <w:rPr>
                <w:rFonts w:ascii="Times New Roman" w:cs="Times New Roman" w:eastAsia="Times New Roman" w:hAnsi="Times New Roman"/>
                <w:sz w:val="14"/>
                <w:szCs w:val="14"/>
                <w:b w:val="1"/>
                <w:bCs w:val="1"/>
                <w:color w:val="auto"/>
                <w:w w:val="96"/>
              </w:rPr>
              <w:t>awards</w:t>
            </w:r>
          </w:p>
        </w:tc>
        <w:tc>
          <w:tcPr>
            <w:tcW w:w="0" w:type="dxa"/>
            <w:vAlign w:val="bottom"/>
          </w:tcPr>
          <w:p>
            <w:pPr>
              <w:spacing w:after="0"/>
              <w:rPr>
                <w:sz w:val="1"/>
                <w:szCs w:val="1"/>
                <w:color w:val="auto"/>
              </w:rPr>
            </w:pPr>
          </w:p>
        </w:tc>
      </w:tr>
      <w:tr>
        <w:trPr>
          <w:trHeight w:val="214"/>
        </w:trPr>
        <w:tc>
          <w:tcPr>
            <w:tcW w:w="3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Restricted share units</w:t>
            </w:r>
          </w:p>
        </w:tc>
        <w:tc>
          <w:tcPr>
            <w:tcW w:w="1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0" w:type="dxa"/>
            <w:vAlign w:val="bottom"/>
          </w:tcPr>
          <w:p>
            <w:pPr>
              <w:jc w:val="center"/>
              <w:ind w:right="27"/>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Directors</w:t>
            </w:r>
          </w:p>
        </w:tc>
        <w:tc>
          <w:tcPr>
            <w:tcW w:w="1300" w:type="dxa"/>
            <w:vAlign w:val="bottom"/>
            <w:shd w:val="clear" w:color="auto" w:fill="CCEEFF"/>
          </w:tcPr>
          <w:p>
            <w:pPr>
              <w:spacing w:after="0"/>
              <w:rPr>
                <w:sz w:val="18"/>
                <w:szCs w:val="18"/>
                <w:color w:val="auto"/>
              </w:rPr>
            </w:pPr>
          </w:p>
        </w:tc>
        <w:tc>
          <w:tcPr>
            <w:tcW w:w="2800" w:type="dxa"/>
            <w:vAlign w:val="bottom"/>
            <w:gridSpan w:val="8"/>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1 year and 3 years' service from</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80" w:type="dxa"/>
            <w:vAlign w:val="bottom"/>
            <w:gridSpan w:val="5"/>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431,875   date of grant, annually</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262"/>
              <w:spacing w:after="0"/>
              <w:rPr>
                <w:sz w:val="20"/>
                <w:szCs w:val="20"/>
                <w:color w:val="auto"/>
              </w:rPr>
            </w:pPr>
            <w:r>
              <w:rPr>
                <w:rFonts w:ascii="Times New Roman" w:cs="Times New Roman" w:eastAsia="Times New Roman" w:hAnsi="Times New Roman"/>
                <w:sz w:val="17"/>
                <w:szCs w:val="17"/>
                <w:color w:val="auto"/>
              </w:rPr>
              <w:t>10 years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7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Executives</w:t>
            </w:r>
          </w:p>
        </w:tc>
        <w:tc>
          <w:tcPr>
            <w:tcW w:w="4100" w:type="dxa"/>
            <w:vAlign w:val="bottom"/>
            <w:gridSpan w:val="9"/>
          </w:tcPr>
          <w:p>
            <w:pPr>
              <w:ind w:left="580"/>
              <w:spacing w:after="0"/>
              <w:rPr>
                <w:sz w:val="20"/>
                <w:szCs w:val="20"/>
                <w:color w:val="auto"/>
              </w:rPr>
            </w:pPr>
            <w:r>
              <w:rPr>
                <w:rFonts w:ascii="Times New Roman" w:cs="Times New Roman" w:eastAsia="Times New Roman" w:hAnsi="Times New Roman"/>
                <w:sz w:val="17"/>
                <w:szCs w:val="17"/>
                <w:color w:val="auto"/>
              </w:rPr>
              <w:t>2,189,707   1 year and 3 years' service from</w:t>
            </w:r>
          </w:p>
        </w:tc>
        <w:tc>
          <w:tcPr>
            <w:tcW w:w="1080" w:type="dxa"/>
            <w:vAlign w:val="bottom"/>
            <w:gridSpan w:val="2"/>
          </w:tcPr>
          <w:p>
            <w:pPr>
              <w:jc w:val="center"/>
              <w:ind w:right="262"/>
              <w:spacing w:after="0"/>
              <w:rPr>
                <w:sz w:val="20"/>
                <w:szCs w:val="20"/>
                <w:color w:val="auto"/>
              </w:rPr>
            </w:pPr>
            <w:r>
              <w:rPr>
                <w:rFonts w:ascii="Times New Roman" w:cs="Times New Roman" w:eastAsia="Times New Roman" w:hAnsi="Times New Roman"/>
                <w:sz w:val="17"/>
                <w:szCs w:val="17"/>
                <w:color w:val="auto"/>
              </w:rPr>
              <w:t>10 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980" w:type="dxa"/>
            <w:vAlign w:val="bottom"/>
            <w:gridSpan w:val="4"/>
          </w:tcPr>
          <w:p>
            <w:pPr>
              <w:ind w:left="140"/>
              <w:spacing w:after="0"/>
              <w:rPr>
                <w:sz w:val="20"/>
                <w:szCs w:val="20"/>
                <w:color w:val="auto"/>
              </w:rPr>
            </w:pPr>
            <w:r>
              <w:rPr>
                <w:rFonts w:ascii="Times New Roman" w:cs="Times New Roman" w:eastAsia="Times New Roman" w:hAnsi="Times New Roman"/>
                <w:sz w:val="17"/>
                <w:szCs w:val="17"/>
                <w:color w:val="auto"/>
              </w:rPr>
              <w:t>the date of grant, quarterly</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Employees</w:t>
            </w:r>
          </w:p>
        </w:tc>
        <w:tc>
          <w:tcPr>
            <w:tcW w:w="4100" w:type="dxa"/>
            <w:vAlign w:val="bottom"/>
            <w:gridSpan w:val="9"/>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1,571,569   3 years’ service from the date</w:t>
            </w:r>
          </w:p>
        </w:tc>
        <w:tc>
          <w:tcPr>
            <w:tcW w:w="1080" w:type="dxa"/>
            <w:vAlign w:val="bottom"/>
            <w:gridSpan w:val="2"/>
            <w:shd w:val="clear" w:color="auto" w:fill="CCEEFF"/>
          </w:tcPr>
          <w:p>
            <w:pPr>
              <w:jc w:val="center"/>
              <w:ind w:right="262"/>
              <w:spacing w:after="0"/>
              <w:rPr>
                <w:sz w:val="20"/>
                <w:szCs w:val="20"/>
                <w:color w:val="auto"/>
              </w:rPr>
            </w:pPr>
            <w:r>
              <w:rPr>
                <w:rFonts w:ascii="Times New Roman" w:cs="Times New Roman" w:eastAsia="Times New Roman" w:hAnsi="Times New Roman"/>
                <w:sz w:val="17"/>
                <w:szCs w:val="17"/>
                <w:color w:val="auto"/>
              </w:rPr>
              <w:t>10 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of grant, annually</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2"/>
        </w:trPr>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2"/>
          </w:tcPr>
          <w:p>
            <w:pPr>
              <w:ind w:left="136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24"/>
                <w:szCs w:val="24"/>
                <w:color w:val="auto"/>
              </w:rPr>
            </w:pPr>
          </w:p>
        </w:tc>
        <w:tc>
          <w:tcPr>
            <w:tcW w:w="4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Weighted-</w:t>
            </w:r>
          </w:p>
        </w:tc>
        <w:tc>
          <w:tcPr>
            <w:tcW w:w="0" w:type="dxa"/>
            <w:vAlign w:val="bottom"/>
          </w:tcPr>
          <w:p>
            <w:pPr>
              <w:spacing w:after="0"/>
              <w:rPr>
                <w:sz w:val="1"/>
                <w:szCs w:val="1"/>
                <w:color w:val="auto"/>
              </w:rPr>
            </w:pPr>
          </w:p>
        </w:tc>
      </w:tr>
      <w:tr>
        <w:trPr>
          <w:trHeight w:val="178"/>
        </w:trPr>
        <w:tc>
          <w:tcPr>
            <w:tcW w:w="3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average</w:t>
            </w:r>
          </w:p>
        </w:tc>
        <w:tc>
          <w:tcPr>
            <w:tcW w:w="0" w:type="dxa"/>
            <w:vAlign w:val="bottom"/>
          </w:tcPr>
          <w:p>
            <w:pPr>
              <w:spacing w:after="0"/>
              <w:rPr>
                <w:sz w:val="1"/>
                <w:szCs w:val="1"/>
                <w:color w:val="auto"/>
              </w:rPr>
            </w:pPr>
          </w:p>
        </w:tc>
      </w:tr>
      <w:tr>
        <w:trPr>
          <w:trHeight w:val="178"/>
        </w:trPr>
        <w:tc>
          <w:tcPr>
            <w:tcW w:w="3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16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grant date fair</w:t>
            </w:r>
          </w:p>
        </w:tc>
        <w:tc>
          <w:tcPr>
            <w:tcW w:w="0" w:type="dxa"/>
            <w:vAlign w:val="bottom"/>
          </w:tcPr>
          <w:p>
            <w:pPr>
              <w:spacing w:after="0"/>
              <w:rPr>
                <w:sz w:val="1"/>
                <w:szCs w:val="1"/>
                <w:color w:val="auto"/>
              </w:rPr>
            </w:pPr>
          </w:p>
        </w:tc>
      </w:tr>
      <w:tr>
        <w:trPr>
          <w:trHeight w:val="184"/>
        </w:trPr>
        <w:tc>
          <w:tcPr>
            <w:tcW w:w="3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shares</w:t>
            </w:r>
          </w:p>
        </w:tc>
        <w:tc>
          <w:tcPr>
            <w:tcW w:w="16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value (CHF)</w:t>
            </w:r>
          </w:p>
        </w:tc>
        <w:tc>
          <w:tcPr>
            <w:tcW w:w="0" w:type="dxa"/>
            <w:vAlign w:val="bottom"/>
          </w:tcPr>
          <w:p>
            <w:pPr>
              <w:spacing w:after="0"/>
              <w:rPr>
                <w:sz w:val="1"/>
                <w:szCs w:val="1"/>
                <w:color w:val="auto"/>
              </w:rPr>
            </w:pPr>
          </w:p>
        </w:tc>
      </w:tr>
      <w:tr>
        <w:trPr>
          <w:trHeight w:val="214"/>
        </w:trPr>
        <w:tc>
          <w:tcPr>
            <w:tcW w:w="37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Non-vested at January 1, 2023</w:t>
            </w:r>
          </w:p>
        </w:tc>
        <w:tc>
          <w:tcPr>
            <w:tcW w:w="1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216,486</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Forfeited during the year</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auto"/>
              </w:rPr>
              <w:t>(134,947)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 during the year</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(55,503)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Granted during the year</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1,187,570</w:t>
            </w:r>
          </w:p>
        </w:tc>
        <w:tc>
          <w:tcPr>
            <w:tcW w:w="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 during the year</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(265,366)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Non-vested at December 31, 2023</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1,003,743</w:t>
            </w:r>
          </w:p>
        </w:tc>
        <w:tc>
          <w:tcPr>
            <w:tcW w:w="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Vested and exercisable at December 31, 2023</w:t>
            </w:r>
          </w:p>
        </w:tc>
        <w:tc>
          <w:tcPr>
            <w:tcW w:w="1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298,883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Non-vested at December 31, 2023</w:t>
            </w: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740" w:type="dxa"/>
            <w:vAlign w:val="bottom"/>
            <w:gridSpan w:val="3"/>
            <w:vMerge w:val="continue"/>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3"/>
          </w:tcPr>
          <w:p>
            <w:pPr>
              <w:jc w:val="right"/>
              <w:ind w:right="60"/>
              <w:spacing w:after="0" w:line="194" w:lineRule="exact"/>
              <w:rPr>
                <w:sz w:val="20"/>
                <w:szCs w:val="20"/>
                <w:color w:val="auto"/>
              </w:rPr>
            </w:pPr>
            <w:r>
              <w:rPr>
                <w:rFonts w:ascii="Times New Roman" w:cs="Times New Roman" w:eastAsia="Times New Roman" w:hAnsi="Times New Roman"/>
                <w:sz w:val="17"/>
                <w:szCs w:val="17"/>
                <w:color w:val="auto"/>
              </w:rPr>
              <w:t>1,003,743</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1.97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Forfeited during the year</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(97,841)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Exercised during the year</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auto"/>
              </w:rPr>
              <w:t>(99,018)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Granted during the year</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1,094,876</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Vested during the year</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auto"/>
                <w:w w:val="98"/>
              </w:rPr>
              <w:t>(1,064,554)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Non-vested at December 31, 2024</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822,740</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7"/>
                <w:szCs w:val="17"/>
                <w:b w:val="1"/>
                <w:bCs w:val="1"/>
                <w:color w:val="auto"/>
              </w:rPr>
              <w:t>Vested and exercisable at December 31, 2024</w:t>
            </w:r>
          </w:p>
        </w:tc>
        <w:tc>
          <w:tcPr>
            <w:tcW w:w="13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1,377,903</w:t>
            </w: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74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Non-vested at December 31, 2024</w:t>
            </w:r>
          </w:p>
        </w:tc>
        <w:tc>
          <w:tcPr>
            <w:tcW w:w="1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60"/>
              <w:spacing w:after="0" w:line="194" w:lineRule="exact"/>
              <w:rPr>
                <w:sz w:val="20"/>
                <w:szCs w:val="20"/>
                <w:color w:val="auto"/>
              </w:rPr>
            </w:pPr>
            <w:r>
              <w:rPr>
                <w:rFonts w:ascii="Times New Roman" w:cs="Times New Roman" w:eastAsia="Times New Roman" w:hAnsi="Times New Roman"/>
                <w:sz w:val="17"/>
                <w:szCs w:val="17"/>
                <w:color w:val="auto"/>
              </w:rPr>
              <w:t>822,740</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3.12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Forfeited during the year</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auto"/>
              </w:rPr>
              <w:t>(176,609)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 during the year</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(127,537)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Cancelled during the year</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auto"/>
              </w:rPr>
              <w:t>(34,612)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Granted during the year</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1,477,623</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Vested during the year</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auto"/>
                <w:w w:val="98"/>
              </w:rPr>
              <w:t>(1,309,210)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Non-vested at December 31, 2025</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763,816</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Vested and exercisable at December 31, 2025</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2,575,692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40" w:right="379" w:firstLine="305"/>
        <w:spacing w:after="0" w:line="253" w:lineRule="auto"/>
        <w:rPr>
          <w:sz w:val="20"/>
          <w:szCs w:val="20"/>
          <w:color w:val="auto"/>
        </w:rPr>
      </w:pPr>
      <w:r>
        <w:rPr>
          <w:rFonts w:ascii="Times New Roman" w:cs="Times New Roman" w:eastAsia="Times New Roman" w:hAnsi="Times New Roman"/>
          <w:sz w:val="17"/>
          <w:szCs w:val="17"/>
          <w:color w:val="auto"/>
        </w:rPr>
        <w:t>The weighted-average grant date fair values of the remaining non-vested share awards as of the respective year end for the restricted share units were CHF 2.62, CHF 3.12 and CHF 1.97 for the years ended December 31, 2025, 2024 and 2023, respectively. The fair values of these non-vested share awards granted were determined using the market value of the common shares on the date of the award.</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7">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205" w:name="page206"/>
    <w:bookmarkEnd w:id="20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259" w:firstLine="305"/>
        <w:spacing w:after="0" w:line="263" w:lineRule="auto"/>
        <w:rPr>
          <w:sz w:val="20"/>
          <w:szCs w:val="20"/>
          <w:color w:val="auto"/>
        </w:rPr>
      </w:pPr>
      <w:r>
        <w:rPr>
          <w:rFonts w:ascii="Times New Roman" w:cs="Times New Roman" w:eastAsia="Times New Roman" w:hAnsi="Times New Roman"/>
          <w:sz w:val="17"/>
          <w:szCs w:val="17"/>
          <w:color w:val="auto"/>
        </w:rPr>
        <w:t>The expense charged against the income statement related to all share-based compensation was CHF 4.4 million, CHF 5.5 million and CHF 4.4 million for the years ended December 31, 2025, 2024 and 2023, respectively. The expense is determined by the Company based on the number of instruments that are expected to become exercisable.</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19. Commitments and contingencies</w:t>
      </w:r>
    </w:p>
    <w:p>
      <w:pPr>
        <w:spacing w:after="0" w:line="215" w:lineRule="exact"/>
        <w:rPr>
          <w:sz w:val="20"/>
          <w:szCs w:val="20"/>
          <w:color w:val="auto"/>
        </w:rPr>
      </w:pPr>
    </w:p>
    <w:p>
      <w:pPr>
        <w:ind w:left="40" w:right="279" w:firstLine="305"/>
        <w:spacing w:after="0" w:line="277" w:lineRule="auto"/>
        <w:rPr>
          <w:sz w:val="20"/>
          <w:szCs w:val="20"/>
          <w:color w:val="auto"/>
        </w:rPr>
      </w:pPr>
      <w:r>
        <w:rPr>
          <w:rFonts w:ascii="Times New Roman" w:cs="Times New Roman" w:eastAsia="Times New Roman" w:hAnsi="Times New Roman"/>
          <w:sz w:val="17"/>
          <w:szCs w:val="17"/>
          <w:color w:val="auto"/>
        </w:rPr>
        <w:t>The Company’s commitments and contingencies relate to its ongoing operating activities, mainly research and development programs, as well as its leased corporate space.</w:t>
      </w:r>
    </w:p>
    <w:p>
      <w:pPr>
        <w:spacing w:after="0" w:line="158" w:lineRule="exact"/>
        <w:rPr>
          <w:sz w:val="20"/>
          <w:szCs w:val="20"/>
          <w:color w:val="auto"/>
        </w:rPr>
      </w:pPr>
    </w:p>
    <w:p>
      <w:pPr>
        <w:ind w:left="40" w:right="99" w:firstLine="305"/>
        <w:spacing w:after="0" w:line="263" w:lineRule="auto"/>
        <w:rPr>
          <w:sz w:val="20"/>
          <w:szCs w:val="20"/>
          <w:color w:val="auto"/>
        </w:rPr>
      </w:pPr>
      <w:r>
        <w:rPr>
          <w:rFonts w:ascii="Times New Roman" w:cs="Times New Roman" w:eastAsia="Times New Roman" w:hAnsi="Times New Roman"/>
          <w:sz w:val="17"/>
          <w:szCs w:val="17"/>
          <w:color w:val="auto"/>
        </w:rPr>
        <w:t>In the normal course of business, we conduct product research and development programs through collaborative programs that include, among others, arrangements with universities, contract research organizations and clinical research sites. We have contractual arrangements with these organizations.</w:t>
      </w:r>
    </w:p>
    <w:p>
      <w:pPr>
        <w:spacing w:after="0" w:line="170" w:lineRule="exact"/>
        <w:rPr>
          <w:sz w:val="20"/>
          <w:szCs w:val="20"/>
          <w:color w:val="auto"/>
        </w:rPr>
      </w:pPr>
    </w:p>
    <w:p>
      <w:pPr>
        <w:ind w:left="40" w:right="79" w:firstLine="305"/>
        <w:spacing w:after="0" w:line="251" w:lineRule="auto"/>
        <w:rPr>
          <w:sz w:val="20"/>
          <w:szCs w:val="20"/>
          <w:color w:val="auto"/>
        </w:rPr>
      </w:pPr>
      <w:r>
        <w:rPr>
          <w:rFonts w:ascii="Times New Roman" w:cs="Times New Roman" w:eastAsia="Times New Roman" w:hAnsi="Times New Roman"/>
          <w:sz w:val="17"/>
          <w:szCs w:val="17"/>
          <w:color w:val="auto"/>
        </w:rPr>
        <w:t>We lease our corporate, laboratory and other facilities under multiple leases at the EPFL Innovation Park in Ecublens, near Lausanne, Canton of Vaud, Switzerland. Our lease agreements have no termination clauses longer than a 12-month contractual notice period. The Company recognizes a right-of-use asset for its leases, except for short-term and low-value leases as indicated in Note 3</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See “Note 5. Right-of-use assets, long-term financial assets and lease liabilities” for the contractual undiscounted cash flows for lease obligations. The below table represents contractual commitments excluding capitalized leases which are recorded on the balance sheet, the related future cash flows are presented in Note 5.</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5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gridSpan w:val="6"/>
          </w:tcPr>
          <w:p>
            <w:pPr>
              <w:jc w:val="center"/>
              <w:ind w:right="475"/>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82"/>
        </w:trPr>
        <w:tc>
          <w:tcPr>
            <w:tcW w:w="5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78"/>
        </w:trPr>
        <w:tc>
          <w:tcPr>
            <w:tcW w:w="5660" w:type="dxa"/>
            <w:vAlign w:val="bottom"/>
          </w:tcPr>
          <w:p>
            <w:pPr>
              <w:ind w:left="30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2"/>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Within 1 year</w:t>
            </w: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23,357</w:t>
            </w: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27,554</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Between 1 and 3 years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21,865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11,652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Between 3 and 5 years</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4,008</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More than 5 years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52,544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43,279</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20. Earnings per share</w:t>
            </w: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6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5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gridSpan w:val="8"/>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3"/>
              </w:rPr>
              <w:t>For the Year Ended</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6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7"/>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66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4"/>
                <w:szCs w:val="14"/>
                <w:b w:val="1"/>
                <w:bCs w:val="1"/>
                <w:color w:val="auto"/>
              </w:rPr>
              <w:t>In CHF thousands except for share and per share data</w:t>
            </w:r>
          </w:p>
        </w:tc>
        <w:tc>
          <w:tcPr>
            <w:tcW w:w="10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Loss per share (EPS)</w:t>
            </w:r>
          </w:p>
        </w:tc>
        <w:tc>
          <w:tcPr>
            <w:tcW w:w="1020" w:type="dxa"/>
            <w:vAlign w:val="bottom"/>
          </w:tcPr>
          <w:p>
            <w:pPr>
              <w:spacing w:after="0"/>
              <w:rPr>
                <w:sz w:val="17"/>
                <w:szCs w:val="17"/>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7"/>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attributable to equity holders of the Company</w:t>
            </w: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7"/>
                <w:szCs w:val="17"/>
                <w:color w:val="auto"/>
              </w:rPr>
              <w:t>(70,447)</w:t>
            </w:r>
          </w:p>
        </w:tc>
        <w:tc>
          <w:tcPr>
            <w:tcW w:w="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(50,916)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(54,233)</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Denominator</w:t>
            </w:r>
          </w:p>
        </w:tc>
        <w:tc>
          <w:tcPr>
            <w:tcW w:w="102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number of shares outstanding used to compute EPS basic and</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diluted attributable to equity holders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100,751,705</w:t>
            </w:r>
          </w:p>
        </w:tc>
        <w:tc>
          <w:tcPr>
            <w:tcW w:w="18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99,691,971</w:t>
            </w:r>
          </w:p>
        </w:tc>
        <w:tc>
          <w:tcPr>
            <w:tcW w:w="1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84,694,616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Basic and diluted loss per share for the period attributable to equity holders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(0.70)</w:t>
            </w:r>
          </w:p>
        </w:tc>
        <w:tc>
          <w:tcPr>
            <w:tcW w:w="1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(0.51)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(0.64)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left="40" w:right="239" w:firstLine="305"/>
        <w:spacing w:after="0" w:line="263" w:lineRule="auto"/>
        <w:rPr>
          <w:sz w:val="20"/>
          <w:szCs w:val="20"/>
          <w:color w:val="auto"/>
        </w:rPr>
      </w:pPr>
      <w:r>
        <w:rPr>
          <w:rFonts w:ascii="Times New Roman" w:cs="Times New Roman" w:eastAsia="Times New Roman" w:hAnsi="Times New Roman"/>
          <w:sz w:val="17"/>
          <w:szCs w:val="17"/>
          <w:color w:val="auto"/>
        </w:rPr>
        <w:t>In periods for which we have a loss, basic net loss per share is the same as diluted net loss per share. We have excluded from our calculation of diluted loss per share all potentially dilutive in-the-money (i) share options and (ii) non-vested restricted share awards. See “Note 18. Share-based compensation” for the potentially dilutive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8">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206" w:name="page207"/>
    <w:bookmarkEnd w:id="20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21. Financial instruments and risk management</w:t>
      </w:r>
    </w:p>
    <w:p>
      <w:pPr>
        <w:spacing w:after="0" w:line="215" w:lineRule="exact"/>
        <w:rPr>
          <w:sz w:val="20"/>
          <w:szCs w:val="20"/>
          <w:color w:val="auto"/>
        </w:rPr>
      </w:pPr>
    </w:p>
    <w:p>
      <w:pPr>
        <w:ind w:left="40" w:right="99" w:firstLine="305"/>
        <w:spacing w:after="0" w:line="263" w:lineRule="auto"/>
        <w:rPr>
          <w:sz w:val="20"/>
          <w:szCs w:val="20"/>
          <w:color w:val="auto"/>
        </w:rPr>
      </w:pPr>
      <w:r>
        <w:rPr>
          <w:rFonts w:ascii="Times New Roman" w:cs="Times New Roman" w:eastAsia="Times New Roman" w:hAnsi="Times New Roman"/>
          <w:sz w:val="17"/>
          <w:szCs w:val="17"/>
          <w:color w:val="auto"/>
        </w:rPr>
        <w:t>The Company’s activities expose it to the following financial risks: market risk (foreign exchange and interest rate risk), credit risk and liquidity risk. The Company’s overall risk management program focuses on the unpredictability of financial markets and seeks to minimize potential adverse effects on the Company’s financial performance.</w:t>
      </w:r>
    </w:p>
    <w:p>
      <w:pPr>
        <w:spacing w:after="0" w:line="1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shows the carrying amounts of financial assets and financial liabilities:</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gridSpan w:val="3"/>
          </w:tcPr>
          <w:p>
            <w:pPr>
              <w:jc w:val="center"/>
              <w:ind w:right="575"/>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4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4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7040" w:type="dxa"/>
            <w:vAlign w:val="bottom"/>
          </w:tcPr>
          <w:p>
            <w:pPr>
              <w:ind w:left="298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00" w:type="dxa"/>
            <w:vAlign w:val="bottom"/>
          </w:tcPr>
          <w:p>
            <w:pPr>
              <w:spacing w:after="0"/>
              <w:rPr>
                <w:sz w:val="15"/>
                <w:szCs w:val="15"/>
                <w:color w:val="auto"/>
              </w:rPr>
            </w:pPr>
          </w:p>
        </w:tc>
        <w:tc>
          <w:tcPr>
            <w:tcW w:w="660" w:type="dxa"/>
            <w:vAlign w:val="bottom"/>
          </w:tcPr>
          <w:p>
            <w:pPr>
              <w:jc w:val="right"/>
              <w:ind w:right="8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0" w:type="dxa"/>
            <w:vAlign w:val="bottom"/>
            <w:gridSpan w:val="3"/>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r>
      <w:tr>
        <w:trPr>
          <w:trHeight w:val="208"/>
        </w:trPr>
        <w:tc>
          <w:tcPr>
            <w:tcW w:w="20" w:type="dxa"/>
            <w:vAlign w:val="bottom"/>
          </w:tcPr>
          <w:p>
            <w:pPr>
              <w:spacing w:after="0"/>
              <w:rPr>
                <w:sz w:val="18"/>
                <w:szCs w:val="18"/>
                <w:color w:val="auto"/>
              </w:rPr>
            </w:pPr>
          </w:p>
        </w:tc>
        <w:tc>
          <w:tcPr>
            <w:tcW w:w="7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Financial assets</w:t>
            </w:r>
          </w:p>
        </w:tc>
        <w:tc>
          <w:tcPr>
            <w:tcW w:w="2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7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financial assets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Other current receivables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978</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1,104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financial assets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64,617</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129,214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26,795</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36,275</w:t>
            </w:r>
          </w:p>
        </w:tc>
        <w:tc>
          <w:tcPr>
            <w:tcW w:w="4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financial assets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92,974</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167,008</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gridSpan w:val="3"/>
          </w:tcPr>
          <w:p>
            <w:pPr>
              <w:jc w:val="center"/>
              <w:ind w:right="575"/>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4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4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7040" w:type="dxa"/>
            <w:vAlign w:val="bottom"/>
          </w:tcPr>
          <w:p>
            <w:pPr>
              <w:ind w:left="298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00" w:type="dxa"/>
            <w:vAlign w:val="bottom"/>
          </w:tcPr>
          <w:p>
            <w:pPr>
              <w:spacing w:after="0"/>
              <w:rPr>
                <w:sz w:val="15"/>
                <w:szCs w:val="15"/>
                <w:color w:val="auto"/>
              </w:rPr>
            </w:pPr>
          </w:p>
        </w:tc>
        <w:tc>
          <w:tcPr>
            <w:tcW w:w="660" w:type="dxa"/>
            <w:vAlign w:val="bottom"/>
          </w:tcPr>
          <w:p>
            <w:pPr>
              <w:jc w:val="right"/>
              <w:ind w:right="8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0" w:type="dxa"/>
            <w:vAlign w:val="bottom"/>
            <w:gridSpan w:val="3"/>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r>
      <w:tr>
        <w:trPr>
          <w:trHeight w:val="208"/>
        </w:trPr>
        <w:tc>
          <w:tcPr>
            <w:tcW w:w="20" w:type="dxa"/>
            <w:vAlign w:val="bottom"/>
          </w:tcPr>
          <w:p>
            <w:pPr>
              <w:spacing w:after="0"/>
              <w:rPr>
                <w:sz w:val="18"/>
                <w:szCs w:val="18"/>
                <w:color w:val="auto"/>
              </w:rPr>
            </w:pPr>
          </w:p>
        </w:tc>
        <w:tc>
          <w:tcPr>
            <w:tcW w:w="7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Financial liabilities</w:t>
            </w:r>
          </w:p>
        </w:tc>
        <w:tc>
          <w:tcPr>
            <w:tcW w:w="2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720" w:type="dxa"/>
            <w:vAlign w:val="bottom"/>
            <w:tcBorders>
              <w:top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lease liabilities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3,689</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Trade and other payables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2,068</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2,658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expenses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8,067</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Short-term lease liabilities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852</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1,026</w:t>
            </w:r>
          </w:p>
        </w:tc>
        <w:tc>
          <w:tcPr>
            <w:tcW w:w="4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financial liabilities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14,676</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20,183</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Foreign exchange risk</w:t>
      </w:r>
    </w:p>
    <w:p>
      <w:pPr>
        <w:spacing w:after="0" w:line="215" w:lineRule="exact"/>
        <w:rPr>
          <w:sz w:val="20"/>
          <w:szCs w:val="20"/>
          <w:color w:val="auto"/>
        </w:rPr>
      </w:pPr>
    </w:p>
    <w:p>
      <w:pPr>
        <w:ind w:left="40" w:right="59" w:firstLine="305"/>
        <w:spacing w:after="0" w:line="251" w:lineRule="auto"/>
        <w:rPr>
          <w:sz w:val="20"/>
          <w:szCs w:val="20"/>
          <w:color w:val="auto"/>
        </w:rPr>
      </w:pPr>
      <w:r>
        <w:rPr>
          <w:rFonts w:ascii="Times New Roman" w:cs="Times New Roman" w:eastAsia="Times New Roman" w:hAnsi="Times New Roman"/>
          <w:sz w:val="17"/>
          <w:szCs w:val="17"/>
          <w:color w:val="auto"/>
        </w:rPr>
        <w:t>The Company is exposed to foreign exchange risk arising from currency exposures, primarily with respect to the EUR, USD and to a lesser extent to GBP, DKK and SEK. The currency exposure is not hedged. However, the Company has a policy of matching its cash holdings to the currency structure of its expenses, which means that the Company holds predominately CHF, with lesser balances of EUR and USD (see “Note 7. Cash and cash equivalents and short-term financial assets”). The Company recognized a loss of CHF 2.8 million, a loss of CHF 1.6 million and a loss of CHF 1.5 million for the years ended December 31, 2025, 2024 and 2023, respectively, within “Finance result, net.”</w:t>
      </w:r>
    </w:p>
    <w:p>
      <w:pPr>
        <w:spacing w:after="0" w:line="182" w:lineRule="exact"/>
        <w:rPr>
          <w:sz w:val="20"/>
          <w:szCs w:val="20"/>
          <w:color w:val="auto"/>
        </w:rPr>
      </w:pPr>
    </w:p>
    <w:p>
      <w:pPr>
        <w:ind w:left="40" w:right="119" w:firstLine="305"/>
        <w:spacing w:after="0" w:line="258" w:lineRule="auto"/>
        <w:rPr>
          <w:sz w:val="20"/>
          <w:szCs w:val="20"/>
          <w:color w:val="auto"/>
        </w:rPr>
      </w:pPr>
      <w:r>
        <w:rPr>
          <w:rFonts w:ascii="Times New Roman" w:cs="Times New Roman" w:eastAsia="Times New Roman" w:hAnsi="Times New Roman"/>
          <w:sz w:val="17"/>
          <w:szCs w:val="17"/>
          <w:color w:val="auto"/>
        </w:rPr>
        <w:t>As of December 31, 2025, if the CHF had strengthened/weakened by 10% against the EUR and the USD with all other variables held constant, the net loss for the period would have been lower/higher by CHF 3.3 million (2024: CHF 5.0 million), mainly as a result of foreign exchange gains/losses on predominantly EUR/USD denominated cash and cash equivalents and short-term financial assets.</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Interest rates</w:t>
      </w:r>
    </w:p>
    <w:p>
      <w:pPr>
        <w:spacing w:after="0" w:line="215" w:lineRule="exact"/>
        <w:rPr>
          <w:sz w:val="20"/>
          <w:szCs w:val="20"/>
          <w:color w:val="auto"/>
        </w:rPr>
      </w:pPr>
    </w:p>
    <w:p>
      <w:pPr>
        <w:ind w:left="40" w:right="139" w:firstLine="305"/>
        <w:spacing w:after="0" w:line="253" w:lineRule="auto"/>
        <w:rPr>
          <w:sz w:val="20"/>
          <w:szCs w:val="20"/>
          <w:color w:val="auto"/>
        </w:rPr>
      </w:pPr>
      <w:r>
        <w:rPr>
          <w:rFonts w:ascii="Times New Roman" w:cs="Times New Roman" w:eastAsia="Times New Roman" w:hAnsi="Times New Roman"/>
          <w:sz w:val="17"/>
          <w:szCs w:val="17"/>
          <w:color w:val="auto"/>
        </w:rPr>
        <w:t>The Company’s CHF cash holdings (inclusive of those held in short-term financial assets) were subject to positive interest rates at certain counterparty thresholds through 2025. As of December 31, 2025 if the interest rates granted by the counterparties had increased/decreased by 10%, the net income for the period would have been higher/lower by CHF 0.1 million. Interest income and interest expense are recorded within finance results, net in our consolidated statements of income/(loss).</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158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9">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207" w:name="page208"/>
    <w:bookmarkEnd w:id="20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Credit risk</w:t>
      </w:r>
    </w:p>
    <w:p>
      <w:pPr>
        <w:spacing w:after="0" w:line="215" w:lineRule="exact"/>
        <w:rPr>
          <w:sz w:val="20"/>
          <w:szCs w:val="20"/>
          <w:color w:val="auto"/>
        </w:rPr>
      </w:pPr>
    </w:p>
    <w:p>
      <w:pPr>
        <w:ind w:left="40" w:right="139" w:firstLine="305"/>
        <w:spacing w:after="0" w:line="276" w:lineRule="auto"/>
        <w:rPr>
          <w:sz w:val="20"/>
          <w:szCs w:val="20"/>
          <w:color w:val="auto"/>
        </w:rPr>
      </w:pPr>
      <w:r>
        <w:rPr>
          <w:rFonts w:ascii="Times New Roman" w:cs="Times New Roman" w:eastAsia="Times New Roman" w:hAnsi="Times New Roman"/>
          <w:sz w:val="16"/>
          <w:szCs w:val="16"/>
          <w:color w:val="auto"/>
        </w:rPr>
        <w:t>The Company maintains a formal treasury risk and investment management policy to limit counterparty credit risk. As of December 31, 2025, the Company’s cash and cash equivalents and short-term financial assets are held with six financial institutions, each with a high credit rating ranging from A+ to AA- assigned by international credit-rating agencies. The maximum amount of credit risk is the carrying amount of the financial assets. Other receivables are fully performing, not past due and not impaired (see “Note 7. Cash and cash equivalents and short-term financial assets” and “Note 10. Other current receivables”).</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Liquidity risk</w:t>
      </w:r>
    </w:p>
    <w:p>
      <w:pPr>
        <w:spacing w:after="0" w:line="202" w:lineRule="exact"/>
        <w:rPr>
          <w:sz w:val="20"/>
          <w:szCs w:val="20"/>
          <w:color w:val="auto"/>
        </w:rPr>
      </w:pPr>
    </w:p>
    <w:p>
      <w:pPr>
        <w:ind w:left="40" w:right="379" w:firstLine="305"/>
        <w:spacing w:after="0" w:line="258" w:lineRule="auto"/>
        <w:rPr>
          <w:sz w:val="20"/>
          <w:szCs w:val="20"/>
          <w:color w:val="auto"/>
        </w:rPr>
      </w:pPr>
      <w:r>
        <w:rPr>
          <w:rFonts w:ascii="Times New Roman" w:cs="Times New Roman" w:eastAsia="Times New Roman" w:hAnsi="Times New Roman"/>
          <w:sz w:val="17"/>
          <w:szCs w:val="17"/>
          <w:color w:val="auto"/>
        </w:rPr>
        <w:t>Inherent in the Company’s business are various risks and uncertainties, including the high uncertainty that new therapeutic concepts will succeed. AC Immune’s success may depend in part upon its ability to (i) establish and maintain a strong patent position and protection, (ii) enter into collaborations with partners in the pharmaceutical and biopharmaceutical industries, (iii) acquire and keep key personnel employed and (iv) acquire additional capital to support its operations.</w:t>
      </w:r>
    </w:p>
    <w:p>
      <w:pPr>
        <w:spacing w:after="0" w:line="175" w:lineRule="exact"/>
        <w:rPr>
          <w:sz w:val="20"/>
          <w:szCs w:val="20"/>
          <w:color w:val="auto"/>
        </w:rPr>
      </w:pPr>
    </w:p>
    <w:p>
      <w:pPr>
        <w:ind w:left="40" w:right="119" w:firstLine="305"/>
        <w:spacing w:after="0" w:line="251" w:lineRule="auto"/>
        <w:rPr>
          <w:sz w:val="20"/>
          <w:szCs w:val="20"/>
          <w:color w:val="auto"/>
        </w:rPr>
      </w:pPr>
      <w:r>
        <w:rPr>
          <w:rFonts w:ascii="Times New Roman" w:cs="Times New Roman" w:eastAsia="Times New Roman" w:hAnsi="Times New Roman"/>
          <w:sz w:val="17"/>
          <w:szCs w:val="17"/>
          <w:color w:val="auto"/>
        </w:rPr>
        <w:t>The Company’s approach of managing liquidity is to ensure sufficient cash to meet its liabilities when due. Therefore, management closely monitors the cash position on rolling forecasts based on expected cash flow to enable the Company to finance its operations for at least 12 months. The Company has CHF 2.1 million (CHF 2.7 million in prior year) in trade and other payables, and CHF 8.1 million (CHF 12.1 million in prior year) in accrued expenses which are due within 12 months from the reporting date. Finally, as it relates to the Company’s lease liabilities please see “Note 5. Right-of-use assets, long-term financial assets and lease liabilities” for detail of when corresponding lease liabilities are due.</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22. Capital risk management</w:t>
      </w:r>
    </w:p>
    <w:p>
      <w:pPr>
        <w:spacing w:after="0" w:line="215" w:lineRule="exact"/>
        <w:rPr>
          <w:sz w:val="20"/>
          <w:szCs w:val="20"/>
          <w:color w:val="auto"/>
        </w:rPr>
      </w:pPr>
    </w:p>
    <w:p>
      <w:pPr>
        <w:ind w:left="40" w:right="199" w:firstLine="305"/>
        <w:spacing w:after="0" w:line="263" w:lineRule="auto"/>
        <w:rPr>
          <w:sz w:val="20"/>
          <w:szCs w:val="20"/>
          <w:color w:val="auto"/>
        </w:rPr>
      </w:pPr>
      <w:r>
        <w:rPr>
          <w:rFonts w:ascii="Times New Roman" w:cs="Times New Roman" w:eastAsia="Times New Roman" w:hAnsi="Times New Roman"/>
          <w:sz w:val="17"/>
          <w:szCs w:val="17"/>
          <w:color w:val="auto"/>
        </w:rPr>
        <w:t>The Company’s objectives when managing capital are to safeguard the Company’s ability to continue as a going concern and to preserve the capital on the required statutory level in order to succeed in developing a cure against (i) AD, (ii) focused non-Alzheimer’s neurodegenerative diseases including NeuroOrphan indications and (iii) diagnostics.</w:t>
      </w: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23. Subsequent events</w:t>
      </w:r>
    </w:p>
    <w:p>
      <w:pPr>
        <w:spacing w:after="0" w:line="215" w:lineRule="exact"/>
        <w:rPr>
          <w:sz w:val="20"/>
          <w:szCs w:val="20"/>
          <w:color w:val="auto"/>
        </w:rPr>
      </w:pPr>
    </w:p>
    <w:p>
      <w:pPr>
        <w:ind w:left="40" w:right="99" w:firstLine="305"/>
        <w:spacing w:after="0" w:line="263" w:lineRule="auto"/>
        <w:rPr>
          <w:sz w:val="20"/>
          <w:szCs w:val="20"/>
          <w:color w:val="auto"/>
        </w:rPr>
      </w:pPr>
      <w:r>
        <w:rPr>
          <w:rFonts w:ascii="Times New Roman" w:cs="Times New Roman" w:eastAsia="Times New Roman" w:hAnsi="Times New Roman"/>
          <w:sz w:val="17"/>
          <w:szCs w:val="17"/>
          <w:color w:val="auto"/>
        </w:rPr>
        <w:t>Management has evaluated subsequent events after the balance sheet date, through the issuance of these consolidated financial statements, for appropriate accounting and disclosures. The Company has determined that there were no other such events that warrant disclosure or recognition in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41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0">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208" w:name="page209"/>
    <w:bookmarkEnd w:id="2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769735" cy="97516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1">
                      <a:extLst>
                        <a:ext uri="{28A0092B-C50C-407E-A947-70E740481C1C}"/>
                      </a:extLst>
                    </a:blip>
                    <a:srcRect/>
                    <a:stretch>
                      <a:fillRect/>
                    </a:stretch>
                  </pic:blipFill>
                  <pic:spPr bwMode="auto">
                    <a:xfrm>
                      <a:off x="0" y="0"/>
                      <a:ext cx="6769735" cy="9751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769735" cy="97516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2">
                      <a:extLst>
                        <a:ext uri="{28A0092B-C50C-407E-A947-70E740481C1C}"/>
                      </a:extLst>
                    </a:blip>
                    <a:srcRect/>
                    <a:stretch>
                      <a:fillRect/>
                    </a:stretch>
                  </pic:blipFill>
                  <pic:spPr bwMode="auto">
                    <a:xfrm>
                      <a:off x="0" y="0"/>
                      <a:ext cx="6769735" cy="9751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769735" cy="97516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3">
                      <a:extLst>
                        <a:ext uri="{28A0092B-C50C-407E-A947-70E740481C1C}"/>
                      </a:extLst>
                    </a:blip>
                    <a:srcRect/>
                    <a:stretch>
                      <a:fillRect/>
                    </a:stretch>
                  </pic:blipFill>
                  <pic:spPr bwMode="auto">
                    <a:xfrm>
                      <a:off x="0" y="0"/>
                      <a:ext cx="6769735" cy="9751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769735" cy="97516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4">
                      <a:extLst>
                        <a:ext uri="{28A0092B-C50C-407E-A947-70E740481C1C}"/>
                      </a:extLst>
                    </a:blip>
                    <a:srcRect/>
                    <a:stretch>
                      <a:fillRect/>
                    </a:stretch>
                  </pic:blipFill>
                  <pic:spPr bwMode="auto">
                    <a:xfrm>
                      <a:off x="0" y="0"/>
                      <a:ext cx="6769735" cy="9751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769735" cy="97516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5">
                      <a:extLst>
                        <a:ext uri="{28A0092B-C50C-407E-A947-70E740481C1C}"/>
                      </a:extLst>
                    </a:blip>
                    <a:srcRect/>
                    <a:stretch>
                      <a:fillRect/>
                    </a:stretch>
                  </pic:blipFill>
                  <pic:spPr bwMode="auto">
                    <a:xfrm>
                      <a:off x="0" y="0"/>
                      <a:ext cx="6769735" cy="9751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769735" cy="97516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6">
                      <a:extLst>
                        <a:ext uri="{28A0092B-C50C-407E-A947-70E740481C1C}"/>
                      </a:extLst>
                    </a:blip>
                    <a:srcRect/>
                    <a:stretch>
                      <a:fillRect/>
                    </a:stretch>
                  </pic:blipFill>
                  <pic:spPr bwMode="auto">
                    <a:xfrm>
                      <a:off x="0" y="0"/>
                      <a:ext cx="6769735" cy="9751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769735" cy="97516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7">
                      <a:extLst>
                        <a:ext uri="{28A0092B-C50C-407E-A947-70E740481C1C}"/>
                      </a:extLst>
                    </a:blip>
                    <a:srcRect/>
                    <a:stretch>
                      <a:fillRect/>
                    </a:stretch>
                  </pic:blipFill>
                  <pic:spPr bwMode="auto">
                    <a:xfrm>
                      <a:off x="0" y="0"/>
                      <a:ext cx="6769735" cy="9751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769735" cy="97516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8">
                      <a:extLst>
                        <a:ext uri="{28A0092B-C50C-407E-A947-70E740481C1C}"/>
                      </a:extLst>
                    </a:blip>
                    <a:srcRect/>
                    <a:stretch>
                      <a:fillRect/>
                    </a:stretch>
                  </pic:blipFill>
                  <pic:spPr bwMode="auto">
                    <a:xfrm>
                      <a:off x="0" y="0"/>
                      <a:ext cx="6769735" cy="9751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769735" cy="97516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9">
                      <a:extLst>
                        <a:ext uri="{28A0092B-C50C-407E-A947-70E740481C1C}"/>
                      </a:extLst>
                    </a:blip>
                    <a:srcRect/>
                    <a:stretch>
                      <a:fillRect/>
                    </a:stretch>
                  </pic:blipFill>
                  <pic:spPr bwMode="auto">
                    <a:xfrm>
                      <a:off x="0" y="0"/>
                      <a:ext cx="6769735" cy="9751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769735" cy="97516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0">
                      <a:extLst>
                        <a:ext uri="{28A0092B-C50C-407E-A947-70E740481C1C}"/>
                      </a:extLst>
                    </a:blip>
                    <a:srcRect/>
                    <a:stretch>
                      <a:fillRect/>
                    </a:stretch>
                  </pic:blipFill>
                  <pic:spPr bwMode="auto">
                    <a:xfrm>
                      <a:off x="0" y="0"/>
                      <a:ext cx="6769735" cy="9751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769735" cy="97516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1">
                      <a:extLst>
                        <a:ext uri="{28A0092B-C50C-407E-A947-70E740481C1C}"/>
                      </a:extLst>
                    </a:blip>
                    <a:srcRect/>
                    <a:stretch>
                      <a:fillRect/>
                    </a:stretch>
                  </pic:blipFill>
                  <pic:spPr bwMode="auto">
                    <a:xfrm>
                      <a:off x="0" y="0"/>
                      <a:ext cx="6769735" cy="9751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769735" cy="97516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2">
                      <a:extLst>
                        <a:ext uri="{28A0092B-C50C-407E-A947-70E740481C1C}"/>
                      </a:extLst>
                    </a:blip>
                    <a:srcRect/>
                    <a:stretch>
                      <a:fillRect/>
                    </a:stretch>
                  </pic:blipFill>
                  <pic:spPr bwMode="auto">
                    <a:xfrm>
                      <a:off x="0" y="0"/>
                      <a:ext cx="6769735" cy="9751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769735" cy="97516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3">
                      <a:extLst>
                        <a:ext uri="{28A0092B-C50C-407E-A947-70E740481C1C}"/>
                      </a:extLst>
                    </a:blip>
                    <a:srcRect/>
                    <a:stretch>
                      <a:fillRect/>
                    </a:stretch>
                  </pic:blipFill>
                  <pic:spPr bwMode="auto">
                    <a:xfrm>
                      <a:off x="0" y="0"/>
                      <a:ext cx="6769735" cy="9751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769735" cy="97516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4">
                      <a:extLst>
                        <a:ext uri="{28A0092B-C50C-407E-A947-70E740481C1C}"/>
                      </a:extLst>
                    </a:blip>
                    <a:srcRect/>
                    <a:stretch>
                      <a:fillRect/>
                    </a:stretch>
                  </pic:blipFill>
                  <pic:spPr bwMode="auto">
                    <a:xfrm>
                      <a:off x="0" y="0"/>
                      <a:ext cx="6769735" cy="9751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769735" cy="97516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5">
                      <a:extLst>
                        <a:ext uri="{28A0092B-C50C-407E-A947-70E740481C1C}"/>
                      </a:extLst>
                    </a:blip>
                    <a:srcRect/>
                    <a:stretch>
                      <a:fillRect/>
                    </a:stretch>
                  </pic:blipFill>
                  <pic:spPr bwMode="auto">
                    <a:xfrm>
                      <a:off x="0" y="0"/>
                      <a:ext cx="6769735" cy="9751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769735" cy="97516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6">
                      <a:extLst>
                        <a:ext uri="{28A0092B-C50C-407E-A947-70E740481C1C}"/>
                      </a:extLst>
                    </a:blip>
                    <a:srcRect/>
                    <a:stretch>
                      <a:fillRect/>
                    </a:stretch>
                  </pic:blipFill>
                  <pic:spPr bwMode="auto">
                    <a:xfrm>
                      <a:off x="0" y="0"/>
                      <a:ext cx="6769735" cy="9751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769735" cy="97516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7">
                      <a:extLst>
                        <a:ext uri="{28A0092B-C50C-407E-A947-70E740481C1C}"/>
                      </a:extLst>
                    </a:blip>
                    <a:srcRect/>
                    <a:stretch>
                      <a:fillRect/>
                    </a:stretch>
                  </pic:blipFill>
                  <pic:spPr bwMode="auto">
                    <a:xfrm>
                      <a:off x="0" y="0"/>
                      <a:ext cx="6769735" cy="9751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769735" cy="97516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8">
                      <a:extLst>
                        <a:ext uri="{28A0092B-C50C-407E-A947-70E740481C1C}"/>
                      </a:extLst>
                    </a:blip>
                    <a:srcRect/>
                    <a:stretch>
                      <a:fillRect/>
                    </a:stretch>
                  </pic:blipFill>
                  <pic:spPr bwMode="auto">
                    <a:xfrm>
                      <a:off x="0" y="0"/>
                      <a:ext cx="6769735" cy="9751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769735" cy="97516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9">
                      <a:extLst>
                        <a:ext uri="{28A0092B-C50C-407E-A947-70E740481C1C}"/>
                      </a:extLst>
                    </a:blip>
                    <a:srcRect/>
                    <a:stretch>
                      <a:fillRect/>
                    </a:stretch>
                  </pic:blipFill>
                  <pic:spPr bwMode="auto">
                    <a:xfrm>
                      <a:off x="0" y="0"/>
                      <a:ext cx="6769735" cy="9751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769735" cy="97516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0">
                      <a:extLst>
                        <a:ext uri="{28A0092B-C50C-407E-A947-70E740481C1C}"/>
                      </a:extLst>
                    </a:blip>
                    <a:srcRect/>
                    <a:stretch>
                      <a:fillRect/>
                    </a:stretch>
                  </pic:blipFill>
                  <pic:spPr bwMode="auto">
                    <a:xfrm>
                      <a:off x="0" y="0"/>
                      <a:ext cx="6769735" cy="9751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769735" cy="97516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1">
                      <a:extLst>
                        <a:ext uri="{28A0092B-C50C-407E-A947-70E740481C1C}"/>
                      </a:extLst>
                    </a:blip>
                    <a:srcRect/>
                    <a:stretch>
                      <a:fillRect/>
                    </a:stretch>
                  </pic:blipFill>
                  <pic:spPr bwMode="auto">
                    <a:xfrm>
                      <a:off x="0" y="0"/>
                      <a:ext cx="6769735" cy="9751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769735" cy="97516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2">
                      <a:extLst>
                        <a:ext uri="{28A0092B-C50C-407E-A947-70E740481C1C}"/>
                      </a:extLst>
                    </a:blip>
                    <a:srcRect/>
                    <a:stretch>
                      <a:fillRect/>
                    </a:stretch>
                  </pic:blipFill>
                  <pic:spPr bwMode="auto">
                    <a:xfrm>
                      <a:off x="0" y="0"/>
                      <a:ext cx="6769735" cy="9751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769735" cy="97516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3">
                      <a:extLst>
                        <a:ext uri="{28A0092B-C50C-407E-A947-70E740481C1C}"/>
                      </a:extLst>
                    </a:blip>
                    <a:srcRect/>
                    <a:stretch>
                      <a:fillRect/>
                    </a:stretch>
                  </pic:blipFill>
                  <pic:spPr bwMode="auto">
                    <a:xfrm>
                      <a:off x="0" y="0"/>
                      <a:ext cx="6769735" cy="9751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769735" cy="97516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4">
                      <a:extLst>
                        <a:ext uri="{28A0092B-C50C-407E-A947-70E740481C1C}"/>
                      </a:extLst>
                    </a:blip>
                    <a:srcRect/>
                    <a:stretch>
                      <a:fillRect/>
                    </a:stretch>
                  </pic:blipFill>
                  <pic:spPr bwMode="auto">
                    <a:xfrm>
                      <a:off x="0" y="0"/>
                      <a:ext cx="6769735" cy="9751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769735" cy="97516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5">
                      <a:extLst>
                        <a:ext uri="{28A0092B-C50C-407E-A947-70E740481C1C}"/>
                      </a:extLst>
                    </a:blip>
                    <a:srcRect/>
                    <a:stretch>
                      <a:fillRect/>
                    </a:stretch>
                  </pic:blipFill>
                  <pic:spPr bwMode="auto">
                    <a:xfrm>
                      <a:off x="0" y="0"/>
                      <a:ext cx="6769735" cy="9751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769735" cy="97516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6">
                      <a:extLst>
                        <a:ext uri="{28A0092B-C50C-407E-A947-70E740481C1C}"/>
                      </a:extLst>
                    </a:blip>
                    <a:srcRect/>
                    <a:stretch>
                      <a:fillRect/>
                    </a:stretch>
                  </pic:blipFill>
                  <pic:spPr bwMode="auto">
                    <a:xfrm>
                      <a:off x="0" y="0"/>
                      <a:ext cx="6769735" cy="9751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769735" cy="97516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7">
                      <a:extLst>
                        <a:ext uri="{28A0092B-C50C-407E-A947-70E740481C1C}"/>
                      </a:extLst>
                    </a:blip>
                    <a:srcRect/>
                    <a:stretch>
                      <a:fillRect/>
                    </a:stretch>
                  </pic:blipFill>
                  <pic:spPr bwMode="auto">
                    <a:xfrm>
                      <a:off x="0" y="0"/>
                      <a:ext cx="6769735" cy="9751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769735" cy="97516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8">
                      <a:extLst>
                        <a:ext uri="{28A0092B-C50C-407E-A947-70E740481C1C}"/>
                      </a:extLst>
                    </a:blip>
                    <a:srcRect/>
                    <a:stretch>
                      <a:fillRect/>
                    </a:stretch>
                  </pic:blipFill>
                  <pic:spPr bwMode="auto">
                    <a:xfrm>
                      <a:off x="0" y="0"/>
                      <a:ext cx="6769735" cy="9751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769735" cy="97516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9">
                      <a:extLst>
                        <a:ext uri="{28A0092B-C50C-407E-A947-70E740481C1C}"/>
                      </a:extLst>
                    </a:blip>
                    <a:srcRect/>
                    <a:stretch>
                      <a:fillRect/>
                    </a:stretch>
                  </pic:blipFill>
                  <pic:spPr bwMode="auto">
                    <a:xfrm>
                      <a:off x="0" y="0"/>
                      <a:ext cx="6769735" cy="9751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769735" cy="975169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0">
                      <a:extLst>
                        <a:ext uri="{28A0092B-C50C-407E-A947-70E740481C1C}"/>
                      </a:extLst>
                    </a:blip>
                    <a:srcRect/>
                    <a:stretch>
                      <a:fillRect/>
                    </a:stretch>
                  </pic:blipFill>
                  <pic:spPr bwMode="auto">
                    <a:xfrm>
                      <a:off x="0" y="0"/>
                      <a:ext cx="6769735" cy="9751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769735" cy="975169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1">
                      <a:extLst>
                        <a:ext uri="{28A0092B-C50C-407E-A947-70E740481C1C}"/>
                      </a:extLst>
                    </a:blip>
                    <a:srcRect/>
                    <a:stretch>
                      <a:fillRect/>
                    </a:stretch>
                  </pic:blipFill>
                  <pic:spPr bwMode="auto">
                    <a:xfrm>
                      <a:off x="0" y="0"/>
                      <a:ext cx="6769735" cy="9751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769735" cy="975169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2">
                      <a:extLst>
                        <a:ext uri="{28A0092B-C50C-407E-A947-70E740481C1C}"/>
                      </a:extLst>
                    </a:blip>
                    <a:srcRect/>
                    <a:stretch>
                      <a:fillRect/>
                    </a:stretch>
                  </pic:blipFill>
                  <pic:spPr bwMode="auto">
                    <a:xfrm>
                      <a:off x="0" y="0"/>
                      <a:ext cx="6769735" cy="9751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769735" cy="97516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3">
                      <a:extLst>
                        <a:ext uri="{28A0092B-C50C-407E-A947-70E740481C1C}"/>
                      </a:extLst>
                    </a:blip>
                    <a:srcRect/>
                    <a:stretch>
                      <a:fillRect/>
                    </a:stretch>
                  </pic:blipFill>
                  <pic:spPr bwMode="auto">
                    <a:xfrm>
                      <a:off x="0" y="0"/>
                      <a:ext cx="6769735" cy="9751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769735" cy="97516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4">
                      <a:extLst>
                        <a:ext uri="{28A0092B-C50C-407E-A947-70E740481C1C}"/>
                      </a:extLst>
                    </a:blip>
                    <a:srcRect/>
                    <a:stretch>
                      <a:fillRect/>
                    </a:stretch>
                  </pic:blipFill>
                  <pic:spPr bwMode="auto">
                    <a:xfrm>
                      <a:off x="0" y="0"/>
                      <a:ext cx="6769735" cy="9751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769735" cy="97516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5">
                      <a:extLst>
                        <a:ext uri="{28A0092B-C50C-407E-A947-70E740481C1C}"/>
                      </a:extLst>
                    </a:blip>
                    <a:srcRect/>
                    <a:stretch>
                      <a:fillRect/>
                    </a:stretch>
                  </pic:blipFill>
                  <pic:spPr bwMode="auto">
                    <a:xfrm>
                      <a:off x="0" y="0"/>
                      <a:ext cx="6769735" cy="9751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769735" cy="97516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6">
                      <a:extLst>
                        <a:ext uri="{28A0092B-C50C-407E-A947-70E740481C1C}"/>
                      </a:extLst>
                    </a:blip>
                    <a:srcRect/>
                    <a:stretch>
                      <a:fillRect/>
                    </a:stretch>
                  </pic:blipFill>
                  <pic:spPr bwMode="auto">
                    <a:xfrm>
                      <a:off x="0" y="0"/>
                      <a:ext cx="6769735" cy="9751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jc w:val="right"/>
        <w:spacing w:after="0"/>
        <w:rPr>
          <w:sz w:val="20"/>
          <w:szCs w:val="20"/>
          <w:color w:val="auto"/>
        </w:rPr>
      </w:pPr>
      <w:r>
        <w:rPr>
          <w:rFonts w:ascii="Times New Roman" w:cs="Times New Roman" w:eastAsia="Times New Roman" w:hAnsi="Times New Roman"/>
          <w:sz w:val="17"/>
          <w:szCs w:val="17"/>
          <w:b w:val="1"/>
          <w:bCs w:val="1"/>
          <w:color w:val="auto"/>
        </w:rPr>
        <w:t>Exhibit 4.19</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THE REGISTRANT’S SECURITIES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REGISTERED PURSUANT TO SECTION 12 OF THE SECURITIES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EXCHANGE ACT OF 1934</w:t>
      </w:r>
    </w:p>
    <w:p>
      <w:pPr>
        <w:spacing w:after="0" w:line="173" w:lineRule="exact"/>
        <w:rPr>
          <w:sz w:val="20"/>
          <w:szCs w:val="20"/>
          <w:color w:val="auto"/>
        </w:rPr>
      </w:pPr>
    </w:p>
    <w:p>
      <w:pPr>
        <w:ind w:right="20" w:firstLine="305"/>
        <w:spacing w:after="0" w:line="257" w:lineRule="auto"/>
        <w:rPr>
          <w:sz w:val="20"/>
          <w:szCs w:val="20"/>
          <w:color w:val="auto"/>
        </w:rPr>
      </w:pPr>
      <w:r>
        <w:rPr>
          <w:rFonts w:ascii="Times New Roman" w:cs="Times New Roman" w:eastAsia="Times New Roman" w:hAnsi="Times New Roman"/>
          <w:sz w:val="17"/>
          <w:szCs w:val="17"/>
          <w:i w:val="1"/>
          <w:iCs w:val="1"/>
          <w:color w:val="auto"/>
        </w:rPr>
        <w:t>The following is a summary of the material terms of our securities registered under Section 12 of the Securities Exchange Act of 1934, as amended (the “Exchange Act”), as of March 13, 2026. The following description of the terms of our common shares is not meant to be complete and is qualified by reference to our articles of association (“articles of association”), which is incorporated by reference as an exhibit to our Annual Report on Form 20-F, of which this exhibit is a part. We encourage you to read our articles of association and the applicable provisions of Swiss law for additional information.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Company</w:t>
      </w:r>
    </w:p>
    <w:p>
      <w:pPr>
        <w:spacing w:after="0" w:line="173" w:lineRule="exact"/>
        <w:rPr>
          <w:sz w:val="20"/>
          <w:szCs w:val="20"/>
          <w:color w:val="auto"/>
        </w:rPr>
      </w:pPr>
    </w:p>
    <w:p>
      <w:pPr>
        <w:ind w:firstLine="305"/>
        <w:spacing w:after="0" w:line="257" w:lineRule="auto"/>
        <w:rPr>
          <w:sz w:val="20"/>
          <w:szCs w:val="20"/>
          <w:color w:val="auto"/>
        </w:rPr>
      </w:pPr>
      <w:r>
        <w:rPr>
          <w:rFonts w:ascii="Times New Roman" w:cs="Times New Roman" w:eastAsia="Times New Roman" w:hAnsi="Times New Roman"/>
          <w:sz w:val="17"/>
          <w:szCs w:val="17"/>
          <w:color w:val="auto"/>
        </w:rPr>
        <w:t>We are a Swiss stock corporation (</w:t>
      </w:r>
      <w:r>
        <w:rPr>
          <w:rFonts w:ascii="Times New Roman" w:cs="Times New Roman" w:eastAsia="Times New Roman" w:hAnsi="Times New Roman"/>
          <w:sz w:val="17"/>
          <w:szCs w:val="17"/>
          <w:i w:val="1"/>
          <w:iCs w:val="1"/>
          <w:color w:val="auto"/>
        </w:rPr>
        <w:t>société anonyme</w:t>
      </w:r>
      <w:r>
        <w:rPr>
          <w:rFonts w:ascii="Times New Roman" w:cs="Times New Roman" w:eastAsia="Times New Roman" w:hAnsi="Times New Roman"/>
          <w:sz w:val="17"/>
          <w:szCs w:val="17"/>
          <w:color w:val="auto"/>
        </w:rPr>
        <w:t>) organized under the laws of Switzerland. We were formed as a Swiss limited liability company (</w:t>
      </w:r>
      <w:r>
        <w:rPr>
          <w:rFonts w:ascii="Times New Roman" w:cs="Times New Roman" w:eastAsia="Times New Roman" w:hAnsi="Times New Roman"/>
          <w:sz w:val="17"/>
          <w:szCs w:val="17"/>
          <w:i w:val="1"/>
          <w:iCs w:val="1"/>
          <w:color w:val="auto"/>
        </w:rPr>
        <w:t>société à responsabilité limitée</w:t>
      </w:r>
      <w:r>
        <w:rPr>
          <w:rFonts w:ascii="Times New Roman" w:cs="Times New Roman" w:eastAsia="Times New Roman" w:hAnsi="Times New Roman"/>
          <w:sz w:val="17"/>
          <w:szCs w:val="17"/>
          <w:color w:val="auto"/>
        </w:rPr>
        <w:t>) on February 13, 2003 with our registered office and domicile in Basel, Switzerland. We converted to a Swiss stock corporation (</w:t>
      </w:r>
      <w:r>
        <w:rPr>
          <w:rFonts w:ascii="Times New Roman" w:cs="Times New Roman" w:eastAsia="Times New Roman" w:hAnsi="Times New Roman"/>
          <w:sz w:val="17"/>
          <w:szCs w:val="17"/>
          <w:i w:val="1"/>
          <w:iCs w:val="1"/>
          <w:color w:val="auto"/>
        </w:rPr>
        <w:t>société anonyme</w:t>
      </w:r>
      <w:r>
        <w:rPr>
          <w:rFonts w:ascii="Times New Roman" w:cs="Times New Roman" w:eastAsia="Times New Roman" w:hAnsi="Times New Roman"/>
          <w:sz w:val="17"/>
          <w:szCs w:val="17"/>
          <w:color w:val="auto"/>
        </w:rPr>
        <w:t>) under the laws of Switzerland on August 25, 2003. Our Swiss enterprise identification number is CHE-109.878.825. Our domicile and registered office is in Ecublens, at the École Polytechnique Fédérale Lausanne (EPFL) Innovation Park Building B, 1015 Lausanne, Vaud, Switzerland.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Capital</w:t>
      </w:r>
    </w:p>
    <w:p>
      <w:pPr>
        <w:spacing w:after="0" w:line="189" w:lineRule="exact"/>
        <w:rPr>
          <w:sz w:val="20"/>
          <w:szCs w:val="20"/>
          <w:color w:val="auto"/>
        </w:rPr>
      </w:pPr>
    </w:p>
    <w:p>
      <w:pPr>
        <w:ind w:right="40" w:firstLine="305"/>
        <w:spacing w:after="0" w:line="263" w:lineRule="auto"/>
        <w:rPr>
          <w:sz w:val="20"/>
          <w:szCs w:val="20"/>
          <w:color w:val="auto"/>
        </w:rPr>
      </w:pPr>
      <w:r>
        <w:rPr>
          <w:rFonts w:ascii="Times New Roman" w:cs="Times New Roman" w:eastAsia="Times New Roman" w:hAnsi="Times New Roman"/>
          <w:sz w:val="17"/>
          <w:szCs w:val="17"/>
          <w:color w:val="auto"/>
        </w:rPr>
        <w:t>As of March 13, 2026, our issued share capital is CHF 2,202,018.50, consisting of 110,100,925 common shares of which 10,899,773 are held as treasury shares, leaving 99,201,152 common shares outstanding with a nominal value of CHF 0.02 each. We have no dividend rights certificates (</w:t>
      </w:r>
      <w:r>
        <w:rPr>
          <w:rFonts w:ascii="Times New Roman" w:cs="Times New Roman" w:eastAsia="Times New Roman" w:hAnsi="Times New Roman"/>
          <w:sz w:val="17"/>
          <w:szCs w:val="17"/>
          <w:i w:val="1"/>
          <w:iCs w:val="1"/>
          <w:color w:val="auto"/>
        </w:rPr>
        <w:t>bons de jouissance</w:t>
      </w:r>
      <w:r>
        <w:rPr>
          <w:rFonts w:ascii="Times New Roman" w:cs="Times New Roman" w:eastAsia="Times New Roman" w:hAnsi="Times New Roman"/>
          <w:sz w:val="17"/>
          <w:szCs w:val="17"/>
          <w:color w:val="auto"/>
        </w:rPr>
        <w: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Articles of Association</w:t>
      </w:r>
    </w:p>
    <w:p>
      <w:pPr>
        <w:spacing w:after="0" w:line="177" w:lineRule="exact"/>
        <w:rPr>
          <w:sz w:val="20"/>
          <w:szCs w:val="20"/>
          <w:color w:val="auto"/>
        </w:rPr>
      </w:pPr>
    </w:p>
    <w:p>
      <w:pPr>
        <w:ind w:right="320" w:firstLine="305"/>
        <w:spacing w:after="0" w:line="277" w:lineRule="auto"/>
        <w:rPr>
          <w:sz w:val="20"/>
          <w:szCs w:val="20"/>
          <w:color w:val="auto"/>
        </w:rPr>
      </w:pPr>
      <w:r>
        <w:rPr>
          <w:rFonts w:ascii="Times New Roman" w:cs="Times New Roman" w:eastAsia="Times New Roman" w:hAnsi="Times New Roman"/>
          <w:sz w:val="17"/>
          <w:szCs w:val="17"/>
          <w:color w:val="auto"/>
        </w:rPr>
        <w:t>On March 6, 2026, we adopted amended articles of association and when we refer to our articles of association, we refer to the articles of association as filed as Exhibit 3.1 to this Annual Report on Form 20-F.</w:t>
      </w:r>
    </w:p>
    <w:p>
      <w:pPr>
        <w:spacing w:after="0" w:line="1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Purpose</w:t>
      </w:r>
    </w:p>
    <w:p>
      <w:pPr>
        <w:spacing w:after="0" w:line="177" w:lineRule="exact"/>
        <w:rPr>
          <w:sz w:val="20"/>
          <w:szCs w:val="20"/>
          <w:color w:val="auto"/>
        </w:rPr>
      </w:pPr>
    </w:p>
    <w:p>
      <w:pPr>
        <w:ind w:right="100" w:firstLine="305"/>
        <w:spacing w:after="0" w:line="256" w:lineRule="auto"/>
        <w:rPr>
          <w:sz w:val="20"/>
          <w:szCs w:val="20"/>
          <w:color w:val="auto"/>
        </w:rPr>
      </w:pPr>
      <w:r>
        <w:rPr>
          <w:rFonts w:ascii="Times New Roman" w:cs="Times New Roman" w:eastAsia="Times New Roman" w:hAnsi="Times New Roman"/>
          <w:sz w:val="17"/>
          <w:szCs w:val="17"/>
          <w:color w:val="auto"/>
        </w:rPr>
        <w:t>Under our articles of association, our purpose is the research, study, development, manufacture, promotion, sale and marketing of products and substances within the pharmaceutical and nutrition industry as well as the purchase, sale and exploitation of patents and licenses in this field. We may engage in any activities which are apt to favor our purpose directly or indirectly. We may also acquire and sell real estate. We may open branch offices in Switzerland and abroad and may also acquire participations in other companies. We may provide securities to our subsidiaries and supply guarantees.</w:t>
      </w:r>
    </w:p>
    <w:p>
      <w:pPr>
        <w:spacing w:after="0" w:line="1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Ordinary Capital Increase and Conditional Share Capital</w:t>
      </w:r>
    </w:p>
    <w:p>
      <w:pPr>
        <w:spacing w:after="0" w:line="185" w:lineRule="exact"/>
        <w:rPr>
          <w:sz w:val="20"/>
          <w:szCs w:val="20"/>
          <w:color w:val="auto"/>
        </w:rPr>
      </w:pPr>
    </w:p>
    <w:p>
      <w:pPr>
        <w:ind w:right="100" w:firstLine="305"/>
        <w:spacing w:after="0" w:line="254" w:lineRule="auto"/>
        <w:rPr>
          <w:sz w:val="20"/>
          <w:szCs w:val="20"/>
          <w:color w:val="auto"/>
        </w:rPr>
      </w:pPr>
      <w:r>
        <w:rPr>
          <w:rFonts w:ascii="Times New Roman" w:cs="Times New Roman" w:eastAsia="Times New Roman" w:hAnsi="Times New Roman"/>
          <w:sz w:val="17"/>
          <w:szCs w:val="17"/>
          <w:color w:val="auto"/>
        </w:rPr>
        <w:t>Under Swiss law, we may increase our share capital (</w:t>
      </w:r>
      <w:r>
        <w:rPr>
          <w:rFonts w:ascii="Times New Roman" w:cs="Times New Roman" w:eastAsia="Times New Roman" w:hAnsi="Times New Roman"/>
          <w:sz w:val="17"/>
          <w:szCs w:val="17"/>
          <w:i w:val="1"/>
          <w:iCs w:val="1"/>
          <w:color w:val="auto"/>
        </w:rPr>
        <w:t>capital-actions</w:t>
      </w:r>
      <w:r>
        <w:rPr>
          <w:rFonts w:ascii="Times New Roman" w:cs="Times New Roman" w:eastAsia="Times New Roman" w:hAnsi="Times New Roman"/>
          <w:sz w:val="17"/>
          <w:szCs w:val="17"/>
          <w:color w:val="auto"/>
        </w:rPr>
        <w:t>) with a resolution of the general meeting of shareholders (ordinary capital increase) that must be carried out by the board of directors within six months of the general meeting of shareholders in order to become effective. Under our articles of association, in the case of an increase of capital against payment of contributions in cash, a resolution passed by a simple majority of the votes cast at the general meeting of shareholders regardless of abstentions and empty or invalid votes is required. In the case of the limitation or withdrawal of subscription rights or in the case of an increase of capital out of equity, against contribution in kind, or for the purpose of acquisition of assets and the granting of special benefits, a resolution passed by at least two-thirds of the shares represented at a general meeting of shareholders and the absolute majority of the nominal amount of the shares represented is required.</w:t>
      </w:r>
    </w:p>
    <w:p>
      <w:pPr>
        <w:spacing w:after="0" w:line="142" w:lineRule="exact"/>
        <w:rPr>
          <w:sz w:val="20"/>
          <w:szCs w:val="20"/>
          <w:color w:val="auto"/>
        </w:rPr>
      </w:pPr>
    </w:p>
    <w:p>
      <w:pPr>
        <w:ind w:right="20" w:firstLine="305"/>
        <w:spacing w:after="0" w:line="254" w:lineRule="auto"/>
        <w:rPr>
          <w:sz w:val="20"/>
          <w:szCs w:val="20"/>
          <w:color w:val="auto"/>
        </w:rPr>
      </w:pPr>
      <w:r>
        <w:rPr>
          <w:rFonts w:ascii="Times New Roman" w:cs="Times New Roman" w:eastAsia="Times New Roman" w:hAnsi="Times New Roman"/>
          <w:sz w:val="17"/>
          <w:szCs w:val="17"/>
          <w:color w:val="auto"/>
        </w:rPr>
        <w:t>Furthermore, under the Swiss Code of Obligations, the CO, our shareholders, by a resolution passed by at least two-thirds of the shares represented at a general meeting of shareholders and the absolute majority of the nominal amount of the shares represented, may empower our board of directors to issue shares of a specific aggregate nominal amount up to a maximum of 50% of the share capital in the form of conditional capital (</w:t>
      </w:r>
      <w:r>
        <w:rPr>
          <w:rFonts w:ascii="Times New Roman" w:cs="Times New Roman" w:eastAsia="Times New Roman" w:hAnsi="Times New Roman"/>
          <w:sz w:val="17"/>
          <w:szCs w:val="17"/>
          <w:i w:val="1"/>
          <w:iCs w:val="1"/>
          <w:color w:val="auto"/>
        </w:rPr>
        <w:t>capital conditionnel</w:t>
      </w:r>
      <w:r>
        <w:rPr>
          <w:rFonts w:ascii="Times New Roman" w:cs="Times New Roman" w:eastAsia="Times New Roman" w:hAnsi="Times New Roman"/>
          <w:sz w:val="17"/>
          <w:szCs w:val="17"/>
          <w:color w:val="auto"/>
        </w:rPr>
        <w:t>) for the purpose of issuing shares in connection with, among other things, (i) the exercise of conversion and/or option or warrant rights granted on a standalone basis or in connection with bonds or similar instruments, issued or to be issued by the Company or by one of our subsidiaries or (ii) the exercise of option rights granted to employees of the Company or a subsidiary, members of our board of directors or any consultant of the Company, or other persons providing services to the Company or a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791210</wp:posOffset>
            </wp:positionV>
            <wp:extent cx="6302375" cy="158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7">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245" w:name="page246"/>
    <w:bookmarkEnd w:id="245"/>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Pre-Emptive Rights</w:t>
      </w:r>
    </w:p>
    <w:p>
      <w:pPr>
        <w:spacing w:after="0" w:line="173" w:lineRule="exact"/>
        <w:rPr>
          <w:sz w:val="20"/>
          <w:szCs w:val="20"/>
          <w:color w:val="auto"/>
        </w:rPr>
      </w:pPr>
    </w:p>
    <w:p>
      <w:pPr>
        <w:jc w:val="both"/>
        <w:ind w:right="480" w:firstLine="305"/>
        <w:spacing w:after="0" w:line="266" w:lineRule="auto"/>
        <w:rPr>
          <w:sz w:val="20"/>
          <w:szCs w:val="20"/>
          <w:color w:val="auto"/>
        </w:rPr>
      </w:pPr>
      <w:r>
        <w:rPr>
          <w:rFonts w:ascii="Times New Roman" w:cs="Times New Roman" w:eastAsia="Times New Roman" w:hAnsi="Times New Roman"/>
          <w:sz w:val="17"/>
          <w:szCs w:val="17"/>
          <w:color w:val="auto"/>
        </w:rPr>
        <w:t>Pursuant to the CO, shareholders have in principle pre-emptive subscription rights (</w:t>
      </w:r>
      <w:r>
        <w:rPr>
          <w:rFonts w:ascii="Times New Roman" w:cs="Times New Roman" w:eastAsia="Times New Roman" w:hAnsi="Times New Roman"/>
          <w:sz w:val="17"/>
          <w:szCs w:val="17"/>
          <w:i w:val="1"/>
          <w:iCs w:val="1"/>
          <w:color w:val="auto"/>
        </w:rPr>
        <w:t>droit préférentiel de souscription</w:t>
      </w:r>
      <w:r>
        <w:rPr>
          <w:rFonts w:ascii="Times New Roman" w:cs="Times New Roman" w:eastAsia="Times New Roman" w:hAnsi="Times New Roman"/>
          <w:sz w:val="17"/>
          <w:szCs w:val="17"/>
          <w:color w:val="auto"/>
        </w:rPr>
        <w:t>). With respect to conditional capital in connection with the issuance of conversion rights, convertible bonds or similar debt instruments, shareholders have in principle advance subscription rights (</w:t>
      </w:r>
      <w:r>
        <w:rPr>
          <w:rFonts w:ascii="Times New Roman" w:cs="Times New Roman" w:eastAsia="Times New Roman" w:hAnsi="Times New Roman"/>
          <w:sz w:val="17"/>
          <w:szCs w:val="17"/>
          <w:i w:val="1"/>
          <w:iCs w:val="1"/>
          <w:color w:val="auto"/>
        </w:rPr>
        <w:t>droit de souscrire préalablement</w:t>
      </w:r>
      <w:r>
        <w:rPr>
          <w:rFonts w:ascii="Times New Roman" w:cs="Times New Roman" w:eastAsia="Times New Roman" w:hAnsi="Times New Roman"/>
          <w:sz w:val="17"/>
          <w:szCs w:val="17"/>
          <w:color w:val="auto"/>
        </w:rPr>
        <w:t>).</w:t>
      </w:r>
    </w:p>
    <w:p>
      <w:pPr>
        <w:spacing w:after="0" w:line="141" w:lineRule="exact"/>
        <w:rPr>
          <w:sz w:val="20"/>
          <w:szCs w:val="20"/>
          <w:color w:val="auto"/>
        </w:rPr>
      </w:pPr>
    </w:p>
    <w:p>
      <w:pPr>
        <w:jc w:val="both"/>
        <w:ind w:right="380" w:firstLine="305"/>
        <w:spacing w:after="0" w:line="263" w:lineRule="auto"/>
        <w:rPr>
          <w:sz w:val="20"/>
          <w:szCs w:val="20"/>
          <w:color w:val="auto"/>
        </w:rPr>
      </w:pPr>
      <w:r>
        <w:rPr>
          <w:rFonts w:ascii="Times New Roman" w:cs="Times New Roman" w:eastAsia="Times New Roman" w:hAnsi="Times New Roman"/>
          <w:sz w:val="17"/>
          <w:szCs w:val="17"/>
          <w:color w:val="auto"/>
        </w:rPr>
        <w:t>A resolution passed at a general meeting of shareholders by at least two-thirds of the shares represented and the absolute majority of the nominal value of the shares represented may authorize our board of directors to withdraw or limit pre-emptive subscription rights or advance subscription rights in certain circumstances.</w:t>
      </w:r>
    </w:p>
    <w:p>
      <w:pPr>
        <w:spacing w:after="0" w:line="132" w:lineRule="exact"/>
        <w:rPr>
          <w:sz w:val="20"/>
          <w:szCs w:val="20"/>
          <w:color w:val="auto"/>
        </w:rPr>
      </w:pPr>
    </w:p>
    <w:p>
      <w:pPr>
        <w:ind w:right="760" w:firstLine="305"/>
        <w:spacing w:after="0" w:line="277" w:lineRule="auto"/>
        <w:rPr>
          <w:sz w:val="20"/>
          <w:szCs w:val="20"/>
          <w:color w:val="auto"/>
        </w:rPr>
      </w:pPr>
      <w:r>
        <w:rPr>
          <w:rFonts w:ascii="Times New Roman" w:cs="Times New Roman" w:eastAsia="Times New Roman" w:hAnsi="Times New Roman"/>
          <w:sz w:val="17"/>
          <w:szCs w:val="17"/>
          <w:color w:val="auto"/>
        </w:rPr>
        <w:t>If pre-emptive subscription rights are granted, but not exercised, the board of directors may allocate the non-exercised pre-emptive subscription rights as it elects but has to follow the principle of equal treatment of the shareholders.</w:t>
      </w:r>
    </w:p>
    <w:p>
      <w:pPr>
        <w:spacing w:after="0" w:line="1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Our Conditional Share Capital</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Conditional Share Capital for Financing and Other Purposes</w:t>
      </w:r>
    </w:p>
    <w:p>
      <w:pPr>
        <w:spacing w:after="0" w:line="177" w:lineRule="exact"/>
        <w:rPr>
          <w:sz w:val="20"/>
          <w:szCs w:val="20"/>
          <w:color w:val="auto"/>
        </w:rPr>
      </w:pPr>
    </w:p>
    <w:p>
      <w:pPr>
        <w:ind w:right="20" w:firstLine="305"/>
        <w:spacing w:after="0" w:line="255" w:lineRule="auto"/>
        <w:rPr>
          <w:sz w:val="20"/>
          <w:szCs w:val="20"/>
          <w:color w:val="auto"/>
        </w:rPr>
      </w:pPr>
      <w:r>
        <w:rPr>
          <w:rFonts w:ascii="Times New Roman" w:cs="Times New Roman" w:eastAsia="Times New Roman" w:hAnsi="Times New Roman"/>
          <w:sz w:val="17"/>
          <w:szCs w:val="17"/>
          <w:color w:val="auto"/>
        </w:rPr>
        <w:t>Under Article 3b of our articles of association, our share capital may be increased by a maximum aggregate amount of CHF 100,000 through the issue of a maximum of 5,000,000 common shares, payable in full, each with a nominal value of CHF 0.02, through the optional or mandatory exercise of conversion, exchange, option, warrant or similar rights or obligations for the subscription of shares granted to shareholders or third parties on a standalone basis or in connection with bonds, notes, options, warrants or other securities or contractual obligations of the Company or any subsidiaries of the Company, including convertible debt instruments. Shareholders do not have pre-emptive subscription rights in such circumstances.</w:t>
      </w:r>
    </w:p>
    <w:p>
      <w:pPr>
        <w:spacing w:after="0" w:line="137" w:lineRule="exact"/>
        <w:rPr>
          <w:sz w:val="20"/>
          <w:szCs w:val="20"/>
          <w:color w:val="auto"/>
        </w:rPr>
      </w:pPr>
    </w:p>
    <w:p>
      <w:pPr>
        <w:ind w:firstLine="305"/>
        <w:spacing w:after="0" w:line="254" w:lineRule="auto"/>
        <w:rPr>
          <w:sz w:val="20"/>
          <w:szCs w:val="20"/>
          <w:color w:val="auto"/>
        </w:rPr>
      </w:pPr>
      <w:r>
        <w:rPr>
          <w:rFonts w:ascii="Times New Roman" w:cs="Times New Roman" w:eastAsia="Times New Roman" w:hAnsi="Times New Roman"/>
          <w:sz w:val="17"/>
          <w:szCs w:val="17"/>
          <w:color w:val="auto"/>
        </w:rPr>
        <w:t>Shareholders’ subscription rights are excluded. Shareholders’ advance subscription rights with regard to the new bonds, warrants or similar instruments may be restricted or excluded by decision of the board of directors in order to finance or re-finance the acquisition of companies, parts of companies or holdings, or new investments planned by the Company, or in order to issue convertible bonds and warrants on the international capital markets or through private placement. If advance subscription rights are excluded, then (i) the instruments are to be placed at market conditions; (ii) the exercise period is not to exceed ten years from the date of issue for warrants and twenty years for conversion rights; and (iii) the conversion or exercise price for the new shares is to be set at least in line with the market conditions prevailing at the date on which the instruments are issued. The respective holders of conversion and/or option or warrant rights are entitled to subscribe the new shares.</w:t>
      </w:r>
    </w:p>
    <w:p>
      <w:pPr>
        <w:spacing w:after="0" w:line="1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Conditional Share Capital for Employee Benefit Plans</w:t>
      </w:r>
    </w:p>
    <w:p>
      <w:pPr>
        <w:spacing w:after="0" w:line="177" w:lineRule="exact"/>
        <w:rPr>
          <w:sz w:val="20"/>
          <w:szCs w:val="20"/>
          <w:color w:val="auto"/>
        </w:rPr>
      </w:pPr>
    </w:p>
    <w:p>
      <w:pPr>
        <w:ind w:right="80" w:firstLine="305"/>
        <w:spacing w:after="0" w:line="256" w:lineRule="auto"/>
        <w:rPr>
          <w:sz w:val="20"/>
          <w:szCs w:val="20"/>
          <w:color w:val="auto"/>
        </w:rPr>
      </w:pPr>
      <w:r>
        <w:rPr>
          <w:rFonts w:ascii="Times New Roman" w:cs="Times New Roman" w:eastAsia="Times New Roman" w:hAnsi="Times New Roman"/>
          <w:sz w:val="17"/>
          <w:szCs w:val="17"/>
          <w:color w:val="auto"/>
        </w:rPr>
        <w:t>Under Article 3c of our articles of association, our share capital may, to the exclusion of the pre-emptive subscription rights of shareholders, be increased by a maximum aggregate amount of CHF 86,683.80 through the issue of a maximum of 4,334,190 registered shares, payable in full, each with a nominal value of CHF 0.02, in connection with the exercise of option rights granted to employee of the Company or a subsidiary, members of the board of directors or any consultant, or other persons providing services to the Company or a subsidiary. The board of directors specifies the precise conditions of issue including the issue price of the shares.</w:t>
      </w:r>
    </w:p>
    <w:p>
      <w:pPr>
        <w:spacing w:after="0" w:line="1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Uncertificated Securities</w:t>
      </w:r>
    </w:p>
    <w:p>
      <w:pPr>
        <w:spacing w:after="0" w:line="185" w:lineRule="exact"/>
        <w:rPr>
          <w:sz w:val="20"/>
          <w:szCs w:val="20"/>
          <w:color w:val="auto"/>
        </w:rPr>
      </w:pPr>
    </w:p>
    <w:p>
      <w:pPr>
        <w:ind w:right="60" w:firstLine="305"/>
        <w:spacing w:after="0" w:line="254" w:lineRule="auto"/>
        <w:rPr>
          <w:sz w:val="20"/>
          <w:szCs w:val="20"/>
          <w:color w:val="auto"/>
        </w:rPr>
      </w:pPr>
      <w:r>
        <w:rPr>
          <w:rFonts w:ascii="Times New Roman" w:cs="Times New Roman" w:eastAsia="Times New Roman" w:hAnsi="Times New Roman"/>
          <w:sz w:val="17"/>
          <w:szCs w:val="17"/>
          <w:color w:val="auto"/>
        </w:rPr>
        <w:t>Our shares are uncertificated securities (</w:t>
      </w:r>
      <w:r>
        <w:rPr>
          <w:rFonts w:ascii="Times New Roman" w:cs="Times New Roman" w:eastAsia="Times New Roman" w:hAnsi="Times New Roman"/>
          <w:sz w:val="17"/>
          <w:szCs w:val="17"/>
          <w:i w:val="1"/>
          <w:iCs w:val="1"/>
          <w:color w:val="auto"/>
        </w:rPr>
        <w:t>droits-valeurs</w:t>
      </w:r>
      <w:r>
        <w:rPr>
          <w:rFonts w:ascii="Times New Roman" w:cs="Times New Roman" w:eastAsia="Times New Roman" w:hAnsi="Times New Roman"/>
          <w:sz w:val="17"/>
          <w:szCs w:val="17"/>
          <w:color w:val="auto"/>
        </w:rPr>
        <w:t>, within the meaning of Article 973c of the CO) and, when administered by a financial intermediary (</w:t>
      </w:r>
      <w:r>
        <w:rPr>
          <w:rFonts w:ascii="Times New Roman" w:cs="Times New Roman" w:eastAsia="Times New Roman" w:hAnsi="Times New Roman"/>
          <w:sz w:val="17"/>
          <w:szCs w:val="17"/>
          <w:i w:val="1"/>
          <w:iCs w:val="1"/>
          <w:color w:val="auto"/>
        </w:rPr>
        <w:t>dépositaire</w:t>
      </w:r>
      <w:r>
        <w:rPr>
          <w:rFonts w:ascii="Times New Roman" w:cs="Times New Roman" w:eastAsia="Times New Roman" w:hAnsi="Times New Roman"/>
          <w:sz w:val="17"/>
          <w:szCs w:val="17"/>
          <w:color w:val="auto"/>
        </w:rPr>
        <w:t>, within the meaning of the Federal Act on Intermediated Securities, “FISA”), qualify as intermediated securities (</w:t>
      </w:r>
      <w:r>
        <w:rPr>
          <w:rFonts w:ascii="Times New Roman" w:cs="Times New Roman" w:eastAsia="Times New Roman" w:hAnsi="Times New Roman"/>
          <w:sz w:val="17"/>
          <w:szCs w:val="17"/>
          <w:i w:val="1"/>
          <w:iCs w:val="1"/>
          <w:color w:val="auto"/>
        </w:rPr>
        <w:t>titres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intermédiés</w:t>
      </w:r>
      <w:r>
        <w:rPr>
          <w:rFonts w:ascii="Times New Roman" w:cs="Times New Roman" w:eastAsia="Times New Roman" w:hAnsi="Times New Roman"/>
          <w:sz w:val="17"/>
          <w:szCs w:val="17"/>
          <w:color w:val="auto"/>
        </w:rPr>
        <w:t>, within the meaning of the FISA). In accordance with Article 973c of the CO, we maintain a non-public register of uncertificated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securities (</w:t>
      </w:r>
      <w:r>
        <w:rPr>
          <w:rFonts w:ascii="Times New Roman" w:cs="Times New Roman" w:eastAsia="Times New Roman" w:hAnsi="Times New Roman"/>
          <w:sz w:val="17"/>
          <w:szCs w:val="17"/>
          <w:i w:val="1"/>
          <w:iCs w:val="1"/>
          <w:color w:val="auto"/>
        </w:rPr>
        <w:t>registre des droits-valeurs</w:t>
      </w:r>
      <w:r>
        <w:rPr>
          <w:rFonts w:ascii="Times New Roman" w:cs="Times New Roman" w:eastAsia="Times New Roman" w:hAnsi="Times New Roman"/>
          <w:sz w:val="17"/>
          <w:szCs w:val="17"/>
          <w:color w:val="auto"/>
        </w:rPr>
        <w:t>). We may at any time convert uncertificated securities into share certificates (including global certificates), one kind of certificate into another, or share certificates (including global certificates) into uncertificated securities. Following entry in our share register, a shareholder may at any time request from us a written confirmation in respect of the shares held by such shareholder, as reflected in the share register.</w:t>
      </w:r>
    </w:p>
    <w:p>
      <w:pPr>
        <w:spacing w:after="0" w:line="1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General Meeting of Shareholders</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Ordinary/Extraordinary Meetings, Powers</w:t>
      </w:r>
    </w:p>
    <w:p>
      <w:pPr>
        <w:spacing w:after="0" w:line="189" w:lineRule="exact"/>
        <w:rPr>
          <w:sz w:val="20"/>
          <w:szCs w:val="20"/>
          <w:color w:val="auto"/>
        </w:rPr>
      </w:pPr>
    </w:p>
    <w:p>
      <w:pPr>
        <w:ind w:right="40" w:firstLine="305"/>
        <w:spacing w:after="0" w:line="263" w:lineRule="auto"/>
        <w:rPr>
          <w:sz w:val="20"/>
          <w:szCs w:val="20"/>
          <w:color w:val="auto"/>
        </w:rPr>
      </w:pPr>
      <w:r>
        <w:rPr>
          <w:rFonts w:ascii="Times New Roman" w:cs="Times New Roman" w:eastAsia="Times New Roman" w:hAnsi="Times New Roman"/>
          <w:sz w:val="17"/>
          <w:szCs w:val="17"/>
          <w:color w:val="auto"/>
        </w:rPr>
        <w:t>The general meeting of shareholders is our supreme corporate body. Under Swiss law, ordinary and extraordinary general meetings of shareholders may be held. Under Swiss law, an ordinary general meeting of shareholders must be held annually within six months after the end of a Company’s financial year. In our case, this generally means on or before June 30.</w:t>
      </w:r>
    </w:p>
    <w:p>
      <w:pPr>
        <w:spacing w:after="0" w:line="1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following powers are vested exclusively in the general meeting of shareholders:</w:t>
      </w:r>
    </w:p>
    <w:p>
      <w:pPr>
        <w:spacing w:after="0" w:line="173" w:lineRule="exact"/>
        <w:rPr>
          <w:sz w:val="20"/>
          <w:szCs w:val="20"/>
          <w:color w:val="auto"/>
        </w:rPr>
      </w:pPr>
    </w:p>
    <w:p>
      <w:pPr>
        <w:ind w:left="620" w:hanging="313"/>
        <w:spacing w:after="0"/>
        <w:tabs>
          <w:tab w:leader="none" w:pos="62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adopting and amending the articles of association, including change of a company’s purpose or domicile;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337820</wp:posOffset>
            </wp:positionV>
            <wp:extent cx="6302375" cy="241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8">
                      <a:extLst>
                        <a:ext uri="{28A0092B-C50C-407E-A947-70E740481C1C}"/>
                      </a:extLst>
                    </a:blip>
                    <a:srcRect/>
                    <a:stretch>
                      <a:fillRect/>
                    </a:stretch>
                  </pic:blipFill>
                  <pic:spPr bwMode="auto">
                    <a:xfrm>
                      <a:off x="0" y="0"/>
                      <a:ext cx="6302375" cy="24130"/>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246" w:name="page247"/>
    <w:bookmarkEnd w:id="246"/>
    <w:p>
      <w:pPr>
        <w:ind w:left="620" w:right="100" w:hanging="313"/>
        <w:spacing w:after="0" w:line="277" w:lineRule="auto"/>
        <w:tabs>
          <w:tab w:leader="none" w:pos="62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electing and removal of the members of the board of directors, the chairman of the board of directors, the members of the compensation committee, the auditors and the independent proxy;</w:t>
      </w:r>
    </w:p>
    <w:p>
      <w:pPr>
        <w:spacing w:after="0" w:line="119"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the management report and the consolidated accounts;</w:t>
      </w:r>
    </w:p>
    <w:p>
      <w:pPr>
        <w:spacing w:after="0" w:line="185" w:lineRule="exact"/>
        <w:rPr>
          <w:rFonts w:ascii="Times New Roman" w:cs="Times New Roman" w:eastAsia="Times New Roman" w:hAnsi="Times New Roman"/>
          <w:sz w:val="17"/>
          <w:szCs w:val="17"/>
          <w:color w:val="auto"/>
        </w:rPr>
      </w:pPr>
    </w:p>
    <w:p>
      <w:pPr>
        <w:ind w:left="620" w:right="200" w:hanging="313"/>
        <w:spacing w:after="0" w:line="277" w:lineRule="auto"/>
        <w:tabs>
          <w:tab w:leader="none" w:pos="62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the annual accounts and resolutions on the allocation of the disposable profits, and in particular setting the dividend and the shares of profit to board members;</w:t>
      </w:r>
    </w:p>
    <w:p>
      <w:pPr>
        <w:spacing w:after="0" w:line="119"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the total compensation paid to members of the board of directors and executive management;</w:t>
      </w:r>
    </w:p>
    <w:p>
      <w:pPr>
        <w:spacing w:after="0" w:line="172"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resolving the interim dividend and approve the interim account required therefor;</w:t>
      </w:r>
    </w:p>
    <w:p>
      <w:pPr>
        <w:spacing w:after="0" w:line="185"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resolving on repaying the statutory capital reserve;</w:t>
      </w:r>
    </w:p>
    <w:p>
      <w:pPr>
        <w:spacing w:after="0" w:line="172" w:lineRule="exact"/>
        <w:rPr>
          <w:rFonts w:ascii="Times New Roman" w:cs="Times New Roman" w:eastAsia="Times New Roman" w:hAnsi="Times New Roman"/>
          <w:sz w:val="17"/>
          <w:szCs w:val="17"/>
          <w:color w:val="auto"/>
        </w:rPr>
      </w:pPr>
    </w:p>
    <w:p>
      <w:pPr>
        <w:ind w:left="620" w:right="180" w:hanging="313"/>
        <w:spacing w:after="0" w:line="277" w:lineRule="auto"/>
        <w:tabs>
          <w:tab w:leader="none" w:pos="62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discharging the members of the board of directors and executive management from liability with respect to their tenure in the previous financial year;</w:t>
      </w:r>
    </w:p>
    <w:p>
      <w:pPr>
        <w:spacing w:after="0" w:line="119"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dissolving a company with or without liquidation;</w:t>
      </w:r>
    </w:p>
    <w:p>
      <w:pPr>
        <w:spacing w:after="0" w:line="185"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resolving to delist the equity securities of the company; and</w:t>
      </w:r>
    </w:p>
    <w:p>
      <w:pPr>
        <w:spacing w:after="0" w:line="172" w:lineRule="exact"/>
        <w:rPr>
          <w:rFonts w:ascii="Times New Roman" w:cs="Times New Roman" w:eastAsia="Times New Roman" w:hAnsi="Times New Roman"/>
          <w:sz w:val="17"/>
          <w:szCs w:val="17"/>
          <w:color w:val="auto"/>
        </w:rPr>
      </w:pPr>
    </w:p>
    <w:p>
      <w:pPr>
        <w:ind w:left="620" w:right="280" w:hanging="313"/>
        <w:spacing w:after="0" w:line="277" w:lineRule="auto"/>
        <w:tabs>
          <w:tab w:leader="none" w:pos="62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passing resolutions concerning all matters which are reserved to the authority of the general meeting of shareholders by law or by the articles of association.</w:t>
      </w:r>
    </w:p>
    <w:p>
      <w:pPr>
        <w:spacing w:after="0" w:line="120" w:lineRule="exact"/>
        <w:rPr>
          <w:sz w:val="20"/>
          <w:szCs w:val="20"/>
          <w:color w:val="auto"/>
        </w:rPr>
      </w:pPr>
    </w:p>
    <w:p>
      <w:pPr>
        <w:ind w:right="20" w:firstLine="305"/>
        <w:spacing w:after="0" w:line="254" w:lineRule="auto"/>
        <w:rPr>
          <w:sz w:val="20"/>
          <w:szCs w:val="20"/>
          <w:color w:val="auto"/>
        </w:rPr>
      </w:pPr>
      <w:r>
        <w:rPr>
          <w:rFonts w:ascii="Times New Roman" w:cs="Times New Roman" w:eastAsia="Times New Roman" w:hAnsi="Times New Roman"/>
          <w:sz w:val="17"/>
          <w:szCs w:val="17"/>
          <w:color w:val="auto"/>
        </w:rPr>
        <w:t>An extraordinary general meeting of shareholders may be called by a resolution of the general meeting, the board of directors or, under certain circumstances, by a company’s auditor, liquidator or the representatives of convertible bond holders, if any. In addition, our articles of association require the board of directors to convene an extraordinary general meeting of shareholders if shareholders representing at least 5% of the share capital request such general meeting of shareholders in writing. Such request to convene an extraordinary general meeting must set forth the items to be discussed and the proposals to be acted upon. The board of directors must convene an extraordinary general meeting of shareholders and propose financial restructuring measures if, based on a company’s stand-alone annual statutory balance sheet, half of the share capital and reserves are not covered by its assets.</w:t>
      </w:r>
    </w:p>
    <w:p>
      <w:pPr>
        <w:spacing w:after="0" w:line="14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Voting and Quorum Requirements</w:t>
      </w:r>
    </w:p>
    <w:p>
      <w:pPr>
        <w:spacing w:after="0" w:line="177" w:lineRule="exact"/>
        <w:rPr>
          <w:sz w:val="20"/>
          <w:szCs w:val="20"/>
          <w:color w:val="auto"/>
        </w:rPr>
      </w:pPr>
    </w:p>
    <w:p>
      <w:pPr>
        <w:jc w:val="both"/>
        <w:ind w:right="240" w:firstLine="305"/>
        <w:spacing w:after="0" w:line="263" w:lineRule="auto"/>
        <w:rPr>
          <w:sz w:val="20"/>
          <w:szCs w:val="20"/>
          <w:color w:val="auto"/>
        </w:rPr>
      </w:pPr>
      <w:r>
        <w:rPr>
          <w:rFonts w:ascii="Times New Roman" w:cs="Times New Roman" w:eastAsia="Times New Roman" w:hAnsi="Times New Roman"/>
          <w:sz w:val="17"/>
          <w:szCs w:val="17"/>
          <w:color w:val="auto"/>
        </w:rPr>
        <w:t>Shareholder resolutions and elections (including elections of members of the board of directors) require the affirmative vote of the simple majority of the votes cast at the general meeting of shareholders regardless of abstentions or empty or invalid votes, unless statutory law or the articles of association state otherwise.</w:t>
      </w:r>
    </w:p>
    <w:p>
      <w:pPr>
        <w:spacing w:after="0" w:line="132" w:lineRule="exact"/>
        <w:rPr>
          <w:sz w:val="20"/>
          <w:szCs w:val="20"/>
          <w:color w:val="auto"/>
        </w:rPr>
      </w:pPr>
    </w:p>
    <w:p>
      <w:pPr>
        <w:ind w:firstLine="305"/>
        <w:spacing w:after="0" w:line="277" w:lineRule="auto"/>
        <w:rPr>
          <w:sz w:val="20"/>
          <w:szCs w:val="20"/>
          <w:color w:val="auto"/>
        </w:rPr>
      </w:pPr>
      <w:r>
        <w:rPr>
          <w:rFonts w:ascii="Times New Roman" w:cs="Times New Roman" w:eastAsia="Times New Roman" w:hAnsi="Times New Roman"/>
          <w:sz w:val="17"/>
          <w:szCs w:val="17"/>
          <w:color w:val="auto"/>
        </w:rPr>
        <w:t>A resolution of the general meeting of the shareholders passed by at least two-thirds of the shares represented at the meeting, and the absolute majority of the nominal value of the shares represented is required for:</w:t>
      </w:r>
    </w:p>
    <w:p>
      <w:pPr>
        <w:spacing w:after="0" w:line="133" w:lineRule="exact"/>
        <w:rPr>
          <w:sz w:val="20"/>
          <w:szCs w:val="20"/>
          <w:color w:val="auto"/>
        </w:rPr>
      </w:pPr>
    </w:p>
    <w:p>
      <w:pPr>
        <w:ind w:left="620" w:hanging="313"/>
        <w:spacing w:after="0"/>
        <w:tabs>
          <w:tab w:leader="none" w:pos="62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amending a company’s corporate purpose;</w:t>
      </w:r>
    </w:p>
    <w:p>
      <w:pPr>
        <w:spacing w:after="0" w:line="172"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consolidation of shares, unless the consent of all the shareholders concerned is required;</w:t>
      </w:r>
    </w:p>
    <w:p>
      <w:pPr>
        <w:spacing w:after="0" w:line="172"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creating shares with privileged voting rights;</w:t>
      </w:r>
    </w:p>
    <w:p>
      <w:pPr>
        <w:spacing w:after="0" w:line="185"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restricting the transferability of common shares;</w:t>
      </w:r>
    </w:p>
    <w:p>
      <w:pPr>
        <w:spacing w:after="0" w:line="172"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creating conditional share capital or a capital band;</w:t>
      </w:r>
    </w:p>
    <w:p>
      <w:pPr>
        <w:spacing w:after="0" w:line="172" w:lineRule="exact"/>
        <w:rPr>
          <w:rFonts w:ascii="Times New Roman" w:cs="Times New Roman" w:eastAsia="Times New Roman" w:hAnsi="Times New Roman"/>
          <w:sz w:val="17"/>
          <w:szCs w:val="17"/>
          <w:color w:val="auto"/>
        </w:rPr>
      </w:pPr>
    </w:p>
    <w:p>
      <w:pPr>
        <w:ind w:left="620" w:right="380" w:hanging="313"/>
        <w:spacing w:after="0" w:line="277" w:lineRule="auto"/>
        <w:tabs>
          <w:tab w:leader="none" w:pos="62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the share capital out of equity, against contributions in-kind or for the purpose of acquiring assets and granting of special benefits;</w:t>
      </w:r>
    </w:p>
    <w:p>
      <w:pPr>
        <w:spacing w:after="0" w:line="132"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or withdrawing shareholder’s pre-emptive subscription rights;</w:t>
      </w:r>
    </w:p>
    <w:p>
      <w:pPr>
        <w:spacing w:after="0" w:line="172"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changing a company’s domicile;</w:t>
      </w:r>
    </w:p>
    <w:p>
      <w:pPr>
        <w:spacing w:after="0" w:line="172"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introducing a casting vote for the person chairing the general meeting;</w:t>
      </w:r>
    </w:p>
    <w:p>
      <w:pPr>
        <w:spacing w:after="0" w:line="185"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introducing a provision on holding the general meeting abroad;</w:t>
      </w:r>
    </w:p>
    <w:p>
      <w:pPr>
        <w:spacing w:after="0" w:line="172"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resolving the delisting of the equity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337820</wp:posOffset>
            </wp:positionV>
            <wp:extent cx="6302375" cy="241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9">
                      <a:extLst>
                        <a:ext uri="{28A0092B-C50C-407E-A947-70E740481C1C}"/>
                      </a:extLst>
                    </a:blip>
                    <a:srcRect/>
                    <a:stretch>
                      <a:fillRect/>
                    </a:stretch>
                  </pic:blipFill>
                  <pic:spPr bwMode="auto">
                    <a:xfrm>
                      <a:off x="0" y="0"/>
                      <a:ext cx="6302375" cy="24130"/>
                    </a:xfrm>
                    <a:prstGeom prst="rect">
                      <a:avLst/>
                    </a:prstGeom>
                    <a:noFill/>
                  </pic:spPr>
                </pic:pic>
              </a:graphicData>
            </a:graphic>
          </wp:anchor>
        </w:drawing>
      </w:r>
    </w:p>
    <w:p>
      <w:pPr>
        <w:sectPr>
          <w:pgSz w:w="11900" w:h="16838" w:orient="portrait"/>
          <w:cols w:equalWidth="0" w:num="1">
            <w:col w:w="9900"/>
          </w:cols>
          <w:pgMar w:left="980" w:top="123" w:right="1019" w:bottom="1440" w:gutter="0" w:footer="0" w:header="0"/>
        </w:sectPr>
      </w:pPr>
    </w:p>
    <w:bookmarkStart w:id="247" w:name="page248"/>
    <w:bookmarkEnd w:id="247"/>
    <w:p>
      <w:pPr>
        <w:ind w:left="620" w:hanging="313"/>
        <w:spacing w:after="0"/>
        <w:tabs>
          <w:tab w:leader="none" w:pos="62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introducing an arbitration clause in the articles of association;</w:t>
      </w:r>
    </w:p>
    <w:p>
      <w:pPr>
        <w:spacing w:after="0" w:line="172" w:lineRule="exact"/>
        <w:rPr>
          <w:rFonts w:ascii="Times New Roman" w:cs="Times New Roman" w:eastAsia="Times New Roman" w:hAnsi="Times New Roman"/>
          <w:sz w:val="17"/>
          <w:szCs w:val="17"/>
          <w:color w:val="auto"/>
        </w:rPr>
      </w:pPr>
    </w:p>
    <w:p>
      <w:pPr>
        <w:ind w:left="620" w:right="80" w:hanging="313"/>
        <w:spacing w:after="0" w:line="277" w:lineRule="auto"/>
        <w:tabs>
          <w:tab w:leader="none" w:pos="62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alleviating or withdrawing of restrictions upon the transfer of common shares and the removal of the voting cap of 33 1∕3% as contained in article 4 of the articles of association;</w:t>
      </w:r>
    </w:p>
    <w:p>
      <w:pPr>
        <w:spacing w:after="0" w:line="132" w:lineRule="exact"/>
        <w:rPr>
          <w:rFonts w:ascii="Times New Roman" w:cs="Times New Roman" w:eastAsia="Times New Roman" w:hAnsi="Times New Roman"/>
          <w:sz w:val="17"/>
          <w:szCs w:val="17"/>
          <w:color w:val="auto"/>
        </w:rPr>
      </w:pPr>
    </w:p>
    <w:p>
      <w:pPr>
        <w:ind w:left="620" w:right="100" w:hanging="313"/>
        <w:spacing w:after="0" w:line="277" w:lineRule="auto"/>
        <w:tabs>
          <w:tab w:leader="none" w:pos="62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removing the indemnification provision for the board of directors and executive management as contained in article 29 of the articles of association;</w:t>
      </w:r>
    </w:p>
    <w:p>
      <w:pPr>
        <w:spacing w:after="0" w:line="119"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converting common shares into bearer shares and vice versa;</w:t>
      </w:r>
    </w:p>
    <w:p>
      <w:pPr>
        <w:spacing w:after="0" w:line="172"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dissolving or liquidating a company; and</w:t>
      </w:r>
    </w:p>
    <w:p>
      <w:pPr>
        <w:spacing w:after="0" w:line="181"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amending or eliminating article 17 (</w:t>
      </w:r>
      <w:r>
        <w:rPr>
          <w:rFonts w:ascii="Times New Roman" w:cs="Times New Roman" w:eastAsia="Times New Roman" w:hAnsi="Times New Roman"/>
          <w:sz w:val="17"/>
          <w:szCs w:val="17"/>
          <w:i w:val="1"/>
          <w:iCs w:val="1"/>
          <w:color w:val="auto"/>
        </w:rPr>
        <w:t>resolutions and elections</w:t>
      </w:r>
      <w:r>
        <w:rPr>
          <w:rFonts w:ascii="Times New Roman" w:cs="Times New Roman" w:eastAsia="Times New Roman" w:hAnsi="Times New Roman"/>
          <w:sz w:val="17"/>
          <w:szCs w:val="17"/>
          <w:color w:val="auto"/>
        </w:rPr>
        <w:t>) of the articles of association.</w:t>
      </w:r>
    </w:p>
    <w:p>
      <w:pPr>
        <w:spacing w:after="0" w:line="177" w:lineRule="exact"/>
        <w:rPr>
          <w:sz w:val="20"/>
          <w:szCs w:val="20"/>
          <w:color w:val="auto"/>
        </w:rPr>
      </w:pPr>
    </w:p>
    <w:p>
      <w:pPr>
        <w:jc w:val="both"/>
        <w:ind w:right="20" w:firstLine="305"/>
        <w:spacing w:after="0" w:line="263" w:lineRule="auto"/>
        <w:rPr>
          <w:sz w:val="20"/>
          <w:szCs w:val="20"/>
          <w:color w:val="auto"/>
        </w:rPr>
      </w:pPr>
      <w:r>
        <w:rPr>
          <w:rFonts w:ascii="Times New Roman" w:cs="Times New Roman" w:eastAsia="Times New Roman" w:hAnsi="Times New Roman"/>
          <w:sz w:val="17"/>
          <w:szCs w:val="17"/>
          <w:color w:val="auto"/>
        </w:rPr>
        <w:t>The same voting requirements apply, subject to mandatory law, to resolutions regarding transactions among corporations (including a merger, demerger or conversion of a corporation) based on Switzerland’s Federal Act on Mergers, Demergers, Transformations and Transfer of Assets, or the Merger Act, see “—Compulsory Acquisitions; Appraisal Rights.”</w:t>
      </w:r>
    </w:p>
    <w:p>
      <w:pPr>
        <w:spacing w:after="0" w:line="132" w:lineRule="exact"/>
        <w:rPr>
          <w:sz w:val="20"/>
          <w:szCs w:val="20"/>
          <w:color w:val="auto"/>
        </w:rPr>
      </w:pPr>
    </w:p>
    <w:p>
      <w:pPr>
        <w:ind w:right="60" w:firstLine="305"/>
        <w:spacing w:after="0" w:line="258" w:lineRule="auto"/>
        <w:rPr>
          <w:sz w:val="20"/>
          <w:szCs w:val="20"/>
          <w:color w:val="auto"/>
        </w:rPr>
      </w:pPr>
      <w:r>
        <w:rPr>
          <w:rFonts w:ascii="Times New Roman" w:cs="Times New Roman" w:eastAsia="Times New Roman" w:hAnsi="Times New Roman"/>
          <w:sz w:val="17"/>
          <w:szCs w:val="17"/>
          <w:color w:val="auto"/>
        </w:rPr>
        <w:t>In accordance with Swiss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w:t>
      </w:r>
    </w:p>
    <w:p>
      <w:pPr>
        <w:spacing w:after="0" w:line="1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Notice</w:t>
      </w:r>
    </w:p>
    <w:p>
      <w:pPr>
        <w:spacing w:after="0" w:line="177" w:lineRule="exact"/>
        <w:rPr>
          <w:sz w:val="20"/>
          <w:szCs w:val="20"/>
          <w:color w:val="auto"/>
        </w:rPr>
      </w:pPr>
    </w:p>
    <w:p>
      <w:pPr>
        <w:ind w:right="80" w:firstLine="305"/>
        <w:spacing w:after="0" w:line="272" w:lineRule="auto"/>
        <w:rPr>
          <w:sz w:val="20"/>
          <w:szCs w:val="20"/>
          <w:color w:val="auto"/>
        </w:rPr>
      </w:pPr>
      <w:r>
        <w:rPr>
          <w:rFonts w:ascii="Times New Roman" w:cs="Times New Roman" w:eastAsia="Times New Roman" w:hAnsi="Times New Roman"/>
          <w:sz w:val="16"/>
          <w:szCs w:val="16"/>
          <w:color w:val="auto"/>
        </w:rPr>
        <w:t>General meetings of shareholders must be convened by the board of directors or, if necessary, by the auditors at least 20 days before the date of the meeting. The general meeting of shareholders is convened by way of a notice appearing in our official publication medium, currently the Swiss Official Gazette of Commerce. Registered shareholders may also be informed by ordinary mail or e-mail.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spacing w:after="0" w:line="127" w:lineRule="exact"/>
        <w:rPr>
          <w:sz w:val="20"/>
          <w:szCs w:val="20"/>
          <w:color w:val="auto"/>
        </w:rPr>
      </w:pPr>
    </w:p>
    <w:p>
      <w:pPr>
        <w:jc w:val="both"/>
        <w:ind w:right="140" w:firstLine="305"/>
        <w:spacing w:after="0" w:line="258" w:lineRule="auto"/>
        <w:rPr>
          <w:sz w:val="20"/>
          <w:szCs w:val="20"/>
          <w:color w:val="auto"/>
        </w:rPr>
      </w:pPr>
      <w:r>
        <w:rPr>
          <w:rFonts w:ascii="Times New Roman" w:cs="Times New Roman" w:eastAsia="Times New Roman" w:hAnsi="Times New Roman"/>
          <w:sz w:val="17"/>
          <w:szCs w:val="17"/>
          <w:color w:val="auto"/>
        </w:rPr>
        <w:t>All of the owners or representatives of our shares may, if no objection is raised, hold a general meeting of shareholders without complying with the formal requirements for convening general meetings of shareholders (a universal meeting). This universal meeting of shareholders may discuss and pass binding resolutions on all matters within the purview of the ordinary general meeting of shareholders, provided that the owners or representatives of all the shares are present at the meeting.</w:t>
      </w:r>
    </w:p>
    <w:p>
      <w:pPr>
        <w:spacing w:after="0" w:line="1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Agenda Requests</w:t>
      </w:r>
    </w:p>
    <w:p>
      <w:pPr>
        <w:spacing w:after="0" w:line="177" w:lineRule="exact"/>
        <w:rPr>
          <w:sz w:val="20"/>
          <w:szCs w:val="20"/>
          <w:color w:val="auto"/>
        </w:rPr>
      </w:pPr>
    </w:p>
    <w:p>
      <w:pPr>
        <w:ind w:firstLine="305"/>
        <w:spacing w:after="0" w:line="254" w:lineRule="auto"/>
        <w:rPr>
          <w:sz w:val="20"/>
          <w:szCs w:val="20"/>
          <w:color w:val="auto"/>
        </w:rPr>
      </w:pPr>
      <w:r>
        <w:rPr>
          <w:rFonts w:ascii="Times New Roman" w:cs="Times New Roman" w:eastAsia="Times New Roman" w:hAnsi="Times New Roman"/>
          <w:sz w:val="17"/>
          <w:szCs w:val="17"/>
          <w:color w:val="auto"/>
        </w:rPr>
        <w:t>Shareholders who represent an aggregate of at least 0.5% of the share capital of votes may request that (i) an item be included in the agenda for a general meeting of shareholders and (ii) proposals relating to items on the agenda be included in the invitation to the general meeting of shareholders. A request for inclusion of an item on the agenda must in principle be requested in writing delivered to or mailed and received at the registered office of the Company at least 60 calendar days before the first anniversary of the date that the Company’s proxy statement was released to shareholders in connection with the previous year’s ordinary general meeting of shareholders. The shareholders may submit a brief description of the business desired to be brought before the ordinary general meeting of shareholders and the reasons for conducting such business at the ordinary general meeting of shareholders. The request must contain, for each of the agenda items, the following information:</w:t>
      </w:r>
    </w:p>
    <w:p>
      <w:pPr>
        <w:spacing w:after="0" w:line="138" w:lineRule="exact"/>
        <w:rPr>
          <w:sz w:val="20"/>
          <w:szCs w:val="20"/>
          <w:color w:val="auto"/>
        </w:rPr>
      </w:pPr>
    </w:p>
    <w:p>
      <w:pPr>
        <w:ind w:left="620" w:hanging="313"/>
        <w:spacing w:after="0"/>
        <w:tabs>
          <w:tab w:leader="none" w:pos="62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and address, as they appear in our share register, of the shareholder proposing such business;</w:t>
      </w:r>
    </w:p>
    <w:p>
      <w:pPr>
        <w:spacing w:after="0" w:line="185"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the Company which are beneficially owned by such shareholder;</w:t>
      </w:r>
    </w:p>
    <w:p>
      <w:pPr>
        <w:spacing w:after="0" w:line="172"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dates upon which the shareholder acquired such shares;</w:t>
      </w:r>
    </w:p>
    <w:p>
      <w:pPr>
        <w:spacing w:after="0" w:line="172"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documentary support for any claim of beneficial ownership;</w:t>
      </w:r>
    </w:p>
    <w:p>
      <w:pPr>
        <w:spacing w:after="0" w:line="185"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material interest of such shareholder in such business; and</w:t>
      </w:r>
    </w:p>
    <w:p>
      <w:pPr>
        <w:spacing w:after="0" w:line="172" w:lineRule="exact"/>
        <w:rPr>
          <w:rFonts w:ascii="Times New Roman" w:cs="Times New Roman" w:eastAsia="Times New Roman" w:hAnsi="Times New Roman"/>
          <w:sz w:val="17"/>
          <w:szCs w:val="17"/>
          <w:color w:val="auto"/>
        </w:rPr>
      </w:pPr>
    </w:p>
    <w:p>
      <w:pPr>
        <w:ind w:left="620" w:right="220" w:hanging="313"/>
        <w:spacing w:after="0" w:line="277" w:lineRule="auto"/>
        <w:tabs>
          <w:tab w:leader="none" w:pos="62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statement in support of the matter and, for proposals sought to be included in the Company’s proxy statement, any other information required by Securities and Exchange Commission Rule 14a-8.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304165</wp:posOffset>
            </wp:positionV>
            <wp:extent cx="6302375" cy="241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0">
                      <a:extLst>
                        <a:ext uri="{28A0092B-C50C-407E-A947-70E740481C1C}"/>
                      </a:extLst>
                    </a:blip>
                    <a:srcRect/>
                    <a:stretch>
                      <a:fillRect/>
                    </a:stretch>
                  </pic:blipFill>
                  <pic:spPr bwMode="auto">
                    <a:xfrm>
                      <a:off x="0" y="0"/>
                      <a:ext cx="6302375" cy="24130"/>
                    </a:xfrm>
                    <a:prstGeom prst="rect">
                      <a:avLst/>
                    </a:prstGeom>
                    <a:noFill/>
                  </pic:spPr>
                </pic:pic>
              </a:graphicData>
            </a:graphic>
          </wp:anchor>
        </w:drawing>
      </w:r>
    </w:p>
    <w:p>
      <w:pPr>
        <w:sectPr>
          <w:pgSz w:w="11900" w:h="16838" w:orient="portrait"/>
          <w:cols w:equalWidth="0" w:num="1">
            <w:col w:w="9900"/>
          </w:cols>
          <w:pgMar w:left="980" w:top="123" w:right="1019" w:bottom="1440" w:gutter="0" w:footer="0" w:header="0"/>
        </w:sectPr>
      </w:pPr>
    </w:p>
    <w:bookmarkStart w:id="248" w:name="page249"/>
    <w:bookmarkEnd w:id="248"/>
    <w:p>
      <w:pPr>
        <w:ind w:right="100" w:firstLine="305"/>
        <w:spacing w:after="0" w:line="277" w:lineRule="auto"/>
        <w:rPr>
          <w:sz w:val="20"/>
          <w:szCs w:val="20"/>
          <w:color w:val="auto"/>
        </w:rPr>
      </w:pPr>
      <w:r>
        <w:rPr>
          <w:rFonts w:ascii="Times New Roman" w:cs="Times New Roman" w:eastAsia="Times New Roman" w:hAnsi="Times New Roman"/>
          <w:sz w:val="17"/>
          <w:szCs w:val="17"/>
          <w:color w:val="auto"/>
        </w:rPr>
        <w:t>In addition, if the shareholder intends to solicit proxies from the shareholders of the Company, such shareholder shall notify the Company of this intent in accordance with Securities and Exchange Commission Rule 14a-4 and/or Rule 14a-8.</w:t>
      </w:r>
    </w:p>
    <w:p>
      <w:pPr>
        <w:spacing w:after="0" w:line="120" w:lineRule="exact"/>
        <w:rPr>
          <w:sz w:val="20"/>
          <w:szCs w:val="20"/>
          <w:color w:val="auto"/>
        </w:rPr>
      </w:pPr>
    </w:p>
    <w:p>
      <w:pPr>
        <w:ind w:right="60" w:firstLine="305"/>
        <w:spacing w:after="0" w:line="277" w:lineRule="auto"/>
        <w:rPr>
          <w:sz w:val="20"/>
          <w:szCs w:val="20"/>
          <w:color w:val="auto"/>
        </w:rPr>
      </w:pPr>
      <w:r>
        <w:rPr>
          <w:rFonts w:ascii="Times New Roman" w:cs="Times New Roman" w:eastAsia="Times New Roman" w:hAnsi="Times New Roman"/>
          <w:sz w:val="17"/>
          <w:szCs w:val="17"/>
          <w:color w:val="auto"/>
        </w:rPr>
        <w:t>Our annual business report, the compensation report and the auditor’s report must be made available for inspection by the shareholders at our registered office no later than 20 days prior to the general meeting of shareholders. Shareholders of record may be notified of this in writing.</w:t>
      </w:r>
    </w:p>
    <w:p>
      <w:pPr>
        <w:spacing w:after="0" w:line="1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Voting Rights</w:t>
      </w:r>
    </w:p>
    <w:p>
      <w:pPr>
        <w:spacing w:after="0" w:line="177" w:lineRule="exact"/>
        <w:rPr>
          <w:sz w:val="20"/>
          <w:szCs w:val="20"/>
          <w:color w:val="auto"/>
        </w:rPr>
      </w:pPr>
    </w:p>
    <w:p>
      <w:pPr>
        <w:ind w:right="60" w:firstLine="305"/>
        <w:spacing w:after="0" w:line="255" w:lineRule="auto"/>
        <w:rPr>
          <w:sz w:val="20"/>
          <w:szCs w:val="20"/>
          <w:color w:val="auto"/>
        </w:rPr>
      </w:pPr>
      <w:r>
        <w:rPr>
          <w:rFonts w:ascii="Times New Roman" w:cs="Times New Roman" w:eastAsia="Times New Roman" w:hAnsi="Times New Roman"/>
          <w:sz w:val="17"/>
          <w:szCs w:val="17"/>
          <w:color w:val="auto"/>
        </w:rPr>
        <w:t>Each of our shares entitles its holder to one vote, regardless of its nominal value. The shares are not divisible. The right to vote and the other rights of share ownership may only be exercised by shareholders (including any nominees) or usufructuaries who are entered in our share register at cut-off date determined by the board of directors. Those entitled to vote in the general meeting of shareholders may be represented by the independent proxy holder (annually elected by the general meeting of shareholders), another registered shareholder or third person with written authorization to act as proxy or the shareholder’s legal representative. The chairman has the power to decide whether to recognize a power of attorney.</w:t>
      </w:r>
    </w:p>
    <w:p>
      <w:pPr>
        <w:spacing w:after="0" w:line="137" w:lineRule="exact"/>
        <w:rPr>
          <w:sz w:val="20"/>
          <w:szCs w:val="20"/>
          <w:color w:val="auto"/>
        </w:rPr>
      </w:pPr>
    </w:p>
    <w:p>
      <w:pPr>
        <w:ind w:firstLine="305"/>
        <w:spacing w:after="0" w:line="252" w:lineRule="auto"/>
        <w:rPr>
          <w:sz w:val="20"/>
          <w:szCs w:val="20"/>
          <w:color w:val="auto"/>
        </w:rPr>
      </w:pPr>
      <w:r>
        <w:rPr>
          <w:rFonts w:ascii="Times New Roman" w:cs="Times New Roman" w:eastAsia="Times New Roman" w:hAnsi="Times New Roman"/>
          <w:sz w:val="17"/>
          <w:szCs w:val="17"/>
          <w:color w:val="auto"/>
        </w:rPr>
        <w:t>Our articles of association state that no individual or legal entity may, directly or indirectly, formally, constructively or beneficially own or otherwise control voting rights (“Controlled Shares”) with respect to 33 1∕3% or more of the registered share capital recorded in the Commercial Register except if such individual or legal entity submits prior to the acquisition of such Controlled Shares an orderly tender offer to all shareholders with a minimum price of the higher of (i) the volume weighted average price of the last 60 trading days prior to the publication of the tender offer or (ii) the highest price paid by such individual or legal entity in the 12 months preceding to the publication of the tender offer. Those associated through capital, voting power, joint management or in any other way, or joining for the acquisition of shares, will be regarded as one person. The common shares exceeding the limit of 33 1/3% and not benefitting from the exemption regarding a tender offer will be entered in our share registered as shares without voting rights. The board of directors may in special cases approve exceptions to the above regulations. Additional voting caps apply to shareholders acquiring shares for other persons (nominees).</w:t>
      </w:r>
    </w:p>
    <w:p>
      <w:pPr>
        <w:spacing w:after="0" w:line="1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Dividends and Other Distributions</w:t>
      </w:r>
    </w:p>
    <w:p>
      <w:pPr>
        <w:spacing w:after="0" w:line="177" w:lineRule="exact"/>
        <w:rPr>
          <w:sz w:val="20"/>
          <w:szCs w:val="20"/>
          <w:color w:val="auto"/>
        </w:rPr>
      </w:pPr>
    </w:p>
    <w:p>
      <w:pPr>
        <w:ind w:right="220" w:firstLine="305"/>
        <w:spacing w:after="0" w:line="258" w:lineRule="auto"/>
        <w:rPr>
          <w:sz w:val="20"/>
          <w:szCs w:val="20"/>
          <w:color w:val="auto"/>
        </w:rPr>
      </w:pPr>
      <w:r>
        <w:rPr>
          <w:rFonts w:ascii="Times New Roman" w:cs="Times New Roman" w:eastAsia="Times New Roman" w:hAnsi="Times New Roman"/>
          <w:sz w:val="17"/>
          <w:szCs w:val="17"/>
          <w:color w:val="auto"/>
        </w:rPr>
        <w:t>Our board of directors may propose to shareholders that a dividend or other distribution be paid but cannot itself authorize the distribution. Dividend payments require a resolution passed by a simple majority of the votes cast at a general meeting of shareholders regardless of abstentions or empty or invalid votes. In addition, our auditors must confirm that the dividend proposal of our board of directors conforms to Swiss statutory law and our articles of association.</w:t>
      </w:r>
    </w:p>
    <w:p>
      <w:pPr>
        <w:spacing w:after="0" w:line="137" w:lineRule="exact"/>
        <w:rPr>
          <w:sz w:val="20"/>
          <w:szCs w:val="20"/>
          <w:color w:val="auto"/>
        </w:rPr>
      </w:pPr>
    </w:p>
    <w:p>
      <w:pPr>
        <w:jc w:val="both"/>
        <w:ind w:right="40" w:firstLine="305"/>
        <w:spacing w:after="0" w:line="263" w:lineRule="auto"/>
        <w:rPr>
          <w:sz w:val="20"/>
          <w:szCs w:val="20"/>
          <w:color w:val="auto"/>
        </w:rPr>
      </w:pPr>
      <w:r>
        <w:rPr>
          <w:rFonts w:ascii="Times New Roman" w:cs="Times New Roman" w:eastAsia="Times New Roman" w:hAnsi="Times New Roman"/>
          <w:sz w:val="17"/>
          <w:szCs w:val="17"/>
          <w:color w:val="auto"/>
        </w:rPr>
        <w:t>Under Swiss law, we may pay dividends only from the disposable profit and from reserves formed for this purpose, each as evidenced by our audited stand-alone statutory balance sheet prepared pursuant to Swiss law, and after allocations to reserves required by Swiss law and the articles of association have been deducted.</w:t>
      </w:r>
    </w:p>
    <w:p>
      <w:pPr>
        <w:spacing w:after="0" w:line="140" w:lineRule="exact"/>
        <w:rPr>
          <w:sz w:val="20"/>
          <w:szCs w:val="20"/>
          <w:color w:val="auto"/>
        </w:rPr>
      </w:pPr>
    </w:p>
    <w:p>
      <w:pPr>
        <w:ind w:firstLine="305"/>
        <w:spacing w:after="0" w:line="256" w:lineRule="auto"/>
        <w:rPr>
          <w:sz w:val="20"/>
          <w:szCs w:val="20"/>
          <w:color w:val="auto"/>
        </w:rPr>
      </w:pPr>
      <w:r>
        <w:rPr>
          <w:rFonts w:ascii="Times New Roman" w:cs="Times New Roman" w:eastAsia="Times New Roman" w:hAnsi="Times New Roman"/>
          <w:sz w:val="17"/>
          <w:szCs w:val="17"/>
          <w:color w:val="auto"/>
        </w:rPr>
        <w:t>Distributable reserves are generally booked either as “free reserves” (</w:t>
      </w:r>
      <w:r>
        <w:rPr>
          <w:rFonts w:ascii="Times New Roman" w:cs="Times New Roman" w:eastAsia="Times New Roman" w:hAnsi="Times New Roman"/>
          <w:sz w:val="17"/>
          <w:szCs w:val="17"/>
          <w:i w:val="1"/>
          <w:iCs w:val="1"/>
          <w:color w:val="auto"/>
        </w:rPr>
        <w:t>réserves libres</w:t>
      </w:r>
      <w:r>
        <w:rPr>
          <w:rFonts w:ascii="Times New Roman" w:cs="Times New Roman" w:eastAsia="Times New Roman" w:hAnsi="Times New Roman"/>
          <w:sz w:val="17"/>
          <w:szCs w:val="17"/>
          <w:color w:val="auto"/>
        </w:rPr>
        <w:t>) or as “reserve from capital contributions” (</w:t>
      </w:r>
      <w:r>
        <w:rPr>
          <w:rFonts w:ascii="Times New Roman" w:cs="Times New Roman" w:eastAsia="Times New Roman" w:hAnsi="Times New Roman"/>
          <w:sz w:val="17"/>
          <w:szCs w:val="17"/>
          <w:i w:val="1"/>
          <w:iCs w:val="1"/>
          <w:color w:val="auto"/>
        </w:rPr>
        <w:t>apports de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capital</w:t>
      </w:r>
      <w:r>
        <w:rPr>
          <w:rFonts w:ascii="Times New Roman" w:cs="Times New Roman" w:eastAsia="Times New Roman" w:hAnsi="Times New Roman"/>
          <w:sz w:val="17"/>
          <w:szCs w:val="17"/>
          <w:color w:val="auto"/>
        </w:rPr>
        <w:t>). Under the CO, if our general reserves (</w:t>
      </w:r>
      <w:r>
        <w:rPr>
          <w:rFonts w:ascii="Times New Roman" w:cs="Times New Roman" w:eastAsia="Times New Roman" w:hAnsi="Times New Roman"/>
          <w:sz w:val="17"/>
          <w:szCs w:val="17"/>
          <w:i w:val="1"/>
          <w:iCs w:val="1"/>
          <w:color w:val="auto"/>
        </w:rPr>
        <w:t>réserve générale</w:t>
      </w:r>
      <w:r>
        <w:rPr>
          <w:rFonts w:ascii="Times New Roman" w:cs="Times New Roman" w:eastAsia="Times New Roman" w:hAnsi="Times New Roman"/>
          <w:sz w:val="17"/>
          <w:szCs w:val="17"/>
          <w:color w:val="auto"/>
        </w:rPr>
        <w:t>) amount to less than 20% of our share capital recorded in the Commercial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Register (i.e., 20% of the aggregate nominal value of our issued capital), then at least 5% of our annual profit must be retained as general reserves. The CO permits us to accrue additional general reserves. Further, a purchase of our own shares (whether by us or a subsidiary) reduces the distributable reserves in an amount corresponding to the purchase price of such own shares. Finally, the CO under certain circumstances requires the creation of revaluation reserves which are not distributable.</w:t>
      </w:r>
    </w:p>
    <w:p>
      <w:pPr>
        <w:spacing w:after="0" w:line="136" w:lineRule="exact"/>
        <w:rPr>
          <w:sz w:val="20"/>
          <w:szCs w:val="20"/>
          <w:color w:val="auto"/>
        </w:rPr>
      </w:pPr>
    </w:p>
    <w:p>
      <w:pPr>
        <w:ind w:right="40" w:firstLine="305"/>
        <w:spacing w:after="0" w:line="254" w:lineRule="auto"/>
        <w:rPr>
          <w:sz w:val="20"/>
          <w:szCs w:val="20"/>
          <w:color w:val="auto"/>
        </w:rPr>
      </w:pPr>
      <w:r>
        <w:rPr>
          <w:rFonts w:ascii="Times New Roman" w:cs="Times New Roman" w:eastAsia="Times New Roman" w:hAnsi="Times New Roman"/>
          <w:sz w:val="17"/>
          <w:szCs w:val="17"/>
          <w:color w:val="auto"/>
        </w:rPr>
        <w:t>Distributions out of issued share capital (i.e. the aggregate nominal value of our issued shares) are not allowed and may be made only by way of a share capital reduction. Such a capital reduction requires a resolution passed by a simple majority of the votes cast at a general meeting of shareholders regardless of abstentions or empty or invalid votes. The resolution of the shareholders must be recorded in a public deed and a special audit report must confirm that claims of our creditors remain fully covered despite the reduction in the share capital recorded in the Commercial Register. The share capital may be reduced below CHF 100,000 only if and to the extent that at the same time the statutory minimum share capital of CHF 100,000 is reestablished by sufficient new fully paid-up capital. An ordinary capital reduction must be completed within six months after the resolution of shareholders, otherwise such resolution becomes invalid.</w:t>
      </w:r>
    </w:p>
    <w:p>
      <w:pPr>
        <w:spacing w:after="0" w:line="138" w:lineRule="exact"/>
        <w:rPr>
          <w:sz w:val="20"/>
          <w:szCs w:val="20"/>
          <w:color w:val="auto"/>
        </w:rPr>
      </w:pPr>
    </w:p>
    <w:p>
      <w:pPr>
        <w:ind w:right="20" w:firstLine="305"/>
        <w:spacing w:after="0" w:line="263" w:lineRule="auto"/>
        <w:rPr>
          <w:sz w:val="20"/>
          <w:szCs w:val="20"/>
          <w:color w:val="auto"/>
        </w:rPr>
      </w:pPr>
      <w:r>
        <w:rPr>
          <w:rFonts w:ascii="Times New Roman" w:cs="Times New Roman" w:eastAsia="Times New Roman" w:hAnsi="Times New Roman"/>
          <w:sz w:val="17"/>
          <w:szCs w:val="17"/>
          <w:color w:val="auto"/>
        </w:rPr>
        <w:t>Our board of directors determines the date on which the dividend entitlement starts. Dividends are usually due and payable shortly after the shareholders have passed the resolution approving the payment, but shareholders may also resolve at the ordinary general meeting of shareholders to pay dividends in quarterly or other installments.</w:t>
      </w:r>
    </w:p>
    <w:p>
      <w:pPr>
        <w:spacing w:after="0" w:line="1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Transfer of Shares</w:t>
      </w:r>
    </w:p>
    <w:p>
      <w:pPr>
        <w:spacing w:after="0" w:line="173" w:lineRule="exact"/>
        <w:rPr>
          <w:sz w:val="20"/>
          <w:szCs w:val="20"/>
          <w:color w:val="auto"/>
        </w:rPr>
      </w:pPr>
    </w:p>
    <w:p>
      <w:pPr>
        <w:jc w:val="both"/>
        <w:ind w:right="180" w:firstLine="305"/>
        <w:spacing w:after="0" w:line="266" w:lineRule="auto"/>
        <w:rPr>
          <w:sz w:val="20"/>
          <w:szCs w:val="20"/>
          <w:color w:val="auto"/>
        </w:rPr>
      </w:pPr>
      <w:r>
        <w:rPr>
          <w:rFonts w:ascii="Times New Roman" w:cs="Times New Roman" w:eastAsia="Times New Roman" w:hAnsi="Times New Roman"/>
          <w:sz w:val="17"/>
          <w:szCs w:val="17"/>
          <w:color w:val="auto"/>
        </w:rPr>
        <w:t>Shares in uncertificated form (</w:t>
      </w:r>
      <w:r>
        <w:rPr>
          <w:rFonts w:ascii="Times New Roman" w:cs="Times New Roman" w:eastAsia="Times New Roman" w:hAnsi="Times New Roman"/>
          <w:sz w:val="17"/>
          <w:szCs w:val="17"/>
          <w:i w:val="1"/>
          <w:iCs w:val="1"/>
          <w:color w:val="auto"/>
        </w:rPr>
        <w:t>droits-valeurs</w:t>
      </w:r>
      <w:r>
        <w:rPr>
          <w:rFonts w:ascii="Times New Roman" w:cs="Times New Roman" w:eastAsia="Times New Roman" w:hAnsi="Times New Roman"/>
          <w:sz w:val="17"/>
          <w:szCs w:val="17"/>
          <w:color w:val="auto"/>
        </w:rPr>
        <w:t>) may only be transferred by way of assignment. Shares that constitute intermediated securities (</w:t>
      </w:r>
      <w:r>
        <w:rPr>
          <w:rFonts w:ascii="Times New Roman" w:cs="Times New Roman" w:eastAsia="Times New Roman" w:hAnsi="Times New Roman"/>
          <w:sz w:val="17"/>
          <w:szCs w:val="17"/>
          <w:i w:val="1"/>
          <w:iCs w:val="1"/>
          <w:color w:val="auto"/>
        </w:rPr>
        <w:t>titres intermédiés</w:t>
      </w:r>
      <w:r>
        <w:rPr>
          <w:rFonts w:ascii="Times New Roman" w:cs="Times New Roman" w:eastAsia="Times New Roman" w:hAnsi="Times New Roman"/>
          <w:sz w:val="17"/>
          <w:szCs w:val="17"/>
          <w:color w:val="auto"/>
        </w:rPr>
        <w:t>) may only be transferred when a credit of the relevant intermediated securities to the acquirer’s securities account is made in accordance with the relevant provisions of the FISA. Article 5 of our articles of association provides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309245</wp:posOffset>
            </wp:positionV>
            <wp:extent cx="6302375" cy="241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1">
                      <a:extLst>
                        <a:ext uri="{28A0092B-C50C-407E-A947-70E740481C1C}"/>
                      </a:extLst>
                    </a:blip>
                    <a:srcRect/>
                    <a:stretch>
                      <a:fillRect/>
                    </a:stretch>
                  </pic:blipFill>
                  <pic:spPr bwMode="auto">
                    <a:xfrm>
                      <a:off x="0" y="0"/>
                      <a:ext cx="6302375" cy="2413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49" w:name="page250"/>
    <w:bookmarkEnd w:id="249"/>
    <w:p>
      <w:pPr>
        <w:ind w:right="100"/>
        <w:spacing w:after="0" w:line="277" w:lineRule="auto"/>
        <w:rPr>
          <w:sz w:val="20"/>
          <w:szCs w:val="20"/>
          <w:color w:val="auto"/>
        </w:rPr>
      </w:pPr>
      <w:r>
        <w:rPr>
          <w:rFonts w:ascii="Times New Roman" w:cs="Times New Roman" w:eastAsia="Times New Roman" w:hAnsi="Times New Roman"/>
          <w:sz w:val="17"/>
          <w:szCs w:val="17"/>
          <w:color w:val="auto"/>
        </w:rPr>
        <w:t>transfer of intermediated securities and the pledging of these intermediated securities are based on the provisions of the FISA and that transfer of propriety as collateral by means of written assignment are not permitted.</w:t>
      </w:r>
    </w:p>
    <w:p>
      <w:pPr>
        <w:spacing w:after="0" w:line="116" w:lineRule="exact"/>
        <w:rPr>
          <w:sz w:val="20"/>
          <w:szCs w:val="20"/>
          <w:color w:val="auto"/>
        </w:rPr>
      </w:pPr>
    </w:p>
    <w:p>
      <w:pPr>
        <w:ind w:firstLine="305"/>
        <w:spacing w:after="0" w:line="253" w:lineRule="auto"/>
        <w:rPr>
          <w:sz w:val="20"/>
          <w:szCs w:val="20"/>
          <w:color w:val="auto"/>
        </w:rPr>
      </w:pPr>
      <w:r>
        <w:rPr>
          <w:rFonts w:ascii="Times New Roman" w:cs="Times New Roman" w:eastAsia="Times New Roman" w:hAnsi="Times New Roman"/>
          <w:sz w:val="17"/>
          <w:szCs w:val="17"/>
          <w:color w:val="auto"/>
        </w:rPr>
        <w:t>Voting rights may be exercised only after a shareholder (or usufructuaries) has been entered in our share register (</w:t>
      </w:r>
      <w:r>
        <w:rPr>
          <w:rFonts w:ascii="Times New Roman" w:cs="Times New Roman" w:eastAsia="Times New Roman" w:hAnsi="Times New Roman"/>
          <w:sz w:val="17"/>
          <w:szCs w:val="17"/>
          <w:i w:val="1"/>
          <w:iCs w:val="1"/>
          <w:color w:val="auto"/>
        </w:rPr>
        <w:t>registre des actions</w:t>
      </w:r>
      <w:r>
        <w:rPr>
          <w:rFonts w:ascii="Times New Roman" w:cs="Times New Roman" w:eastAsia="Times New Roman" w:hAnsi="Times New Roman"/>
          <w:sz w:val="17"/>
          <w:szCs w:val="17"/>
          <w:color w:val="auto"/>
        </w:rPr>
        <w:t>) with his or her name, first name and address (in the case of legal entities, the registered office) as a shareholder with voting rights. Our articles of association state that no individual or legal entity may, directly or indirectly, formally, constructively or beneficially own or otherwise control voting rights (“Controlled Shares”) with respect to 33 1∕3% or more of the registered share capital recorded in the Commercial Register except if such individual or legal entity submits prior to the acquisition of such Controlled Shares an orderly tender offer to all shareholders with a minimum price of the higher of (i) the volume weighted average price of the last 60 trading days prior to the publication of the tender offer or (ii) the highest price paid by such individual or legal entity in the 12 months preceding to the publication of the tender offer. Those associated through capital, voting power, joint management or in any other way, or joining for the acquisition of shares, will be regarded as one person. The common shares exceeding the limit of 33 1/3% and not benefitting from the exemption regarding a tender offer will be entered in our share registered as shares without voting rights.</w:t>
      </w:r>
    </w:p>
    <w:p>
      <w:pPr>
        <w:spacing w:after="0" w:line="1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Additional voting caps apply to shareholders acquiring shares for other persons (nominees).</w:t>
      </w:r>
    </w:p>
    <w:p>
      <w:pPr>
        <w:spacing w:after="0" w:line="16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Inspection of Books and Records</w:t>
      </w:r>
    </w:p>
    <w:p>
      <w:pPr>
        <w:spacing w:after="0" w:line="177" w:lineRule="exact"/>
        <w:rPr>
          <w:sz w:val="20"/>
          <w:szCs w:val="20"/>
          <w:color w:val="auto"/>
        </w:rPr>
      </w:pPr>
    </w:p>
    <w:p>
      <w:pPr>
        <w:ind w:right="20" w:firstLine="305"/>
        <w:spacing w:after="0" w:line="258" w:lineRule="auto"/>
        <w:rPr>
          <w:sz w:val="20"/>
          <w:szCs w:val="20"/>
          <w:color w:val="auto"/>
        </w:rPr>
      </w:pPr>
      <w:r>
        <w:rPr>
          <w:rFonts w:ascii="Times New Roman" w:cs="Times New Roman" w:eastAsia="Times New Roman" w:hAnsi="Times New Roman"/>
          <w:sz w:val="17"/>
          <w:szCs w:val="17"/>
          <w:color w:val="auto"/>
        </w:rPr>
        <w:t>Under the CO, a shareholder has a right to inspect our share register with respect to his own shares and otherwise to the extent necessary to exercise his shareholder rights. No other person has a right to inspect our share register. Our books and correspondence may be inspected with the express authorization of the general meeting of shareholders or by resolution of the board of directors and subject to the safeguarding of our business secrets.</w:t>
      </w:r>
    </w:p>
    <w:p>
      <w:pPr>
        <w:spacing w:after="0" w:line="1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Special Investigation</w:t>
      </w:r>
    </w:p>
    <w:p>
      <w:pPr>
        <w:spacing w:after="0" w:line="177" w:lineRule="exact"/>
        <w:rPr>
          <w:sz w:val="20"/>
          <w:szCs w:val="20"/>
          <w:color w:val="auto"/>
        </w:rPr>
      </w:pPr>
    </w:p>
    <w:p>
      <w:pPr>
        <w:ind w:right="20" w:firstLine="305"/>
        <w:spacing w:after="0" w:line="271" w:lineRule="auto"/>
        <w:rPr>
          <w:sz w:val="20"/>
          <w:szCs w:val="20"/>
          <w:color w:val="auto"/>
        </w:rPr>
      </w:pPr>
      <w:r>
        <w:rPr>
          <w:rFonts w:ascii="Times New Roman" w:cs="Times New Roman" w:eastAsia="Times New Roman" w:hAnsi="Times New Roman"/>
          <w:sz w:val="16"/>
          <w:szCs w:val="16"/>
          <w:color w:val="auto"/>
        </w:rPr>
        <w:t>If the shareholders’ inspection rights as outlined above prove to be insufficient in the judgment of the shareholder, any shareholder may propose to the general meeting of shareholders that specific facts be examined by a special commissioner in a special investigation. If the general meeting of shareholders approves the proposal, we or any shareholder may, within 30 calendar days after the general meeting of shareholders, request the competent court sitting in Lausanne, Switzerland, our registered office, to appoint a special commissioner. If the general meeting of shareholders rejects the request, one or more shareholders representing at least 5 percent of the share capital may request that the court appoint a special commissioner. The court will issue such an order if the petitioners can demonstrate that the board of directors, any member of the board of directors or our executive management infringed the law or our articles of association and thereby caused damages to the Company or the shareholders. The costs of the investigation would generally be allocated to us and only in exceptional cases to the petitioners.</w:t>
      </w:r>
    </w:p>
    <w:p>
      <w:pPr>
        <w:spacing w:after="0" w:line="1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Compulsory Acquisitions; Appraisal Rights</w:t>
      </w:r>
    </w:p>
    <w:p>
      <w:pPr>
        <w:spacing w:after="0" w:line="189" w:lineRule="exact"/>
        <w:rPr>
          <w:sz w:val="20"/>
          <w:szCs w:val="20"/>
          <w:color w:val="auto"/>
        </w:rPr>
      </w:pPr>
    </w:p>
    <w:p>
      <w:pPr>
        <w:ind w:right="20" w:firstLine="305"/>
        <w:spacing w:after="0" w:line="255" w:lineRule="auto"/>
        <w:rPr>
          <w:sz w:val="20"/>
          <w:szCs w:val="20"/>
          <w:color w:val="auto"/>
        </w:rPr>
      </w:pPr>
      <w:r>
        <w:rPr>
          <w:rFonts w:ascii="Times New Roman" w:cs="Times New Roman" w:eastAsia="Times New Roman" w:hAnsi="Times New Roman"/>
          <w:sz w:val="17"/>
          <w:szCs w:val="17"/>
          <w:color w:val="auto"/>
        </w:rPr>
        <w:t>Business combinations and other similar transactions (i.e. mergers, demergers, transformations and certain asset transfers) that are governed by the Swiss Merger Act are, if approved in accordance with the applicable provisions of the Swiss Merger Act, binding on all shareholders of the involved companies. A statutory merger or demerger requires approval by at least two-thirds of the shares represented at a general meeting of shareholders and the absolute majority of the nominal value of the shares represented. If the merger agreement provides, however, only for a compensation payment, or in the event of an asymmetrical demerger, at least 90 percent of all shareholders of the transferring company who are entitled to vote must approve the merger agreement and the asymmetrical demerger, respectively.</w:t>
      </w:r>
    </w:p>
    <w:p>
      <w:pPr>
        <w:spacing w:after="0" w:line="137" w:lineRule="exact"/>
        <w:rPr>
          <w:sz w:val="20"/>
          <w:szCs w:val="20"/>
          <w:color w:val="auto"/>
        </w:rPr>
      </w:pPr>
    </w:p>
    <w:p>
      <w:pPr>
        <w:ind w:right="60" w:firstLine="305"/>
        <w:spacing w:after="0" w:line="256" w:lineRule="auto"/>
        <w:rPr>
          <w:sz w:val="20"/>
          <w:szCs w:val="20"/>
          <w:color w:val="auto"/>
        </w:rPr>
      </w:pPr>
      <w:r>
        <w:rPr>
          <w:rFonts w:ascii="Times New Roman" w:cs="Times New Roman" w:eastAsia="Times New Roman" w:hAnsi="Times New Roman"/>
          <w:sz w:val="17"/>
          <w:szCs w:val="17"/>
          <w:color w:val="auto"/>
        </w:rPr>
        <w:t>Swiss corporations may be acquired by an acquirer through the direct acquisition of shares of the Swiss corporation. The Swiss Merger Act provides for the possibility of a so-called “cash-out” or “squeeze-out” merger if the acquirer controls 90% of the outstanding shares. If such a squeeze-out merger under the Swiss Merger Act occurs, a minority shareholder subject to the squeeze-out merger could seek to claim, within two months of the publication of the squeeze-out merger, that the consideration offered is “inadequate” and petition a Swiss competent court to determine what “adequate” consideration is.</w:t>
      </w:r>
    </w:p>
    <w:p>
      <w:pPr>
        <w:spacing w:after="0" w:line="138" w:lineRule="exact"/>
        <w:rPr>
          <w:sz w:val="20"/>
          <w:szCs w:val="20"/>
          <w:color w:val="auto"/>
        </w:rPr>
      </w:pPr>
    </w:p>
    <w:p>
      <w:pPr>
        <w:ind w:right="20" w:firstLine="305"/>
        <w:spacing w:after="0" w:line="263" w:lineRule="auto"/>
        <w:rPr>
          <w:sz w:val="20"/>
          <w:szCs w:val="20"/>
          <w:color w:val="auto"/>
        </w:rPr>
      </w:pPr>
      <w:r>
        <w:rPr>
          <w:rFonts w:ascii="Times New Roman" w:cs="Times New Roman" w:eastAsia="Times New Roman" w:hAnsi="Times New Roman"/>
          <w:sz w:val="17"/>
          <w:szCs w:val="17"/>
          <w:color w:val="auto"/>
        </w:rPr>
        <w:t>In addition, under Swiss law, the sale of “all or substantially all of our assets” by us may require the approval of at least two-thirds of the number of shares represented at a general meeting shareholders and the absolute majority of the nominal value of the shares represented. Whether a shareholder resolution is required depends on the particular transaction, including whether the following test is satisfied:</w:t>
      </w:r>
    </w:p>
    <w:p>
      <w:pPr>
        <w:spacing w:after="0" w:line="144" w:lineRule="exact"/>
        <w:rPr>
          <w:sz w:val="20"/>
          <w:szCs w:val="20"/>
          <w:color w:val="auto"/>
        </w:rPr>
      </w:pPr>
    </w:p>
    <w:p>
      <w:pPr>
        <w:ind w:left="620" w:right="200" w:hanging="313"/>
        <w:spacing w:after="0" w:line="277" w:lineRule="auto"/>
        <w:tabs>
          <w:tab w:leader="none" w:pos="62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core part of our business is sold without which it is economically impracticable or unreasonable to continue to operate the remaining business;</w:t>
      </w:r>
    </w:p>
    <w:p>
      <w:pPr>
        <w:spacing w:after="0" w:line="119"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assets, after the divestment, are not invested in accordance with our statutory business purpose; and</w:t>
      </w:r>
    </w:p>
    <w:p>
      <w:pPr>
        <w:spacing w:after="0" w:line="172" w:lineRule="exact"/>
        <w:rPr>
          <w:rFonts w:ascii="Times New Roman" w:cs="Times New Roman" w:eastAsia="Times New Roman" w:hAnsi="Times New Roman"/>
          <w:sz w:val="17"/>
          <w:szCs w:val="17"/>
          <w:color w:val="auto"/>
        </w:rPr>
      </w:pPr>
    </w:p>
    <w:p>
      <w:pPr>
        <w:ind w:left="620" w:right="40" w:hanging="313"/>
        <w:spacing w:after="0" w:line="277" w:lineRule="auto"/>
        <w:tabs>
          <w:tab w:leader="none" w:pos="62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proceeds of the divestment are not earmarked for reinvestment in accordance with our business purpose but, instead, are intended for distribution to our shareholders or for financial investments unrelated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304165</wp:posOffset>
            </wp:positionV>
            <wp:extent cx="6302375" cy="241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2">
                      <a:extLst>
                        <a:ext uri="{28A0092B-C50C-407E-A947-70E740481C1C}"/>
                      </a:extLst>
                    </a:blip>
                    <a:srcRect/>
                    <a:stretch>
                      <a:fillRect/>
                    </a:stretch>
                  </pic:blipFill>
                  <pic:spPr bwMode="auto">
                    <a:xfrm>
                      <a:off x="0" y="0"/>
                      <a:ext cx="6302375" cy="24130"/>
                    </a:xfrm>
                    <a:prstGeom prst="rect">
                      <a:avLst/>
                    </a:prstGeom>
                    <a:noFill/>
                  </pic:spPr>
                </pic:pic>
              </a:graphicData>
            </a:graphic>
          </wp:anchor>
        </w:drawing>
      </w:r>
    </w:p>
    <w:p>
      <w:pPr>
        <w:sectPr>
          <w:pgSz w:w="11900" w:h="16838" w:orient="portrait"/>
          <w:cols w:equalWidth="0" w:num="1">
            <w:col w:w="9900"/>
          </w:cols>
          <w:pgMar w:left="980" w:top="123" w:right="1019" w:bottom="1440" w:gutter="0" w:footer="0" w:header="0"/>
        </w:sectPr>
      </w:pPr>
    </w:p>
    <w:bookmarkStart w:id="250" w:name="page251"/>
    <w:bookmarkEnd w:id="250"/>
    <w:p>
      <w:pPr>
        <w:ind w:right="120" w:firstLine="305"/>
        <w:spacing w:after="0" w:line="273" w:lineRule="auto"/>
        <w:rPr>
          <w:sz w:val="20"/>
          <w:szCs w:val="20"/>
          <w:color w:val="auto"/>
        </w:rPr>
      </w:pPr>
      <w:r>
        <w:rPr>
          <w:rFonts w:ascii="Times New Roman" w:cs="Times New Roman" w:eastAsia="Times New Roman" w:hAnsi="Times New Roman"/>
          <w:sz w:val="16"/>
          <w:szCs w:val="16"/>
          <w:color w:val="auto"/>
        </w:rPr>
        <w:t>If in a merger, demerger or transformation, equity or shareholder rights are not adequately preserved or the compensation paid is unreasonable, within two months after the publication of the merger, demerger or transformation resolution, each shareholder may demand that the competent court determines what is a reasonable amount of compensation. The decision of the court is legally binding on all shareholders of the company involved, provided that they are in the same legal position as the plaintiff. The costs of proceedings shall be borne by the acquiring company. If the particular circumstances justify it, the court may decide that the plaintiff shall bear all or part of the cost. An action to obtain a review of the protection of equity or shareholder rights does not affect the legal validity of the merger, demerger or transformation resolution.</w:t>
      </w:r>
    </w:p>
    <w:p>
      <w:pPr>
        <w:spacing w:after="0" w:line="1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Board of Directors</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Our articles of association provide that the board of directors shall consist of at least three and not more than nine members.</w:t>
      </w:r>
    </w:p>
    <w:p>
      <w:pPr>
        <w:spacing w:after="0" w:line="173" w:lineRule="exact"/>
        <w:rPr>
          <w:sz w:val="20"/>
          <w:szCs w:val="20"/>
          <w:color w:val="auto"/>
        </w:rPr>
      </w:pPr>
    </w:p>
    <w:p>
      <w:pPr>
        <w:jc w:val="both"/>
        <w:ind w:right="260" w:firstLine="305"/>
        <w:spacing w:after="0" w:line="263" w:lineRule="auto"/>
        <w:rPr>
          <w:sz w:val="20"/>
          <w:szCs w:val="20"/>
          <w:color w:val="auto"/>
        </w:rPr>
      </w:pPr>
      <w:r>
        <w:rPr>
          <w:rFonts w:ascii="Times New Roman" w:cs="Times New Roman" w:eastAsia="Times New Roman" w:hAnsi="Times New Roman"/>
          <w:sz w:val="17"/>
          <w:szCs w:val="17"/>
          <w:color w:val="auto"/>
        </w:rPr>
        <w:t>The members of the board of directors and the chairman are elected annually by the general meeting of shareholders for a period until the completion of the subsequent ordinary general meeting of shareholders and are eligible for re-election. Each member of the board of directors must be elected individually.</w:t>
      </w:r>
    </w:p>
    <w:p>
      <w:pPr>
        <w:spacing w:after="0" w:line="1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Powers</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board of directors has the following non-delegable and inalienable powers and duties:</w:t>
      </w:r>
    </w:p>
    <w:p>
      <w:pPr>
        <w:spacing w:after="0" w:line="173" w:lineRule="exact"/>
        <w:rPr>
          <w:sz w:val="20"/>
          <w:szCs w:val="20"/>
          <w:color w:val="auto"/>
        </w:rPr>
      </w:pPr>
    </w:p>
    <w:p>
      <w:pPr>
        <w:ind w:left="620" w:hanging="313"/>
        <w:spacing w:after="0"/>
        <w:tabs>
          <w:tab w:leader="none" w:pos="62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overall management of the Company and the issuing of all necessary directives;</w:t>
      </w:r>
    </w:p>
    <w:p>
      <w:pPr>
        <w:spacing w:after="0" w:line="172"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determination of the Company’s organization;</w:t>
      </w:r>
    </w:p>
    <w:p>
      <w:pPr>
        <w:spacing w:after="0" w:line="185"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organization of the accounting, financial control and financial planning systems as required for management of the Company;</w:t>
      </w:r>
    </w:p>
    <w:p>
      <w:pPr>
        <w:spacing w:after="0" w:line="172"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appointment and dismissal of persons entrusted with managing and representing the Company;</w:t>
      </w:r>
    </w:p>
    <w:p>
      <w:pPr>
        <w:spacing w:after="0" w:line="172" w:lineRule="exact"/>
        <w:rPr>
          <w:rFonts w:ascii="Times New Roman" w:cs="Times New Roman" w:eastAsia="Times New Roman" w:hAnsi="Times New Roman"/>
          <w:sz w:val="17"/>
          <w:szCs w:val="17"/>
          <w:color w:val="auto"/>
        </w:rPr>
      </w:pPr>
    </w:p>
    <w:p>
      <w:pPr>
        <w:ind w:left="620" w:right="460" w:hanging="313"/>
        <w:spacing w:after="0" w:line="277" w:lineRule="auto"/>
        <w:tabs>
          <w:tab w:leader="none" w:pos="62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overall supervision of the persons entrusted with managing the Company, in particular with regard to compliance with the law, articles of association, operational regulations and directives;</w:t>
      </w:r>
    </w:p>
    <w:p>
      <w:pPr>
        <w:spacing w:after="0" w:line="132"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compilation of the annual report, and the preparation for the general meeting of shareholders and implementing its resolutions;</w:t>
      </w:r>
    </w:p>
    <w:p>
      <w:pPr>
        <w:spacing w:after="0" w:line="172" w:lineRule="exact"/>
        <w:rPr>
          <w:rFonts w:ascii="Times New Roman" w:cs="Times New Roman" w:eastAsia="Times New Roman" w:hAnsi="Times New Roman"/>
          <w:sz w:val="17"/>
          <w:szCs w:val="17"/>
          <w:color w:val="auto"/>
        </w:rPr>
      </w:pPr>
    </w:p>
    <w:p>
      <w:pPr>
        <w:ind w:left="620" w:hanging="313"/>
        <w:spacing w:after="0" w:line="277" w:lineRule="auto"/>
        <w:tabs>
          <w:tab w:leader="none" w:pos="62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preparation of the compensation report and to request approval by the general meeting of shareholders regarding the compensation of the board of directors and the executive committee; and</w:t>
      </w:r>
    </w:p>
    <w:p>
      <w:pPr>
        <w:spacing w:after="0" w:line="119"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notification of the court in the event that the Company is over-indebted.</w:t>
      </w:r>
    </w:p>
    <w:p>
      <w:pPr>
        <w:spacing w:after="0" w:line="185" w:lineRule="exact"/>
        <w:rPr>
          <w:sz w:val="20"/>
          <w:szCs w:val="20"/>
          <w:color w:val="auto"/>
        </w:rPr>
      </w:pPr>
    </w:p>
    <w:p>
      <w:pPr>
        <w:ind w:firstLine="305"/>
        <w:spacing w:after="0" w:line="256" w:lineRule="auto"/>
        <w:rPr>
          <w:sz w:val="20"/>
          <w:szCs w:val="20"/>
          <w:color w:val="auto"/>
        </w:rPr>
      </w:pPr>
      <w:r>
        <w:rPr>
          <w:rFonts w:ascii="Times New Roman" w:cs="Times New Roman" w:eastAsia="Times New Roman" w:hAnsi="Times New Roman"/>
          <w:sz w:val="17"/>
          <w:szCs w:val="17"/>
          <w:color w:val="auto"/>
        </w:rPr>
        <w:t>The board of directors may assign responsibility for preparing and implementing its resolutions or monitoring transactions to committees or individual members. It must ensure appropriate reporting to its members. Furthermore, the board of directors may, while retaining such non-delegable and inalienable powers and duties, delegate, in part or entirely, the management and the representation of the Company, within the limits of the law, to a one or more individual directors (Delegates) or to third parties pursuant to the organizational regulations issued by the board of directors.</w:t>
      </w:r>
    </w:p>
    <w:p>
      <w:pPr>
        <w:spacing w:after="0" w:line="138" w:lineRule="exact"/>
        <w:rPr>
          <w:sz w:val="20"/>
          <w:szCs w:val="20"/>
          <w:color w:val="auto"/>
        </w:rPr>
      </w:pPr>
    </w:p>
    <w:p>
      <w:pPr>
        <w:ind w:right="500" w:firstLine="305"/>
        <w:spacing w:after="0" w:line="277" w:lineRule="auto"/>
        <w:rPr>
          <w:sz w:val="20"/>
          <w:szCs w:val="20"/>
          <w:color w:val="auto"/>
        </w:rPr>
      </w:pPr>
      <w:r>
        <w:rPr>
          <w:rFonts w:ascii="Times New Roman" w:cs="Times New Roman" w:eastAsia="Times New Roman" w:hAnsi="Times New Roman"/>
          <w:sz w:val="17"/>
          <w:szCs w:val="17"/>
          <w:color w:val="auto"/>
        </w:rPr>
        <w:t>Pursuant to Swiss law and Article 25 of our articles of association, details of the delegation and other procedural rules such as quorum requirements must be set in the organizational rules issued by the board of directors.</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board of directors assigns the persons with signatory power for the Company and the kind of signatory power.</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Indemnification of Executive Management and Directors</w:t>
      </w:r>
    </w:p>
    <w:p>
      <w:pPr>
        <w:spacing w:after="0" w:line="177" w:lineRule="exact"/>
        <w:rPr>
          <w:sz w:val="20"/>
          <w:szCs w:val="20"/>
          <w:color w:val="auto"/>
        </w:rPr>
      </w:pPr>
    </w:p>
    <w:p>
      <w:pPr>
        <w:ind w:right="20" w:firstLine="305"/>
        <w:spacing w:after="0" w:line="258" w:lineRule="auto"/>
        <w:rPr>
          <w:sz w:val="20"/>
          <w:szCs w:val="20"/>
          <w:color w:val="auto"/>
        </w:rPr>
      </w:pPr>
      <w:r>
        <w:rPr>
          <w:rFonts w:ascii="Times New Roman" w:cs="Times New Roman" w:eastAsia="Times New Roman" w:hAnsi="Times New Roman"/>
          <w:sz w:val="17"/>
          <w:szCs w:val="17"/>
          <w:color w:val="auto"/>
        </w:rPr>
        <w:t>Subject to Swiss law, Article 29 of our articles of association provides for indemnification of the current and former members of the board of directors, executive management and their heirs, executors and administrators, against liabilities arising in connection with the performance of their duties in such capacity, and permits us to advance the expenses of defending any act, suit or proceeding to our directors and members of the executive management.</w:t>
      </w:r>
    </w:p>
    <w:p>
      <w:pPr>
        <w:spacing w:after="0" w:line="137" w:lineRule="exact"/>
        <w:rPr>
          <w:sz w:val="20"/>
          <w:szCs w:val="20"/>
          <w:color w:val="auto"/>
        </w:rPr>
      </w:pPr>
    </w:p>
    <w:p>
      <w:pPr>
        <w:ind w:right="200" w:firstLine="305"/>
        <w:spacing w:after="0" w:line="277" w:lineRule="auto"/>
        <w:rPr>
          <w:sz w:val="20"/>
          <w:szCs w:val="20"/>
          <w:color w:val="auto"/>
        </w:rPr>
      </w:pPr>
      <w:r>
        <w:rPr>
          <w:rFonts w:ascii="Times New Roman" w:cs="Times New Roman" w:eastAsia="Times New Roman" w:hAnsi="Times New Roman"/>
          <w:sz w:val="17"/>
          <w:szCs w:val="17"/>
          <w:color w:val="auto"/>
        </w:rPr>
        <w:t>In addition, under general principles of Swiss employment law, an employer may be required to indemnify an employee against losses and expenses incurred by such employee in the proper execution of their duties under the employment agreement with the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546100</wp:posOffset>
            </wp:positionV>
            <wp:extent cx="6302375" cy="158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3">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880"/>
          </w:cols>
          <w:pgMar w:left="980" w:top="123" w:right="1039" w:bottom="1440" w:gutter="0" w:footer="0" w:header="0"/>
        </w:sectPr>
      </w:pPr>
    </w:p>
    <w:bookmarkStart w:id="251" w:name="page252"/>
    <w:bookmarkEnd w:id="251"/>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Conflict of Interest, Management Transactions</w:t>
      </w:r>
    </w:p>
    <w:p>
      <w:pPr>
        <w:spacing w:after="0" w:line="177" w:lineRule="exact"/>
        <w:rPr>
          <w:sz w:val="20"/>
          <w:szCs w:val="20"/>
          <w:color w:val="auto"/>
        </w:rPr>
      </w:pPr>
    </w:p>
    <w:p>
      <w:pPr>
        <w:ind w:firstLine="305"/>
        <w:spacing w:after="0" w:line="252" w:lineRule="auto"/>
        <w:rPr>
          <w:sz w:val="20"/>
          <w:szCs w:val="20"/>
          <w:color w:val="auto"/>
        </w:rPr>
      </w:pPr>
      <w:r>
        <w:rPr>
          <w:rFonts w:ascii="Times New Roman" w:cs="Times New Roman" w:eastAsia="Times New Roman" w:hAnsi="Times New Roman"/>
          <w:sz w:val="17"/>
          <w:szCs w:val="17"/>
          <w:color w:val="auto"/>
        </w:rPr>
        <w:t>Swiss law does not have a general provision regarding conflicts of interest. However, the CO contains a provision that requires our directors and the members of the executive management to safeguard the Company’s interests and imposes a duty of loyalty and duty of care on our directors and the members of the executive management. This rule is generally understood to disqualify directors and members of the executive management from participating in decisions that directly affect them. Our directors and executive officers are personally liable to us for any breach of these provisions. In addition, Swiss law contains provisions under which directors and all persons engaged in the Company’s management are liable to the Company, each shareholder and the Company’s creditors for damages caused by an intentional or negligent violation of their duties. Furthermore, Swiss law contains a provision under which payments made to any of the Company’s shareholders or directors or any person associated with any such shareholder or director, other than payments made at arm’s length, must be repaid to the Company if such shareholder or director acted in bad faith.</w:t>
      </w:r>
    </w:p>
    <w:p>
      <w:pPr>
        <w:spacing w:after="0" w:line="158" w:lineRule="exact"/>
        <w:rPr>
          <w:sz w:val="20"/>
          <w:szCs w:val="20"/>
          <w:color w:val="auto"/>
        </w:rPr>
      </w:pPr>
    </w:p>
    <w:p>
      <w:pPr>
        <w:ind w:right="300" w:firstLine="305"/>
        <w:spacing w:after="0" w:line="277" w:lineRule="auto"/>
        <w:rPr>
          <w:sz w:val="20"/>
          <w:szCs w:val="20"/>
          <w:color w:val="auto"/>
        </w:rPr>
      </w:pPr>
      <w:r>
        <w:rPr>
          <w:rFonts w:ascii="Times New Roman" w:cs="Times New Roman" w:eastAsia="Times New Roman" w:hAnsi="Times New Roman"/>
          <w:sz w:val="17"/>
          <w:szCs w:val="17"/>
          <w:color w:val="auto"/>
        </w:rPr>
        <w:t>Our board of directors has adopted a Code of Business Conduct and Ethics that covers a broad range of matters, including the handling of conflicts of interest.</w:t>
      </w:r>
    </w:p>
    <w:p>
      <w:pPr>
        <w:spacing w:after="0" w:line="1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Principles of the Compensation of the Board of Directors and the Executive Management</w:t>
      </w:r>
    </w:p>
    <w:p>
      <w:pPr>
        <w:spacing w:after="0" w:line="177" w:lineRule="exact"/>
        <w:rPr>
          <w:sz w:val="20"/>
          <w:szCs w:val="20"/>
          <w:color w:val="auto"/>
        </w:rPr>
      </w:pPr>
    </w:p>
    <w:p>
      <w:pPr>
        <w:ind w:right="20" w:firstLine="305"/>
        <w:spacing w:after="0" w:line="255" w:lineRule="auto"/>
        <w:rPr>
          <w:sz w:val="20"/>
          <w:szCs w:val="20"/>
          <w:color w:val="auto"/>
        </w:rPr>
      </w:pPr>
      <w:r>
        <w:rPr>
          <w:rFonts w:ascii="Times New Roman" w:cs="Times New Roman" w:eastAsia="Times New Roman" w:hAnsi="Times New Roman"/>
          <w:sz w:val="17"/>
          <w:szCs w:val="17"/>
          <w:color w:val="auto"/>
        </w:rPr>
        <w:t>Pursuant to Swiss law, our shareholders must annually approve the compensation of the board of directors and the persons whom the board of directors has, fully or partially, entrusted with the management of the Company. The board of directors must issue, on an annual basis, a written compensation report that must be reviewed together with a report on our business by our auditor. The compensation report must disclose all compensation granted by the Company, directly or indirectly, to current members of the board of directors and executive management as well as to former members of the board of directors and executive management but in the latter case only to the extent if such compensation is related to their former role within the Company or if such compensation is not on customary market terms.</w:t>
      </w:r>
    </w:p>
    <w:p>
      <w:pPr>
        <w:spacing w:after="0" w:line="150" w:lineRule="exact"/>
        <w:rPr>
          <w:sz w:val="20"/>
          <w:szCs w:val="20"/>
          <w:color w:val="auto"/>
        </w:rPr>
      </w:pPr>
    </w:p>
    <w:p>
      <w:pPr>
        <w:ind w:right="60" w:firstLine="305"/>
        <w:spacing w:after="0" w:line="263" w:lineRule="auto"/>
        <w:rPr>
          <w:sz w:val="20"/>
          <w:szCs w:val="20"/>
          <w:color w:val="auto"/>
        </w:rPr>
      </w:pPr>
      <w:r>
        <w:rPr>
          <w:rFonts w:ascii="Times New Roman" w:cs="Times New Roman" w:eastAsia="Times New Roman" w:hAnsi="Times New Roman"/>
          <w:sz w:val="17"/>
          <w:szCs w:val="17"/>
          <w:color w:val="auto"/>
        </w:rPr>
        <w:t>The disclosure concerning compensation must in particular include the aggregate amount for the board of directors and the aggregate amount for the executive management, as well as the particular amount of compensation for each member of the board of directors and the highest paid member of the executive management, specifying the name and function of each person.</w:t>
      </w:r>
    </w:p>
    <w:p>
      <w:pPr>
        <w:spacing w:after="0" w:line="1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Certain forms of compensation are prohibited for members of our board of directors and executive management, such as:</w:t>
      </w:r>
    </w:p>
    <w:p>
      <w:pPr>
        <w:spacing w:after="0" w:line="173" w:lineRule="exact"/>
        <w:rPr>
          <w:sz w:val="20"/>
          <w:szCs w:val="20"/>
          <w:color w:val="auto"/>
        </w:rPr>
      </w:pPr>
    </w:p>
    <w:p>
      <w:pPr>
        <w:ind w:left="620" w:right="560" w:hanging="313"/>
        <w:spacing w:after="0" w:line="277" w:lineRule="auto"/>
        <w:tabs>
          <w:tab w:leader="none" w:pos="62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severance payments provided for either contractually or in the articles of association (compensation due until the termination of a contractual relationship does not qualify as severance payment);</w:t>
      </w:r>
    </w:p>
    <w:p>
      <w:pPr>
        <w:spacing w:after="0" w:line="132"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 compensation;</w:t>
      </w:r>
    </w:p>
    <w:p>
      <w:pPr>
        <w:spacing w:after="0" w:line="172" w:lineRule="exact"/>
        <w:rPr>
          <w:rFonts w:ascii="Times New Roman" w:cs="Times New Roman" w:eastAsia="Times New Roman" w:hAnsi="Times New Roman"/>
          <w:sz w:val="17"/>
          <w:szCs w:val="17"/>
          <w:color w:val="auto"/>
        </w:rPr>
      </w:pPr>
    </w:p>
    <w:p>
      <w:pPr>
        <w:ind w:left="620" w:right="600" w:hanging="313"/>
        <w:spacing w:after="0" w:line="277" w:lineRule="auto"/>
        <w:tabs>
          <w:tab w:leader="none" w:pos="62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incentive fees for the acquisition or transfer of corporations, or parts thereof, by the Company or by companies being, directly or indirectly, controlled by the us;</w:t>
      </w:r>
    </w:p>
    <w:p>
      <w:pPr>
        <w:spacing w:after="0" w:line="119" w:lineRule="exact"/>
        <w:rPr>
          <w:rFonts w:ascii="Times New Roman" w:cs="Times New Roman" w:eastAsia="Times New Roman" w:hAnsi="Times New Roman"/>
          <w:sz w:val="17"/>
          <w:szCs w:val="17"/>
          <w:color w:val="auto"/>
        </w:rPr>
      </w:pPr>
    </w:p>
    <w:p>
      <w:pPr>
        <w:ind w:left="620" w:right="200" w:hanging="313"/>
        <w:spacing w:after="0" w:line="277" w:lineRule="auto"/>
        <w:tabs>
          <w:tab w:leader="none" w:pos="62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loans, other forms of indebtedness, pension benefits not based on occupational pension schemes and performance-based compensation not provided for in the articles of association; and</w:t>
      </w:r>
    </w:p>
    <w:p>
      <w:pPr>
        <w:spacing w:after="0" w:line="132"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equity securities and conversion and option rights awards not provided for in the articles of association.</w:t>
      </w:r>
    </w:p>
    <w:p>
      <w:pPr>
        <w:spacing w:after="0" w:line="173" w:lineRule="exact"/>
        <w:rPr>
          <w:sz w:val="20"/>
          <w:szCs w:val="20"/>
          <w:color w:val="auto"/>
        </w:rPr>
      </w:pPr>
    </w:p>
    <w:p>
      <w:pPr>
        <w:ind w:right="340" w:firstLine="305"/>
        <w:spacing w:after="0" w:line="263" w:lineRule="auto"/>
        <w:rPr>
          <w:sz w:val="20"/>
          <w:szCs w:val="20"/>
          <w:color w:val="auto"/>
        </w:rPr>
      </w:pPr>
      <w:r>
        <w:rPr>
          <w:rFonts w:ascii="Times New Roman" w:cs="Times New Roman" w:eastAsia="Times New Roman" w:hAnsi="Times New Roman"/>
          <w:sz w:val="17"/>
          <w:szCs w:val="17"/>
          <w:color w:val="auto"/>
        </w:rPr>
        <w:t>Compensation to members of the board of directors and executive management for activities in entities that are, directly or indirectly, controlled by the Company is prohibited if the compensation (i) would have been prohibited if it was paid directly by the Company, (ii) is not provided for in the articles of association or (iii) has not been approved by the general meeting of shareholders.</w:t>
      </w:r>
    </w:p>
    <w:p>
      <w:pPr>
        <w:spacing w:after="0" w:line="1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general meeting of shareholders annually votes on the proposals of the board of directors with respect to:</w:t>
      </w:r>
    </w:p>
    <w:p>
      <w:pPr>
        <w:spacing w:after="0" w:line="185" w:lineRule="exact"/>
        <w:rPr>
          <w:sz w:val="20"/>
          <w:szCs w:val="20"/>
          <w:color w:val="auto"/>
        </w:rPr>
      </w:pPr>
    </w:p>
    <w:p>
      <w:pPr>
        <w:ind w:left="620" w:hanging="313"/>
        <w:spacing w:after="0"/>
        <w:tabs>
          <w:tab w:leader="none" w:pos="62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aggregate amount of compensation of the board of directors for the period until the next Ordinary General Meeting; and</w:t>
      </w:r>
    </w:p>
    <w:p>
      <w:pPr>
        <w:spacing w:after="0" w:line="172"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aggregate amount of compensation of the executive committee for the following financial year.</w:t>
      </w:r>
    </w:p>
    <w:p>
      <w:pPr>
        <w:spacing w:after="0" w:line="173" w:lineRule="exact"/>
        <w:rPr>
          <w:sz w:val="20"/>
          <w:szCs w:val="20"/>
          <w:color w:val="auto"/>
        </w:rPr>
      </w:pPr>
    </w:p>
    <w:p>
      <w:pPr>
        <w:ind w:right="160" w:firstLine="305"/>
        <w:spacing w:after="0" w:line="277" w:lineRule="auto"/>
        <w:rPr>
          <w:sz w:val="20"/>
          <w:szCs w:val="20"/>
          <w:color w:val="auto"/>
        </w:rPr>
      </w:pPr>
      <w:r>
        <w:rPr>
          <w:rFonts w:ascii="Times New Roman" w:cs="Times New Roman" w:eastAsia="Times New Roman" w:hAnsi="Times New Roman"/>
          <w:sz w:val="17"/>
          <w:szCs w:val="17"/>
          <w:color w:val="auto"/>
        </w:rPr>
        <w:t>The respective total compensation amounts include social security and occupational pension contributions for the benefit of the members of the board of directors, the executive management and the Company.</w:t>
      </w:r>
    </w:p>
    <w:p>
      <w:pPr>
        <w:spacing w:after="0" w:line="133" w:lineRule="exact"/>
        <w:rPr>
          <w:sz w:val="20"/>
          <w:szCs w:val="20"/>
          <w:color w:val="auto"/>
        </w:rPr>
      </w:pPr>
    </w:p>
    <w:p>
      <w:pPr>
        <w:ind w:right="160" w:firstLine="305"/>
        <w:spacing w:after="0" w:line="263" w:lineRule="auto"/>
        <w:rPr>
          <w:sz w:val="20"/>
          <w:szCs w:val="20"/>
          <w:color w:val="auto"/>
        </w:rPr>
      </w:pPr>
      <w:r>
        <w:rPr>
          <w:rFonts w:ascii="Times New Roman" w:cs="Times New Roman" w:eastAsia="Times New Roman" w:hAnsi="Times New Roman"/>
          <w:sz w:val="17"/>
          <w:szCs w:val="17"/>
          <w:color w:val="auto"/>
        </w:rPr>
        <w:t>If the general meeting of shareholders refuses to approve a respective motion by the board of directors, the board of directors may either submit a new motion at the same meeting or determine a maximum total remuneration or several maximum partial remunerations, subject to the relevant principles of the compensation, or submit a new motion to the next general meeting of shareholders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02375" cy="158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4">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252" w:name="page253"/>
    <w:bookmarkEnd w:id="252"/>
    <w:p>
      <w:pPr>
        <w:ind w:firstLine="305"/>
        <w:spacing w:after="0" w:line="256" w:lineRule="auto"/>
        <w:rPr>
          <w:sz w:val="20"/>
          <w:szCs w:val="20"/>
          <w:color w:val="auto"/>
        </w:rPr>
      </w:pPr>
      <w:r>
        <w:rPr>
          <w:rFonts w:ascii="Times New Roman" w:cs="Times New Roman" w:eastAsia="Times New Roman" w:hAnsi="Times New Roman"/>
          <w:sz w:val="17"/>
          <w:szCs w:val="17"/>
          <w:color w:val="auto"/>
        </w:rPr>
        <w:t>In addition to fixed compensation, members of the executive management may be paid in cash a variable compensation, depending on the achievement of certain performance criteria. The performance criteria may include individual targets, targets of the Company or parts thereof and targets in relation to the market, other companies or comparable benchmarks, taking into account the position and level of responsibility of the recipient of the variable compensation. The board of directors or, where delegated to it, the compensation committee determines the relative weight of the performance criteria and the respective target values.</w:t>
      </w:r>
    </w:p>
    <w:p>
      <w:pPr>
        <w:spacing w:after="0" w:line="138" w:lineRule="exact"/>
        <w:rPr>
          <w:sz w:val="20"/>
          <w:szCs w:val="20"/>
          <w:color w:val="auto"/>
        </w:rPr>
      </w:pPr>
    </w:p>
    <w:p>
      <w:pPr>
        <w:ind w:right="20" w:firstLine="305"/>
        <w:spacing w:after="0" w:line="277" w:lineRule="auto"/>
        <w:rPr>
          <w:sz w:val="20"/>
          <w:szCs w:val="20"/>
          <w:color w:val="auto"/>
        </w:rPr>
      </w:pPr>
      <w:r>
        <w:rPr>
          <w:rFonts w:ascii="Times New Roman" w:cs="Times New Roman" w:eastAsia="Times New Roman" w:hAnsi="Times New Roman"/>
          <w:sz w:val="17"/>
          <w:szCs w:val="17"/>
          <w:color w:val="auto"/>
        </w:rPr>
        <w:t>Compensation may be paid in cash or granted in form of options or shares in the Company. The board of directors or, to the extent delegated to it, the compensation committee determines grant, vesting, exercise and forfeiture conditions.</w:t>
      </w:r>
    </w:p>
    <w:p>
      <w:pPr>
        <w:spacing w:after="0" w:line="1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Borrowing Powers</w:t>
      </w:r>
    </w:p>
    <w:p>
      <w:pPr>
        <w:spacing w:after="0" w:line="177" w:lineRule="exact"/>
        <w:rPr>
          <w:sz w:val="20"/>
          <w:szCs w:val="20"/>
          <w:color w:val="auto"/>
        </w:rPr>
      </w:pPr>
    </w:p>
    <w:p>
      <w:pPr>
        <w:ind w:right="220" w:firstLine="305"/>
        <w:spacing w:after="0" w:line="277" w:lineRule="auto"/>
        <w:rPr>
          <w:sz w:val="20"/>
          <w:szCs w:val="20"/>
          <w:color w:val="auto"/>
        </w:rPr>
      </w:pPr>
      <w:r>
        <w:rPr>
          <w:rFonts w:ascii="Times New Roman" w:cs="Times New Roman" w:eastAsia="Times New Roman" w:hAnsi="Times New Roman"/>
          <w:sz w:val="17"/>
          <w:szCs w:val="17"/>
          <w:color w:val="auto"/>
        </w:rPr>
        <w:t>Neither Swiss law nor our articles of association restrict in any way our power to borrow and raise funds. The decision to borrow funds is made by or under the direction of our board of directors, and no approval by the shareholders is required in relation to any such borrowing.</w:t>
      </w:r>
    </w:p>
    <w:p>
      <w:pPr>
        <w:spacing w:after="0" w:line="1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Repurchases of Shares and Purchases of Own Shares</w:t>
      </w:r>
    </w:p>
    <w:p>
      <w:pPr>
        <w:spacing w:after="0" w:line="189" w:lineRule="exact"/>
        <w:rPr>
          <w:sz w:val="20"/>
          <w:szCs w:val="20"/>
          <w:color w:val="auto"/>
        </w:rPr>
      </w:pPr>
    </w:p>
    <w:p>
      <w:pPr>
        <w:ind w:right="120" w:firstLine="305"/>
        <w:spacing w:after="0" w:line="256" w:lineRule="auto"/>
        <w:rPr>
          <w:sz w:val="20"/>
          <w:szCs w:val="20"/>
          <w:color w:val="auto"/>
        </w:rPr>
      </w:pPr>
      <w:r>
        <w:rPr>
          <w:rFonts w:ascii="Times New Roman" w:cs="Times New Roman" w:eastAsia="Times New Roman" w:hAnsi="Times New Roman"/>
          <w:sz w:val="17"/>
          <w:szCs w:val="17"/>
          <w:color w:val="auto"/>
        </w:rPr>
        <w:t>The CO limits our right to purchase and hold our own shares. We and our subsidiaries may purchase shares only if and to the extent that (i) we have freely distributable reserves in the amount of the purchase price; and (ii) the aggregate nominal value of all shares held by us does not exceed 10 percent of our share capital. Pursuant to Swiss law, where shares are acquired in connection with a transfer restriction set out in the articles of association, the foregoing upper limit is 20 percent. If we own shares that exceed the threshold of 10 percent of our share capital, the excess must be sold or cancelled by means of a capital reduction within two years.</w:t>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We currently hold 10,899,773 fully paid up common shares of par value CHF 0.02 each, as treasury shares.</w:t>
      </w:r>
    </w:p>
    <w:p>
      <w:pPr>
        <w:spacing w:after="0" w:line="173" w:lineRule="exact"/>
        <w:rPr>
          <w:sz w:val="20"/>
          <w:szCs w:val="20"/>
          <w:color w:val="auto"/>
        </w:rPr>
      </w:pPr>
    </w:p>
    <w:p>
      <w:pPr>
        <w:ind w:right="260" w:firstLine="305"/>
        <w:spacing w:after="0" w:line="263" w:lineRule="auto"/>
        <w:rPr>
          <w:sz w:val="20"/>
          <w:szCs w:val="20"/>
          <w:color w:val="auto"/>
        </w:rPr>
      </w:pPr>
      <w:r>
        <w:rPr>
          <w:rFonts w:ascii="Times New Roman" w:cs="Times New Roman" w:eastAsia="Times New Roman" w:hAnsi="Times New Roman"/>
          <w:sz w:val="17"/>
          <w:szCs w:val="17"/>
          <w:color w:val="auto"/>
        </w:rPr>
        <w:t>Shares of the Company held by us or our subsidiaries are not entitled to vote at the general meeting of shareholders but are entitled to the economic benefits applicable to the shares generally, including dividends and pre-emptive subscription rights in the case of share capital increases.</w:t>
      </w:r>
    </w:p>
    <w:p>
      <w:pPr>
        <w:spacing w:after="0" w:line="144" w:lineRule="exact"/>
        <w:rPr>
          <w:sz w:val="20"/>
          <w:szCs w:val="20"/>
          <w:color w:val="auto"/>
        </w:rPr>
      </w:pPr>
    </w:p>
    <w:p>
      <w:pPr>
        <w:ind w:right="20" w:firstLine="305"/>
        <w:spacing w:after="0" w:line="263" w:lineRule="auto"/>
        <w:rPr>
          <w:sz w:val="20"/>
          <w:szCs w:val="20"/>
          <w:color w:val="auto"/>
        </w:rPr>
      </w:pPr>
      <w:r>
        <w:rPr>
          <w:rFonts w:ascii="Times New Roman" w:cs="Times New Roman" w:eastAsia="Times New Roman" w:hAnsi="Times New Roman"/>
          <w:sz w:val="17"/>
          <w:szCs w:val="17"/>
          <w:color w:val="auto"/>
        </w:rPr>
        <w:t>In addition, selective share repurchases are only permitted under certain circumstances. Within these limitations, as is customary for Swiss corporations, we may purchase and sell our own shares from time to time in order to meet imbalances of supply and demand, to provide liquidity and to even out variances in the market price of shares.</w:t>
      </w:r>
    </w:p>
    <w:p>
      <w:pPr>
        <w:spacing w:after="0" w:line="12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Notification and Disclosure of Substantial Share Interests</w:t>
      </w:r>
    </w:p>
    <w:p>
      <w:pPr>
        <w:spacing w:after="0" w:line="177" w:lineRule="exact"/>
        <w:rPr>
          <w:sz w:val="20"/>
          <w:szCs w:val="20"/>
          <w:color w:val="auto"/>
        </w:rPr>
      </w:pPr>
    </w:p>
    <w:p>
      <w:pPr>
        <w:ind w:right="160" w:firstLine="305"/>
        <w:spacing w:after="0" w:line="277" w:lineRule="auto"/>
        <w:rPr>
          <w:sz w:val="20"/>
          <w:szCs w:val="20"/>
          <w:color w:val="auto"/>
        </w:rPr>
      </w:pPr>
      <w:r>
        <w:rPr>
          <w:rFonts w:ascii="Times New Roman" w:cs="Times New Roman" w:eastAsia="Times New Roman" w:hAnsi="Times New Roman"/>
          <w:sz w:val="17"/>
          <w:szCs w:val="17"/>
          <w:color w:val="auto"/>
        </w:rPr>
        <w:t>The disclosure obligations generally applicable to shareholders of Swiss corporations under the Swiss Financial Market Infrastructure Act, FinMIA, do not apply to us since our shares are not listed on a Swiss stock exchange.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Exchange Listing</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Our common shares are listed on the NASDAQ Global Market under the symbol “ACIU.”</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Transfer Agent and Registrar of Shares</w:t>
      </w:r>
    </w:p>
    <w:p>
      <w:pPr>
        <w:spacing w:after="0" w:line="189" w:lineRule="exact"/>
        <w:rPr>
          <w:sz w:val="20"/>
          <w:szCs w:val="20"/>
          <w:color w:val="auto"/>
        </w:rPr>
      </w:pPr>
    </w:p>
    <w:p>
      <w:pPr>
        <w:ind w:right="400" w:firstLine="305"/>
        <w:spacing w:after="0" w:line="277" w:lineRule="auto"/>
        <w:rPr>
          <w:sz w:val="20"/>
          <w:szCs w:val="20"/>
          <w:color w:val="auto"/>
        </w:rPr>
      </w:pPr>
      <w:r>
        <w:rPr>
          <w:rFonts w:ascii="Times New Roman" w:cs="Times New Roman" w:eastAsia="Times New Roman" w:hAnsi="Times New Roman"/>
          <w:sz w:val="17"/>
          <w:szCs w:val="17"/>
          <w:color w:val="auto"/>
        </w:rPr>
        <w:t>Computershare Trust Company, N.A. acts as transfer agent and registrar for our common shares. The share register reflects only record owners of our shares. Swiss law does not recognize fractional share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304165</wp:posOffset>
            </wp:positionV>
            <wp:extent cx="6302375" cy="1587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5">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840"/>
          </w:cols>
          <w:pgMar w:left="980" w:top="123" w:right="1079" w:bottom="1440" w:gutter="0" w:footer="0" w:header="0"/>
        </w:sectPr>
      </w:pPr>
    </w:p>
    <w:bookmarkStart w:id="253" w:name="page254"/>
    <w:bookmarkEnd w:id="2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125" cy="92119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6">
                      <a:extLst>
                        <a:ext uri="{28A0092B-C50C-407E-A947-70E740481C1C}"/>
                      </a:extLst>
                    </a:blip>
                    <a:srcRect/>
                    <a:stretch>
                      <a:fillRect/>
                    </a:stretch>
                  </pic:blipFill>
                  <pic:spPr bwMode="auto">
                    <a:xfrm>
                      <a:off x="0" y="0"/>
                      <a:ext cx="6842125" cy="921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125" cy="92119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7">
                      <a:extLst>
                        <a:ext uri="{28A0092B-C50C-407E-A947-70E740481C1C}"/>
                      </a:extLst>
                    </a:blip>
                    <a:srcRect/>
                    <a:stretch>
                      <a:fillRect/>
                    </a:stretch>
                  </pic:blipFill>
                  <pic:spPr bwMode="auto">
                    <a:xfrm>
                      <a:off x="0" y="0"/>
                      <a:ext cx="6842125" cy="921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125" cy="92119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8">
                      <a:extLst>
                        <a:ext uri="{28A0092B-C50C-407E-A947-70E740481C1C}"/>
                      </a:extLst>
                    </a:blip>
                    <a:srcRect/>
                    <a:stretch>
                      <a:fillRect/>
                    </a:stretch>
                  </pic:blipFill>
                  <pic:spPr bwMode="auto">
                    <a:xfrm>
                      <a:off x="0" y="0"/>
                      <a:ext cx="6842125" cy="921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125" cy="92119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9">
                      <a:extLst>
                        <a:ext uri="{28A0092B-C50C-407E-A947-70E740481C1C}"/>
                      </a:extLst>
                    </a:blip>
                    <a:srcRect/>
                    <a:stretch>
                      <a:fillRect/>
                    </a:stretch>
                  </pic:blipFill>
                  <pic:spPr bwMode="auto">
                    <a:xfrm>
                      <a:off x="0" y="0"/>
                      <a:ext cx="6842125" cy="921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125" cy="92119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0">
                      <a:extLst>
                        <a:ext uri="{28A0092B-C50C-407E-A947-70E740481C1C}"/>
                      </a:extLst>
                    </a:blip>
                    <a:srcRect/>
                    <a:stretch>
                      <a:fillRect/>
                    </a:stretch>
                  </pic:blipFill>
                  <pic:spPr bwMode="auto">
                    <a:xfrm>
                      <a:off x="0" y="0"/>
                      <a:ext cx="6842125" cy="921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125" cy="92119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1">
                      <a:extLst>
                        <a:ext uri="{28A0092B-C50C-407E-A947-70E740481C1C}"/>
                      </a:extLst>
                    </a:blip>
                    <a:srcRect/>
                    <a:stretch>
                      <a:fillRect/>
                    </a:stretch>
                  </pic:blipFill>
                  <pic:spPr bwMode="auto">
                    <a:xfrm>
                      <a:off x="0" y="0"/>
                      <a:ext cx="6842125" cy="921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125" cy="92119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2">
                      <a:extLst>
                        <a:ext uri="{28A0092B-C50C-407E-A947-70E740481C1C}"/>
                      </a:extLst>
                    </a:blip>
                    <a:srcRect/>
                    <a:stretch>
                      <a:fillRect/>
                    </a:stretch>
                  </pic:blipFill>
                  <pic:spPr bwMode="auto">
                    <a:xfrm>
                      <a:off x="0" y="0"/>
                      <a:ext cx="6842125" cy="921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125" cy="92119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3">
                      <a:extLst>
                        <a:ext uri="{28A0092B-C50C-407E-A947-70E740481C1C}"/>
                      </a:extLst>
                    </a:blip>
                    <a:srcRect/>
                    <a:stretch>
                      <a:fillRect/>
                    </a:stretch>
                  </pic:blipFill>
                  <pic:spPr bwMode="auto">
                    <a:xfrm>
                      <a:off x="0" y="0"/>
                      <a:ext cx="6842125" cy="921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125" cy="92119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4">
                      <a:extLst>
                        <a:ext uri="{28A0092B-C50C-407E-A947-70E740481C1C}"/>
                      </a:extLst>
                    </a:blip>
                    <a:srcRect/>
                    <a:stretch>
                      <a:fillRect/>
                    </a:stretch>
                  </pic:blipFill>
                  <pic:spPr bwMode="auto">
                    <a:xfrm>
                      <a:off x="0" y="0"/>
                      <a:ext cx="6842125" cy="921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125" cy="92119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5">
                      <a:extLst>
                        <a:ext uri="{28A0092B-C50C-407E-A947-70E740481C1C}"/>
                      </a:extLst>
                    </a:blip>
                    <a:srcRect/>
                    <a:stretch>
                      <a:fillRect/>
                    </a:stretch>
                  </pic:blipFill>
                  <pic:spPr bwMode="auto">
                    <a:xfrm>
                      <a:off x="0" y="0"/>
                      <a:ext cx="6842125" cy="921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125" cy="92119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6">
                      <a:extLst>
                        <a:ext uri="{28A0092B-C50C-407E-A947-70E740481C1C}"/>
                      </a:extLst>
                    </a:blip>
                    <a:srcRect/>
                    <a:stretch>
                      <a:fillRect/>
                    </a:stretch>
                  </pic:blipFill>
                  <pic:spPr bwMode="auto">
                    <a:xfrm>
                      <a:off x="0" y="0"/>
                      <a:ext cx="6842125" cy="921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125" cy="92119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7">
                      <a:extLst>
                        <a:ext uri="{28A0092B-C50C-407E-A947-70E740481C1C}"/>
                      </a:extLst>
                    </a:blip>
                    <a:srcRect/>
                    <a:stretch>
                      <a:fillRect/>
                    </a:stretch>
                  </pic:blipFill>
                  <pic:spPr bwMode="auto">
                    <a:xfrm>
                      <a:off x="0" y="0"/>
                      <a:ext cx="6842125" cy="921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5" w:name="page266"/>
    <w:bookmarkEnd w:id="2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125" cy="92119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8">
                      <a:extLst>
                        <a:ext uri="{28A0092B-C50C-407E-A947-70E740481C1C}"/>
                      </a:extLst>
                    </a:blip>
                    <a:srcRect/>
                    <a:stretch>
                      <a:fillRect/>
                    </a:stretch>
                  </pic:blipFill>
                  <pic:spPr bwMode="auto">
                    <a:xfrm>
                      <a:off x="0" y="0"/>
                      <a:ext cx="6842125" cy="921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125" cy="92119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9">
                      <a:extLst>
                        <a:ext uri="{28A0092B-C50C-407E-A947-70E740481C1C}"/>
                      </a:extLst>
                    </a:blip>
                    <a:srcRect/>
                    <a:stretch>
                      <a:fillRect/>
                    </a:stretch>
                  </pic:blipFill>
                  <pic:spPr bwMode="auto">
                    <a:xfrm>
                      <a:off x="0" y="0"/>
                      <a:ext cx="6842125" cy="921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7" w:name="page268"/>
    <w:bookmarkEnd w:id="2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125" cy="92119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0">
                      <a:extLst>
                        <a:ext uri="{28A0092B-C50C-407E-A947-70E740481C1C}"/>
                      </a:extLst>
                    </a:blip>
                    <a:srcRect/>
                    <a:stretch>
                      <a:fillRect/>
                    </a:stretch>
                  </pic:blipFill>
                  <pic:spPr bwMode="auto">
                    <a:xfrm>
                      <a:off x="0" y="0"/>
                      <a:ext cx="6842125" cy="921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8" w:name="page269"/>
    <w:bookmarkEnd w:id="2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125" cy="92119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1">
                      <a:extLst>
                        <a:ext uri="{28A0092B-C50C-407E-A947-70E740481C1C}"/>
                      </a:extLst>
                    </a:blip>
                    <a:srcRect/>
                    <a:stretch>
                      <a:fillRect/>
                    </a:stretch>
                  </pic:blipFill>
                  <pic:spPr bwMode="auto">
                    <a:xfrm>
                      <a:off x="0" y="0"/>
                      <a:ext cx="6842125" cy="921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9" w:name="page270"/>
    <w:bookmarkEnd w:id="2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125" cy="92119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2">
                      <a:extLst>
                        <a:ext uri="{28A0092B-C50C-407E-A947-70E740481C1C}"/>
                      </a:extLst>
                    </a:blip>
                    <a:srcRect/>
                    <a:stretch>
                      <a:fillRect/>
                    </a:stretch>
                  </pic:blipFill>
                  <pic:spPr bwMode="auto">
                    <a:xfrm>
                      <a:off x="0" y="0"/>
                      <a:ext cx="6842125" cy="921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0" w:name="page271"/>
    <w:bookmarkEnd w:id="2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125" cy="92119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3">
                      <a:extLst>
                        <a:ext uri="{28A0092B-C50C-407E-A947-70E740481C1C}"/>
                      </a:extLst>
                    </a:blip>
                    <a:srcRect/>
                    <a:stretch>
                      <a:fillRect/>
                    </a:stretch>
                  </pic:blipFill>
                  <pic:spPr bwMode="auto">
                    <a:xfrm>
                      <a:off x="0" y="0"/>
                      <a:ext cx="6842125" cy="921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1" w:name="page272"/>
    <w:bookmarkEnd w:id="2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125" cy="92119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4">
                      <a:extLst>
                        <a:ext uri="{28A0092B-C50C-407E-A947-70E740481C1C}"/>
                      </a:extLst>
                    </a:blip>
                    <a:srcRect/>
                    <a:stretch>
                      <a:fillRect/>
                    </a:stretch>
                  </pic:blipFill>
                  <pic:spPr bwMode="auto">
                    <a:xfrm>
                      <a:off x="0" y="0"/>
                      <a:ext cx="6842125" cy="921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2" w:name="page273"/>
    <w:bookmarkEnd w:id="2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125" cy="92119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5">
                      <a:extLst>
                        <a:ext uri="{28A0092B-C50C-407E-A947-70E740481C1C}"/>
                      </a:extLst>
                    </a:blip>
                    <a:srcRect/>
                    <a:stretch>
                      <a:fillRect/>
                    </a:stretch>
                  </pic:blipFill>
                  <pic:spPr bwMode="auto">
                    <a:xfrm>
                      <a:off x="0" y="0"/>
                      <a:ext cx="6842125" cy="921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3" w:name="page274"/>
    <w:bookmarkEnd w:id="2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125" cy="92119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6">
                      <a:extLst>
                        <a:ext uri="{28A0092B-C50C-407E-A947-70E740481C1C}"/>
                      </a:extLst>
                    </a:blip>
                    <a:srcRect/>
                    <a:stretch>
                      <a:fillRect/>
                    </a:stretch>
                  </pic:blipFill>
                  <pic:spPr bwMode="auto">
                    <a:xfrm>
                      <a:off x="0" y="0"/>
                      <a:ext cx="6842125" cy="921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4" w:name="page275"/>
    <w:bookmarkEnd w:id="2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125" cy="92119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7">
                      <a:extLst>
                        <a:ext uri="{28A0092B-C50C-407E-A947-70E740481C1C}"/>
                      </a:extLst>
                    </a:blip>
                    <a:srcRect/>
                    <a:stretch>
                      <a:fillRect/>
                    </a:stretch>
                  </pic:blipFill>
                  <pic:spPr bwMode="auto">
                    <a:xfrm>
                      <a:off x="0" y="0"/>
                      <a:ext cx="6842125" cy="921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5" w:name="page276"/>
    <w:bookmarkEnd w:id="2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125" cy="92119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8">
                      <a:extLst>
                        <a:ext uri="{28A0092B-C50C-407E-A947-70E740481C1C}"/>
                      </a:extLst>
                    </a:blip>
                    <a:srcRect/>
                    <a:stretch>
                      <a:fillRect/>
                    </a:stretch>
                  </pic:blipFill>
                  <pic:spPr bwMode="auto">
                    <a:xfrm>
                      <a:off x="0" y="0"/>
                      <a:ext cx="6842125" cy="921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6" w:name="page277"/>
    <w:bookmarkEnd w:id="2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125" cy="92119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9">
                      <a:extLst>
                        <a:ext uri="{28A0092B-C50C-407E-A947-70E740481C1C}"/>
                      </a:extLst>
                    </a:blip>
                    <a:srcRect/>
                    <a:stretch>
                      <a:fillRect/>
                    </a:stretch>
                  </pic:blipFill>
                  <pic:spPr bwMode="auto">
                    <a:xfrm>
                      <a:off x="0" y="0"/>
                      <a:ext cx="6842125" cy="921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7" w:name="page278"/>
    <w:bookmarkEnd w:id="2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125" cy="92119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0">
                      <a:extLst>
                        <a:ext uri="{28A0092B-C50C-407E-A947-70E740481C1C}"/>
                      </a:extLst>
                    </a:blip>
                    <a:srcRect/>
                    <a:stretch>
                      <a:fillRect/>
                    </a:stretch>
                  </pic:blipFill>
                  <pic:spPr bwMode="auto">
                    <a:xfrm>
                      <a:off x="0" y="0"/>
                      <a:ext cx="6842125" cy="921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8" w:name="page279"/>
    <w:bookmarkEnd w:id="2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125" cy="92119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1">
                      <a:extLst>
                        <a:ext uri="{28A0092B-C50C-407E-A947-70E740481C1C}"/>
                      </a:extLst>
                    </a:blip>
                    <a:srcRect/>
                    <a:stretch>
                      <a:fillRect/>
                    </a:stretch>
                  </pic:blipFill>
                  <pic:spPr bwMode="auto">
                    <a:xfrm>
                      <a:off x="0" y="0"/>
                      <a:ext cx="6842125" cy="921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9" w:name="page280"/>
    <w:bookmarkEnd w:id="2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125" cy="92119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2">
                      <a:extLst>
                        <a:ext uri="{28A0092B-C50C-407E-A947-70E740481C1C}"/>
                      </a:extLst>
                    </a:blip>
                    <a:srcRect/>
                    <a:stretch>
                      <a:fillRect/>
                    </a:stretch>
                  </pic:blipFill>
                  <pic:spPr bwMode="auto">
                    <a:xfrm>
                      <a:off x="0" y="0"/>
                      <a:ext cx="6842125" cy="921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0" w:name="page281"/>
    <w:bookmarkEnd w:id="2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125" cy="92119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3">
                      <a:extLst>
                        <a:ext uri="{28A0092B-C50C-407E-A947-70E740481C1C}"/>
                      </a:extLst>
                    </a:blip>
                    <a:srcRect/>
                    <a:stretch>
                      <a:fillRect/>
                    </a:stretch>
                  </pic:blipFill>
                  <pic:spPr bwMode="auto">
                    <a:xfrm>
                      <a:off x="0" y="0"/>
                      <a:ext cx="6842125" cy="921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1" w:name="page282"/>
    <w:bookmarkEnd w:id="2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125" cy="92119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4">
                      <a:extLst>
                        <a:ext uri="{28A0092B-C50C-407E-A947-70E740481C1C}"/>
                      </a:extLst>
                    </a:blip>
                    <a:srcRect/>
                    <a:stretch>
                      <a:fillRect/>
                    </a:stretch>
                  </pic:blipFill>
                  <pic:spPr bwMode="auto">
                    <a:xfrm>
                      <a:off x="0" y="0"/>
                      <a:ext cx="6842125" cy="921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2" w:name="page283"/>
    <w:bookmarkEnd w:id="2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125" cy="92119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5">
                      <a:extLst>
                        <a:ext uri="{28A0092B-C50C-407E-A947-70E740481C1C}"/>
                      </a:extLst>
                    </a:blip>
                    <a:srcRect/>
                    <a:stretch>
                      <a:fillRect/>
                    </a:stretch>
                  </pic:blipFill>
                  <pic:spPr bwMode="auto">
                    <a:xfrm>
                      <a:off x="0" y="0"/>
                      <a:ext cx="6842125" cy="921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3" w:name="page284"/>
    <w:bookmarkEnd w:id="2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125" cy="92119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6">
                      <a:extLst>
                        <a:ext uri="{28A0092B-C50C-407E-A947-70E740481C1C}"/>
                      </a:extLst>
                    </a:blip>
                    <a:srcRect/>
                    <a:stretch>
                      <a:fillRect/>
                    </a:stretch>
                  </pic:blipFill>
                  <pic:spPr bwMode="auto">
                    <a:xfrm>
                      <a:off x="0" y="0"/>
                      <a:ext cx="6842125" cy="921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4" w:name="page285"/>
    <w:bookmarkEnd w:id="2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125" cy="92119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7">
                      <a:extLst>
                        <a:ext uri="{28A0092B-C50C-407E-A947-70E740481C1C}"/>
                      </a:extLst>
                    </a:blip>
                    <a:srcRect/>
                    <a:stretch>
                      <a:fillRect/>
                    </a:stretch>
                  </pic:blipFill>
                  <pic:spPr bwMode="auto">
                    <a:xfrm>
                      <a:off x="0" y="0"/>
                      <a:ext cx="6842125" cy="921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5" w:name="page286"/>
    <w:bookmarkEnd w:id="2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125" cy="92119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8">
                      <a:extLst>
                        <a:ext uri="{28A0092B-C50C-407E-A947-70E740481C1C}"/>
                      </a:extLst>
                    </a:blip>
                    <a:srcRect/>
                    <a:stretch>
                      <a:fillRect/>
                    </a:stretch>
                  </pic:blipFill>
                  <pic:spPr bwMode="auto">
                    <a:xfrm>
                      <a:off x="0" y="0"/>
                      <a:ext cx="6842125" cy="921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6" w:name="page287"/>
    <w:bookmarkEnd w:id="2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125" cy="92119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9">
                      <a:extLst>
                        <a:ext uri="{28A0092B-C50C-407E-A947-70E740481C1C}"/>
                      </a:extLst>
                    </a:blip>
                    <a:srcRect/>
                    <a:stretch>
                      <a:fillRect/>
                    </a:stretch>
                  </pic:blipFill>
                  <pic:spPr bwMode="auto">
                    <a:xfrm>
                      <a:off x="0" y="0"/>
                      <a:ext cx="6842125" cy="921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7" w:name="page288"/>
    <w:bookmarkEnd w:id="2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125" cy="92119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0">
                      <a:extLst>
                        <a:ext uri="{28A0092B-C50C-407E-A947-70E740481C1C}"/>
                      </a:extLst>
                    </a:blip>
                    <a:srcRect/>
                    <a:stretch>
                      <a:fillRect/>
                    </a:stretch>
                  </pic:blipFill>
                  <pic:spPr bwMode="auto">
                    <a:xfrm>
                      <a:off x="0" y="0"/>
                      <a:ext cx="6842125" cy="921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8" w:name="page289"/>
    <w:bookmarkEnd w:id="2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125" cy="92119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1">
                      <a:extLst>
                        <a:ext uri="{28A0092B-C50C-407E-A947-70E740481C1C}"/>
                      </a:extLst>
                    </a:blip>
                    <a:srcRect/>
                    <a:stretch>
                      <a:fillRect/>
                    </a:stretch>
                  </pic:blipFill>
                  <pic:spPr bwMode="auto">
                    <a:xfrm>
                      <a:off x="0" y="0"/>
                      <a:ext cx="6842125" cy="921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9" w:name="page290"/>
    <w:bookmarkEnd w:id="2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125" cy="92119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2">
                      <a:extLst>
                        <a:ext uri="{28A0092B-C50C-407E-A947-70E740481C1C}"/>
                      </a:extLst>
                    </a:blip>
                    <a:srcRect/>
                    <a:stretch>
                      <a:fillRect/>
                    </a:stretch>
                  </pic:blipFill>
                  <pic:spPr bwMode="auto">
                    <a:xfrm>
                      <a:off x="0" y="0"/>
                      <a:ext cx="6842125" cy="921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0" w:name="page291"/>
    <w:bookmarkEnd w:id="2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89535</wp:posOffset>
            </wp:positionV>
            <wp:extent cx="6842125" cy="92119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3">
                      <a:extLst>
                        <a:ext uri="{28A0092B-C50C-407E-A947-70E740481C1C}"/>
                      </a:extLst>
                    </a:blip>
                    <a:srcRect/>
                    <a:stretch>
                      <a:fillRect/>
                    </a:stretch>
                  </pic:blipFill>
                  <pic:spPr bwMode="auto">
                    <a:xfrm>
                      <a:off x="0" y="0"/>
                      <a:ext cx="6842125" cy="921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1" w:name="page292"/>
    <w:bookmarkEnd w:id="2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125" cy="92119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4">
                      <a:extLst>
                        <a:ext uri="{28A0092B-C50C-407E-A947-70E740481C1C}"/>
                      </a:extLst>
                    </a:blip>
                    <a:srcRect/>
                    <a:stretch>
                      <a:fillRect/>
                    </a:stretch>
                  </pic:blipFill>
                  <pic:spPr bwMode="auto">
                    <a:xfrm>
                      <a:off x="0" y="0"/>
                      <a:ext cx="6842125" cy="921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2" w:name="page293"/>
    <w:bookmarkEnd w:id="2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125" cy="92119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5">
                      <a:extLst>
                        <a:ext uri="{28A0092B-C50C-407E-A947-70E740481C1C}"/>
                      </a:extLst>
                    </a:blip>
                    <a:srcRect/>
                    <a:stretch>
                      <a:fillRect/>
                    </a:stretch>
                  </pic:blipFill>
                  <pic:spPr bwMode="auto">
                    <a:xfrm>
                      <a:off x="0" y="0"/>
                      <a:ext cx="6842125" cy="921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3" w:name="page294"/>
    <w:bookmarkEnd w:id="293"/>
    <w:p>
      <w:pPr>
        <w:ind w:left="9140"/>
        <w:spacing w:after="0"/>
        <w:rPr>
          <w:sz w:val="20"/>
          <w:szCs w:val="20"/>
          <w:color w:val="auto"/>
        </w:rPr>
      </w:pPr>
      <w:r>
        <w:rPr>
          <w:rFonts w:ascii="Times New Roman" w:cs="Times New Roman" w:eastAsia="Times New Roman" w:hAnsi="Times New Roman"/>
          <w:sz w:val="16"/>
          <w:szCs w:val="16"/>
          <w:b w:val="1"/>
          <w:bCs w:val="1"/>
          <w:color w:val="auto"/>
        </w:rPr>
        <w:t>Exhibit 8.1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360" w:type="dxa"/>
            <w:vAlign w:val="bottom"/>
            <w:gridSpan w:val="3"/>
          </w:tcPr>
          <w:p>
            <w:pPr>
              <w:ind w:left="280"/>
              <w:spacing w:after="0"/>
              <w:rPr>
                <w:sz w:val="20"/>
                <w:szCs w:val="20"/>
                <w:color w:val="auto"/>
              </w:rPr>
            </w:pPr>
            <w:r>
              <w:rPr>
                <w:rFonts w:ascii="Times New Roman" w:cs="Times New Roman" w:eastAsia="Times New Roman" w:hAnsi="Times New Roman"/>
                <w:sz w:val="17"/>
                <w:szCs w:val="17"/>
                <w:b w:val="1"/>
                <w:bCs w:val="1"/>
                <w:color w:val="auto"/>
              </w:rPr>
              <w:t>Subsidiaries of AC Immune SA</w:t>
            </w:r>
          </w:p>
        </w:tc>
      </w:tr>
      <w:tr>
        <w:trPr>
          <w:trHeight w:val="369"/>
        </w:trPr>
        <w:tc>
          <w:tcPr>
            <w:tcW w:w="1780" w:type="dxa"/>
            <w:vAlign w:val="bottom"/>
          </w:tcPr>
          <w:p>
            <w:pPr>
              <w:spacing w:after="0"/>
              <w:rPr>
                <w:sz w:val="24"/>
                <w:szCs w:val="24"/>
                <w:color w:val="auto"/>
              </w:rPr>
            </w:pPr>
          </w:p>
        </w:tc>
        <w:tc>
          <w:tcPr>
            <w:tcW w:w="17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Name of Subsidiary</w:t>
            </w:r>
          </w:p>
        </w:tc>
        <w:tc>
          <w:tcPr>
            <w:tcW w:w="2860" w:type="dxa"/>
            <w:vAlign w:val="bottom"/>
          </w:tcPr>
          <w:p>
            <w:pPr>
              <w:spacing w:after="0"/>
              <w:rPr>
                <w:sz w:val="24"/>
                <w:szCs w:val="24"/>
                <w:color w:val="auto"/>
              </w:rPr>
            </w:pPr>
          </w:p>
        </w:tc>
        <w:tc>
          <w:tcPr>
            <w:tcW w:w="3500" w:type="dxa"/>
            <w:vAlign w:val="bottom"/>
            <w:gridSpan w:val="2"/>
          </w:tcPr>
          <w:p>
            <w:pPr>
              <w:jc w:val="center"/>
              <w:ind w:right="1460"/>
              <w:spacing w:after="0"/>
              <w:rPr>
                <w:sz w:val="20"/>
                <w:szCs w:val="20"/>
                <w:color w:val="auto"/>
              </w:rPr>
            </w:pPr>
            <w:r>
              <w:rPr>
                <w:rFonts w:ascii="Times New Roman" w:cs="Times New Roman" w:eastAsia="Times New Roman" w:hAnsi="Times New Roman"/>
                <w:sz w:val="17"/>
                <w:szCs w:val="17"/>
                <w:b w:val="1"/>
                <w:bCs w:val="1"/>
                <w:color w:val="auto"/>
                <w:w w:val="99"/>
              </w:rPr>
              <w:t>Jurisdiction of Organization</w:t>
            </w:r>
          </w:p>
        </w:tc>
      </w:tr>
      <w:tr>
        <w:trPr>
          <w:trHeight w:val="20"/>
        </w:trPr>
        <w:tc>
          <w:tcPr>
            <w:tcW w:w="17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423"/>
        </w:trPr>
        <w:tc>
          <w:tcPr>
            <w:tcW w:w="3560" w:type="dxa"/>
            <w:vAlign w:val="bottom"/>
            <w:gridSpan w:val="3"/>
          </w:tcPr>
          <w:p>
            <w:pPr>
              <w:jc w:val="center"/>
              <w:ind w:left="1335"/>
              <w:spacing w:after="0"/>
              <w:rPr>
                <w:sz w:val="20"/>
                <w:szCs w:val="20"/>
                <w:color w:val="auto"/>
              </w:rPr>
            </w:pPr>
            <w:r>
              <w:rPr>
                <w:rFonts w:ascii="Times New Roman" w:cs="Times New Roman" w:eastAsia="Times New Roman" w:hAnsi="Times New Roman"/>
                <w:sz w:val="17"/>
                <w:szCs w:val="17"/>
                <w:color w:val="auto"/>
              </w:rPr>
              <w:t>AC Immune USA, Inc.</w:t>
            </w:r>
          </w:p>
        </w:tc>
        <w:tc>
          <w:tcPr>
            <w:tcW w:w="2860" w:type="dxa"/>
            <w:vAlign w:val="bottom"/>
          </w:tcPr>
          <w:p>
            <w:pPr>
              <w:spacing w:after="0"/>
              <w:rPr>
                <w:sz w:val="24"/>
                <w:szCs w:val="24"/>
                <w:color w:val="auto"/>
              </w:rPr>
            </w:pPr>
          </w:p>
        </w:tc>
        <w:tc>
          <w:tcPr>
            <w:tcW w:w="3500" w:type="dxa"/>
            <w:vAlign w:val="bottom"/>
            <w:gridSpan w:val="2"/>
          </w:tcPr>
          <w:p>
            <w:pPr>
              <w:jc w:val="center"/>
              <w:ind w:right="1400"/>
              <w:spacing w:after="0"/>
              <w:rPr>
                <w:sz w:val="20"/>
                <w:szCs w:val="20"/>
                <w:color w:val="auto"/>
              </w:rPr>
            </w:pPr>
            <w:r>
              <w:rPr>
                <w:rFonts w:ascii="Times New Roman" w:cs="Times New Roman" w:eastAsia="Times New Roman" w:hAnsi="Times New Roman"/>
                <w:sz w:val="17"/>
                <w:szCs w:val="17"/>
                <w:color w:val="auto"/>
                <w:w w:val="98"/>
              </w:rPr>
              <w:t>United States</w:t>
            </w:r>
          </w:p>
        </w:tc>
      </w:tr>
      <w:tr>
        <w:trPr>
          <w:trHeight w:val="730"/>
        </w:trPr>
        <w:tc>
          <w:tcPr>
            <w:tcW w:w="17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9" w:right="999" w:bottom="1440" w:gutter="0" w:footer="0" w:header="0"/>
        </w:sectPr>
      </w:pPr>
    </w:p>
    <w:bookmarkStart w:id="294" w:name="page295"/>
    <w:bookmarkEnd w:id="294"/>
    <w:p>
      <w:pPr>
        <w:jc w:val="right"/>
        <w:ind w:right="239"/>
        <w:spacing w:after="0"/>
        <w:rPr>
          <w:sz w:val="20"/>
          <w:szCs w:val="20"/>
          <w:color w:val="auto"/>
        </w:rPr>
      </w:pPr>
      <w:r>
        <w:rPr>
          <w:rFonts w:ascii="Times New Roman" w:cs="Times New Roman" w:eastAsia="Times New Roman" w:hAnsi="Times New Roman"/>
          <w:sz w:val="17"/>
          <w:szCs w:val="17"/>
          <w:b w:val="1"/>
          <w:bCs w:val="1"/>
          <w:color w:val="auto"/>
        </w:rPr>
        <w:t>Exhibit 11.1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AC IMMUNE SA</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Policy Concerning Trading in Company Securities</w:t>
      </w:r>
    </w:p>
    <w:p>
      <w:pPr>
        <w:spacing w:after="0" w:line="200" w:lineRule="exact"/>
        <w:rPr>
          <w:sz w:val="20"/>
          <w:szCs w:val="20"/>
          <w:color w:val="auto"/>
        </w:rPr>
      </w:pPr>
    </w:p>
    <w:p>
      <w:pPr>
        <w:spacing w:after="0" w:line="27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i w:val="1"/>
          <w:iCs w:val="1"/>
          <w:color w:val="auto"/>
        </w:rPr>
        <w:t>Adopted September 22, 2016</w:t>
      </w:r>
    </w:p>
    <w:p>
      <w:pPr>
        <w:spacing w:after="0" w:line="3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i w:val="1"/>
          <w:iCs w:val="1"/>
          <w:color w:val="auto"/>
        </w:rPr>
        <w:t>Revised February 16, 2017</w:t>
      </w:r>
    </w:p>
    <w:p>
      <w:pPr>
        <w:spacing w:after="0" w:line="3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i w:val="1"/>
          <w:iCs w:val="1"/>
          <w:color w:val="auto"/>
        </w:rPr>
        <w:t>Revised April 27, 2021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Revised December 6, 2024</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60" w:hanging="593"/>
        <w:spacing w:after="0"/>
        <w:tabs>
          <w:tab w:leader="none" w:pos="960" w:val="left"/>
        </w:tabs>
        <w:numPr>
          <w:ilvl w:val="0"/>
          <w:numId w:val="14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Introduction</w:t>
      </w:r>
    </w:p>
    <w:p>
      <w:pPr>
        <w:spacing w:after="0" w:line="249" w:lineRule="exact"/>
        <w:rPr>
          <w:sz w:val="20"/>
          <w:szCs w:val="20"/>
          <w:color w:val="auto"/>
        </w:rPr>
      </w:pPr>
    </w:p>
    <w:p>
      <w:pPr>
        <w:jc w:val="both"/>
        <w:ind w:left="340" w:right="339" w:firstLine="608"/>
        <w:spacing w:after="0" w:line="281" w:lineRule="auto"/>
        <w:rPr>
          <w:sz w:val="20"/>
          <w:szCs w:val="20"/>
          <w:color w:val="auto"/>
        </w:rPr>
      </w:pPr>
      <w:r>
        <w:rPr>
          <w:rFonts w:ascii="Times New Roman" w:cs="Times New Roman" w:eastAsia="Times New Roman" w:hAnsi="Times New Roman"/>
          <w:sz w:val="17"/>
          <w:szCs w:val="17"/>
          <w:color w:val="auto"/>
        </w:rPr>
        <w:t>It is the policy of AC Immune SA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that it will, without exception, comply with all applicable laws and regulations in conducting its business. When carrying out Company business, employees and directors must avoid any activity that violates applicable laws or regulations. Each employee and each director is expected to abide by this policy.</w:t>
      </w:r>
    </w:p>
    <w:p>
      <w:pPr>
        <w:spacing w:after="0" w:line="193" w:lineRule="exact"/>
        <w:rPr>
          <w:sz w:val="20"/>
          <w:szCs w:val="20"/>
          <w:color w:val="auto"/>
        </w:rPr>
      </w:pPr>
    </w:p>
    <w:p>
      <w:pPr>
        <w:jc w:val="both"/>
        <w:ind w:left="340" w:right="339" w:firstLine="609"/>
        <w:spacing w:after="0" w:line="276" w:lineRule="auto"/>
        <w:rPr>
          <w:sz w:val="20"/>
          <w:szCs w:val="20"/>
          <w:color w:val="auto"/>
        </w:rPr>
      </w:pPr>
      <w:r>
        <w:rPr>
          <w:rFonts w:ascii="Times New Roman" w:cs="Times New Roman" w:eastAsia="Times New Roman" w:hAnsi="Times New Roman"/>
          <w:sz w:val="17"/>
          <w:szCs w:val="17"/>
          <w:color w:val="auto"/>
        </w:rPr>
        <w:t>This policy is intended to prevent insider trading and ensure compliance with insider trading laws. Adherence to this policy will ensure that the Company conducts its business with the highest level of integrity and in accordance with the highest ethical standards, and will further help safeguard the Company’s reputation. To avoid even an appearance of impropriety, the Company’s directors, officers and certain other employees are subject to pre-approval requirements and other limitations on their ability to enter into transactions involving the Company’s securities. Although these limitations do not apply to transactions pursuant to written plans for trading securities that comply with Rule 10b5-1 under the United States Securities Exchange Act of 1934,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the entry into, amendment or termination of any such written trading plan is subject to the same pre-approval requirements and other limitations that apply to other requests to trade in the Company's securities outlined in this policy.</w:t>
      </w:r>
    </w:p>
    <w:p>
      <w:pPr>
        <w:spacing w:after="0" w:line="168" w:lineRule="exact"/>
        <w:rPr>
          <w:sz w:val="20"/>
          <w:szCs w:val="20"/>
          <w:color w:val="auto"/>
        </w:rPr>
      </w:pPr>
    </w:p>
    <w:p>
      <w:pPr>
        <w:ind w:left="960" w:hanging="593"/>
        <w:spacing w:after="0"/>
        <w:tabs>
          <w:tab w:leader="none" w:pos="960" w:val="left"/>
        </w:tabs>
        <w:numPr>
          <w:ilvl w:val="0"/>
          <w:numId w:val="14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General Rule</w:t>
      </w:r>
    </w:p>
    <w:p>
      <w:pPr>
        <w:spacing w:after="0" w:line="253" w:lineRule="exact"/>
        <w:rPr>
          <w:sz w:val="20"/>
          <w:szCs w:val="20"/>
          <w:color w:val="auto"/>
        </w:rPr>
      </w:pPr>
    </w:p>
    <w:p>
      <w:pPr>
        <w:jc w:val="both"/>
        <w:ind w:left="340" w:right="339" w:firstLine="609"/>
        <w:spacing w:after="0" w:line="275" w:lineRule="auto"/>
        <w:rPr>
          <w:sz w:val="20"/>
          <w:szCs w:val="20"/>
          <w:color w:val="auto"/>
        </w:rPr>
      </w:pPr>
      <w:r>
        <w:rPr>
          <w:rFonts w:ascii="Times New Roman" w:cs="Times New Roman" w:eastAsia="Times New Roman" w:hAnsi="Times New Roman"/>
          <w:sz w:val="17"/>
          <w:szCs w:val="17"/>
          <w:color w:val="auto"/>
        </w:rPr>
        <w:t>The United States have laws regulating the sale and purchase of securities in the interest of protecting the investing public. A company, its officers and directors, and other employees have the responsibility to ensure that information about the Company is not used unlawfully in the purchase and sale of securities. The purpose of regulating trading on Material Non-Public Information or Inside Information (each as defined below) is to give all persons trading in a company’s securities an equal access to the material information about the company. “</w:t>
      </w:r>
      <w:r>
        <w:rPr>
          <w:rFonts w:ascii="Times New Roman" w:cs="Times New Roman" w:eastAsia="Times New Roman" w:hAnsi="Times New Roman"/>
          <w:sz w:val="17"/>
          <w:szCs w:val="17"/>
          <w:b w:val="1"/>
          <w:bCs w:val="1"/>
          <w:color w:val="auto"/>
        </w:rPr>
        <w:t>Material Non-Public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Information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Inside Information</w:t>
      </w:r>
      <w:r>
        <w:rPr>
          <w:rFonts w:ascii="Times New Roman" w:cs="Times New Roman" w:eastAsia="Times New Roman" w:hAnsi="Times New Roman"/>
          <w:sz w:val="17"/>
          <w:szCs w:val="17"/>
          <w:color w:val="auto"/>
        </w:rPr>
        <w:t>” means any information which (a) a reasonable investor would likely consider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important in making an investment decision and (b) has not been publicly disclosed in a manner making it available to investors generally on a broad-based non-exclusionary basis.</w:t>
      </w:r>
    </w:p>
    <w:p>
      <w:pPr>
        <w:spacing w:after="0" w:line="188" w:lineRule="exact"/>
        <w:rPr>
          <w:sz w:val="20"/>
          <w:szCs w:val="20"/>
          <w:color w:val="auto"/>
        </w:rPr>
      </w:pPr>
    </w:p>
    <w:p>
      <w:pPr>
        <w:jc w:val="both"/>
        <w:ind w:left="340" w:right="339" w:firstLine="610"/>
        <w:spacing w:after="0" w:line="276" w:lineRule="auto"/>
        <w:rPr>
          <w:sz w:val="20"/>
          <w:szCs w:val="20"/>
          <w:color w:val="auto"/>
        </w:rPr>
      </w:pPr>
      <w:r>
        <w:rPr>
          <w:rFonts w:ascii="Times New Roman" w:cs="Times New Roman" w:eastAsia="Times New Roman" w:hAnsi="Times New Roman"/>
          <w:sz w:val="17"/>
          <w:szCs w:val="17"/>
          <w:color w:val="auto"/>
        </w:rPr>
        <w:t>The general rules can be stated as follows: It is a violation of federal U.S. securities laws for any person to buy or sell securities if he or she is in possession of Inside Information pertaining to such securities. Furthermore, Inside Information must be kept strictly confidential and only disclosed on a strict need-to-know basis and with appropriate measures to ensure confidentiality. It is illegal for any person in possession of Inside Information to provide other people with such information or to recommend that they buy or sell securities (known as “</w:t>
      </w:r>
      <w:r>
        <w:rPr>
          <w:rFonts w:ascii="Times New Roman" w:cs="Times New Roman" w:eastAsia="Times New Roman" w:hAnsi="Times New Roman"/>
          <w:sz w:val="17"/>
          <w:szCs w:val="17"/>
          <w:b w:val="1"/>
          <w:bCs w:val="1"/>
          <w:color w:val="auto"/>
        </w:rPr>
        <w:t>tipping</w:t>
      </w:r>
      <w:r>
        <w:rPr>
          <w:rFonts w:ascii="Times New Roman" w:cs="Times New Roman" w:eastAsia="Times New Roman" w:hAnsi="Times New Roman"/>
          <w:sz w:val="17"/>
          <w:szCs w:val="17"/>
          <w:color w:val="auto"/>
        </w:rPr>
        <w:t>”). In that case, both the recommending person as well as the trading person may be held liable.</w:t>
      </w:r>
    </w:p>
    <w:p>
      <w:pPr>
        <w:spacing w:after="0" w:line="174" w:lineRule="exact"/>
        <w:rPr>
          <w:sz w:val="20"/>
          <w:szCs w:val="20"/>
          <w:color w:val="auto"/>
        </w:rPr>
      </w:pPr>
    </w:p>
    <w:p>
      <w:pPr>
        <w:jc w:val="both"/>
        <w:ind w:left="340" w:right="339" w:firstLine="610"/>
        <w:spacing w:after="0" w:line="309" w:lineRule="auto"/>
        <w:rPr>
          <w:sz w:val="20"/>
          <w:szCs w:val="20"/>
          <w:color w:val="auto"/>
        </w:rPr>
      </w:pPr>
      <w:r>
        <w:rPr>
          <w:rFonts w:ascii="Times New Roman" w:cs="Times New Roman" w:eastAsia="Times New Roman" w:hAnsi="Times New Roman"/>
          <w:sz w:val="17"/>
          <w:szCs w:val="17"/>
          <w:color w:val="auto"/>
        </w:rPr>
        <w:t>If an employee or a director of the Company knows Inside Information, that employee or director is prohibited from buying or selling securities in the Company until the information has been disclosed to the public.</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327660</wp:posOffset>
            </wp:positionV>
            <wp:extent cx="5424170" cy="241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6">
                      <a:extLst>
                        <a:ext uri="{28A0092B-C50C-407E-A947-70E740481C1C}"/>
                      </a:extLst>
                    </a:blip>
                    <a:srcRect/>
                    <a:stretch>
                      <a:fillRect/>
                    </a:stretch>
                  </pic:blipFill>
                  <pic:spPr bwMode="auto">
                    <a:xfrm>
                      <a:off x="0" y="0"/>
                      <a:ext cx="5424170" cy="24130"/>
                    </a:xfrm>
                    <a:prstGeom prst="rect">
                      <a:avLst/>
                    </a:prstGeom>
                    <a:noFill/>
                  </pic:spPr>
                </pic:pic>
              </a:graphicData>
            </a:graphic>
          </wp:anchor>
        </w:drawing>
      </w:r>
    </w:p>
    <w:p>
      <w:pPr>
        <w:sectPr>
          <w:pgSz w:w="11900" w:h="16838" w:orient="portrait"/>
          <w:cols w:equalWidth="0" w:num="1">
            <w:col w:w="9019"/>
          </w:cols>
          <w:pgMar w:left="1440" w:top="424" w:right="1440" w:bottom="1440" w:gutter="0" w:footer="0" w:header="0"/>
        </w:sectPr>
      </w:pPr>
    </w:p>
    <w:bookmarkStart w:id="295" w:name="page296"/>
    <w:bookmarkEnd w:id="295"/>
    <w:p>
      <w:pPr>
        <w:ind w:left="960" w:hanging="593"/>
        <w:spacing w:after="0"/>
        <w:tabs>
          <w:tab w:leader="none" w:pos="960" w:val="left"/>
        </w:tabs>
        <w:numPr>
          <w:ilvl w:val="0"/>
          <w:numId w:val="144"/>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Sanctions</w:t>
      </w:r>
    </w:p>
    <w:p>
      <w:pPr>
        <w:spacing w:after="0" w:line="227" w:lineRule="exact"/>
        <w:rPr>
          <w:sz w:val="20"/>
          <w:szCs w:val="20"/>
          <w:color w:val="auto"/>
        </w:rPr>
      </w:pPr>
    </w:p>
    <w:p>
      <w:pPr>
        <w:jc w:val="both"/>
        <w:ind w:left="340" w:right="339" w:firstLine="608"/>
        <w:spacing w:after="0" w:line="275" w:lineRule="auto"/>
        <w:rPr>
          <w:sz w:val="20"/>
          <w:szCs w:val="20"/>
          <w:color w:val="auto"/>
        </w:rPr>
      </w:pPr>
      <w:r>
        <w:rPr>
          <w:rFonts w:ascii="Times New Roman" w:cs="Times New Roman" w:eastAsia="Times New Roman" w:hAnsi="Times New Roman"/>
          <w:sz w:val="17"/>
          <w:szCs w:val="17"/>
          <w:color w:val="auto"/>
        </w:rPr>
        <w:t>Civil and criminal penalties for insider trading are severe. The U.S.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the stock exchanges and plaintiffs’ lawyers focus on uncovering insider trading. A breach of the U.S. insider trading laws could expose the insider to criminal fines up to three times the profits earned and imprisonment for up to ten years, in addition to civil penalties (up to three times the profits earned), and injunctive actions. In addition, punitive damages may be imposed under applicable U.S. state laws. Securities laws also subject controlling persons to civil penalties for illegal insider trading by employees, including employees located outside the United States. Controlling persons include directors, officers and supervisors. These persons may be subject to fines up to the greater of $1,000,000 or three times the profit (or loss avoided) earned by the insider.</w:t>
      </w:r>
    </w:p>
    <w:p>
      <w:pPr>
        <w:spacing w:after="0" w:line="184" w:lineRule="exact"/>
        <w:rPr>
          <w:sz w:val="20"/>
          <w:szCs w:val="20"/>
          <w:color w:val="auto"/>
        </w:rPr>
      </w:pPr>
    </w:p>
    <w:p>
      <w:pPr>
        <w:ind w:left="960" w:hanging="593"/>
        <w:spacing w:after="0"/>
        <w:tabs>
          <w:tab w:leader="none" w:pos="960" w:val="left"/>
        </w:tabs>
        <w:numPr>
          <w:ilvl w:val="0"/>
          <w:numId w:val="14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Persons in Scope</w:t>
      </w:r>
    </w:p>
    <w:p>
      <w:pPr>
        <w:spacing w:after="0" w:line="240" w:lineRule="exact"/>
        <w:rPr>
          <w:sz w:val="20"/>
          <w:szCs w:val="20"/>
          <w:color w:val="auto"/>
        </w:rPr>
      </w:pPr>
    </w:p>
    <w:p>
      <w:pPr>
        <w:jc w:val="both"/>
        <w:ind w:left="340" w:right="339" w:firstLine="609"/>
        <w:spacing w:after="0" w:line="284" w:lineRule="auto"/>
        <w:rPr>
          <w:sz w:val="20"/>
          <w:szCs w:val="20"/>
          <w:color w:val="auto"/>
        </w:rPr>
      </w:pPr>
      <w:r>
        <w:rPr>
          <w:rFonts w:ascii="Times New Roman" w:cs="Times New Roman" w:eastAsia="Times New Roman" w:hAnsi="Times New Roman"/>
          <w:sz w:val="17"/>
          <w:szCs w:val="17"/>
          <w:color w:val="auto"/>
        </w:rPr>
        <w:t>The prohibition against trading on Inside Information applies to directors, officers and all other employees, and to other people who gain access to that information. Because of their access to confidential information on a regular basis, Company policy subjects its directors and certain employees, which are defined in Paragraph G of this Policy to additional restrictions on trading in Company securities.</w:t>
      </w:r>
    </w:p>
    <w:p>
      <w:pPr>
        <w:spacing w:after="0" w:line="150" w:lineRule="exact"/>
        <w:rPr>
          <w:sz w:val="20"/>
          <w:szCs w:val="20"/>
          <w:color w:val="auto"/>
        </w:rPr>
      </w:pPr>
    </w:p>
    <w:p>
      <w:pPr>
        <w:ind w:left="960" w:hanging="593"/>
        <w:spacing w:after="0"/>
        <w:tabs>
          <w:tab w:leader="none" w:pos="960" w:val="left"/>
        </w:tabs>
        <w:numPr>
          <w:ilvl w:val="0"/>
          <w:numId w:val="14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Other Companies’ Securities</w:t>
      </w:r>
    </w:p>
    <w:p>
      <w:pPr>
        <w:spacing w:after="0" w:line="253" w:lineRule="exact"/>
        <w:rPr>
          <w:sz w:val="20"/>
          <w:szCs w:val="20"/>
          <w:color w:val="auto"/>
        </w:rPr>
      </w:pPr>
    </w:p>
    <w:p>
      <w:pPr>
        <w:jc w:val="both"/>
        <w:ind w:left="340" w:right="339" w:firstLine="608"/>
        <w:spacing w:after="0" w:line="286" w:lineRule="auto"/>
        <w:rPr>
          <w:sz w:val="20"/>
          <w:szCs w:val="20"/>
          <w:color w:val="auto"/>
        </w:rPr>
      </w:pPr>
      <w:r>
        <w:rPr>
          <w:rFonts w:ascii="Times New Roman" w:cs="Times New Roman" w:eastAsia="Times New Roman" w:hAnsi="Times New Roman"/>
          <w:sz w:val="17"/>
          <w:szCs w:val="17"/>
          <w:color w:val="auto"/>
        </w:rPr>
        <w:t>Employees and directors who learn Inside Information about suppliers, customers, or competitors through their work at the Company, should keep it confidential and not buy or sell securities in such companies until the information becomes public. Employees and directors should not give tips about such securities.</w:t>
      </w:r>
    </w:p>
    <w:p>
      <w:pPr>
        <w:spacing w:after="0" w:line="148" w:lineRule="exact"/>
        <w:rPr>
          <w:sz w:val="20"/>
          <w:szCs w:val="20"/>
          <w:color w:val="auto"/>
        </w:rPr>
      </w:pPr>
    </w:p>
    <w:p>
      <w:pPr>
        <w:ind w:left="960" w:hanging="593"/>
        <w:spacing w:after="0"/>
        <w:tabs>
          <w:tab w:leader="none" w:pos="960" w:val="left"/>
        </w:tabs>
        <w:numPr>
          <w:ilvl w:val="0"/>
          <w:numId w:val="14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Pledging of Securities, Margin Accounts</w:t>
      </w:r>
    </w:p>
    <w:p>
      <w:pPr>
        <w:spacing w:after="0" w:line="253" w:lineRule="exact"/>
        <w:rPr>
          <w:sz w:val="20"/>
          <w:szCs w:val="20"/>
          <w:color w:val="auto"/>
        </w:rPr>
      </w:pPr>
    </w:p>
    <w:p>
      <w:pPr>
        <w:jc w:val="both"/>
        <w:ind w:left="360" w:right="339" w:firstLine="608"/>
        <w:spacing w:after="0" w:line="276" w:lineRule="auto"/>
        <w:rPr>
          <w:sz w:val="20"/>
          <w:szCs w:val="20"/>
          <w:color w:val="auto"/>
        </w:rPr>
      </w:pPr>
      <w:r>
        <w:rPr>
          <w:rFonts w:ascii="Times New Roman" w:cs="Times New Roman" w:eastAsia="Times New Roman" w:hAnsi="Times New Roman"/>
          <w:sz w:val="17"/>
          <w:szCs w:val="17"/>
          <w:color w:val="auto"/>
        </w:rPr>
        <w:t>Pledged securities may be sold by the pledgee without the pledgor’s consent under certain conditions. For example, securities held in a margin account may be sold by a broker without the customer’s consent if the customer fails to meet a margin call. Because such a sale may occur at a time when an employee or a director has Inside Information or is otherwise not permitted to trade in Company securities, the Company prohibits employees and directors from pledging Company securities in any circumstance, including by purchasing Company securities on margin or holding Company securities in a margin account.</w:t>
      </w:r>
    </w:p>
    <w:p>
      <w:pPr>
        <w:spacing w:after="0" w:line="157" w:lineRule="exact"/>
        <w:rPr>
          <w:sz w:val="20"/>
          <w:szCs w:val="20"/>
          <w:color w:val="auto"/>
        </w:rPr>
      </w:pPr>
    </w:p>
    <w:p>
      <w:pPr>
        <w:ind w:left="960" w:hanging="593"/>
        <w:spacing w:after="0"/>
        <w:tabs>
          <w:tab w:leader="none" w:pos="960" w:val="left"/>
        </w:tabs>
        <w:numPr>
          <w:ilvl w:val="0"/>
          <w:numId w:val="14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Guidelines</w:t>
      </w:r>
    </w:p>
    <w:p>
      <w:pPr>
        <w:spacing w:after="0" w:line="253" w:lineRule="exact"/>
        <w:rPr>
          <w:sz w:val="20"/>
          <w:szCs w:val="20"/>
          <w:color w:val="auto"/>
        </w:rPr>
      </w:pPr>
    </w:p>
    <w:p>
      <w:pPr>
        <w:ind w:left="340" w:right="339" w:firstLine="608"/>
        <w:spacing w:after="0" w:line="293" w:lineRule="auto"/>
        <w:rPr>
          <w:sz w:val="20"/>
          <w:szCs w:val="20"/>
          <w:color w:val="auto"/>
        </w:rPr>
      </w:pPr>
      <w:r>
        <w:rPr>
          <w:rFonts w:ascii="Times New Roman" w:cs="Times New Roman" w:eastAsia="Times New Roman" w:hAnsi="Times New Roman"/>
          <w:sz w:val="17"/>
          <w:szCs w:val="17"/>
          <w:color w:val="auto"/>
        </w:rPr>
        <w:t>The following guidelines should be followed to ensure compliance with applicable insider trading laws and with the Company’s policies:</w:t>
      </w:r>
    </w:p>
    <w:p>
      <w:pPr>
        <w:spacing w:after="0" w:line="145" w:lineRule="exact"/>
        <w:rPr>
          <w:sz w:val="20"/>
          <w:szCs w:val="20"/>
          <w:color w:val="auto"/>
        </w:rPr>
      </w:pPr>
    </w:p>
    <w:p>
      <w:pPr>
        <w:ind w:left="840" w:right="359" w:hanging="308"/>
        <w:spacing w:after="0" w:line="277" w:lineRule="auto"/>
        <w:tabs>
          <w:tab w:leader="none" w:pos="840"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Confidentiality obligation</w:t>
      </w:r>
      <w:r>
        <w:rPr>
          <w:rFonts w:ascii="Times New Roman" w:cs="Times New Roman" w:eastAsia="Times New Roman" w:hAnsi="Times New Roman"/>
          <w:sz w:val="17"/>
          <w:szCs w:val="17"/>
          <w:color w:val="auto"/>
        </w:rPr>
        <w:t>. Inside Information must not be disclosed to anyone, except to persons within the Company whose positions require them to know it.</w:t>
      </w:r>
    </w:p>
    <w:p>
      <w:pPr>
        <w:spacing w:after="0" w:line="157" w:lineRule="exact"/>
        <w:rPr>
          <w:rFonts w:ascii="Times New Roman" w:cs="Times New Roman" w:eastAsia="Times New Roman" w:hAnsi="Times New Roman"/>
          <w:sz w:val="17"/>
          <w:szCs w:val="17"/>
          <w:color w:val="auto"/>
        </w:rPr>
      </w:pPr>
    </w:p>
    <w:p>
      <w:pPr>
        <w:jc w:val="both"/>
        <w:ind w:left="820" w:right="339" w:hanging="288"/>
        <w:spacing w:after="0" w:line="254" w:lineRule="auto"/>
        <w:tabs>
          <w:tab w:leader="none" w:pos="820"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Trading in Company securities</w:t>
      </w:r>
      <w:r>
        <w:rPr>
          <w:rFonts w:ascii="Times New Roman" w:cs="Times New Roman" w:eastAsia="Times New Roman" w:hAnsi="Times New Roman"/>
          <w:sz w:val="17"/>
          <w:szCs w:val="17"/>
          <w:color w:val="auto"/>
        </w:rPr>
        <w:t xml:space="preserve">. No employee or director should place a purchase or sale order or recommend that another person place a purchase or sale order in the Company’s securities when he or she has knowledge of material information concerning the Company that has not been disclosed to the public. The exercise of employee options is not subject to this policy. However, common shares that were acquired upon exercise of an employee option will be treated like any other shares and may not be sold by an employee who is in possession of Inside Information. Any employee or director who possesses Inside Information should wait until the start of the </w:t>
      </w:r>
      <w:r>
        <w:rPr>
          <w:rFonts w:ascii="Times New Roman" w:cs="Times New Roman" w:eastAsia="Times New Roman" w:hAnsi="Times New Roman"/>
          <w:sz w:val="17"/>
          <w:szCs w:val="17"/>
          <w:b w:val="1"/>
          <w:bCs w:val="1"/>
          <w:color w:val="auto"/>
        </w:rPr>
        <w:t xml:space="preserve">second business day after </w:t>
      </w:r>
      <w:r>
        <w:rPr>
          <w:rFonts w:ascii="Times New Roman" w:cs="Times New Roman" w:eastAsia="Times New Roman" w:hAnsi="Times New Roman"/>
          <w:sz w:val="17"/>
          <w:szCs w:val="17"/>
          <w:color w:val="auto"/>
        </w:rPr>
        <w:t>the information has been publicly released before trading Company securities.</w:t>
      </w:r>
    </w:p>
    <w:p>
      <w:pPr>
        <w:spacing w:after="0" w:line="176" w:lineRule="exact"/>
        <w:rPr>
          <w:rFonts w:ascii="Times New Roman" w:cs="Times New Roman" w:eastAsia="Times New Roman" w:hAnsi="Times New Roman"/>
          <w:sz w:val="17"/>
          <w:szCs w:val="17"/>
          <w:color w:val="auto"/>
        </w:rPr>
      </w:pPr>
    </w:p>
    <w:p>
      <w:pPr>
        <w:jc w:val="both"/>
        <w:ind w:left="840" w:right="339" w:hanging="308"/>
        <w:spacing w:after="0" w:line="254" w:lineRule="auto"/>
        <w:tabs>
          <w:tab w:leader="none" w:pos="840"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Avoid frequent trading</w:t>
      </w:r>
      <w:r>
        <w:rPr>
          <w:rFonts w:ascii="Times New Roman" w:cs="Times New Roman" w:eastAsia="Times New Roman" w:hAnsi="Times New Roman"/>
          <w:sz w:val="17"/>
          <w:szCs w:val="17"/>
          <w:color w:val="auto"/>
        </w:rPr>
        <w:t>. Investing in the Company’s common shares provides an opportunity to share in the future growth of the Company. But investment in the Company and sharing in the growth of the Company does not mean short range speculation based on fluctuations in the market. Such activities put the personal gain of the employee or director in conflict with the best interests of the Company and its shareholders. Although this policy does not mean that employees or directors may never sell shares, the Company encourages employees and directors to avoid frequent trading in Company shares. Speculating in Company shares is not part of the Company culture.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327660</wp:posOffset>
            </wp:positionV>
            <wp:extent cx="5424170" cy="241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7">
                      <a:extLst>
                        <a:ext uri="{28A0092B-C50C-407E-A947-70E740481C1C}"/>
                      </a:extLst>
                    </a:blip>
                    <a:srcRect/>
                    <a:stretch>
                      <a:fillRect/>
                    </a:stretch>
                  </pic:blipFill>
                  <pic:spPr bwMode="auto">
                    <a:xfrm>
                      <a:off x="0" y="0"/>
                      <a:ext cx="5424170" cy="2413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296" w:name="page297"/>
    <w:bookmarkEnd w:id="296"/>
    <w:p>
      <w:pPr>
        <w:jc w:val="both"/>
        <w:ind w:left="840" w:right="339" w:hanging="308"/>
        <w:spacing w:after="0" w:line="255" w:lineRule="auto"/>
        <w:tabs>
          <w:tab w:leader="none" w:pos="840" w:val="left"/>
        </w:tabs>
        <w:numPr>
          <w:ilvl w:val="1"/>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Trading in other securities</w:t>
      </w:r>
      <w:r>
        <w:rPr>
          <w:rFonts w:ascii="Times New Roman" w:cs="Times New Roman" w:eastAsia="Times New Roman" w:hAnsi="Times New Roman"/>
          <w:sz w:val="17"/>
          <w:szCs w:val="17"/>
          <w:color w:val="auto"/>
        </w:rPr>
        <w:t>. No employee or director should place a purchase or sale order or recommend that another person place a purchase or sale order, in the securities of another corporation, if the employee or director learns in the course of his or her employment Inside Information about the other corporation. For example, it would be a violation of the securities laws if an employee or director learned through Company sources that the Company intended to purchase assets from another company, and then placed an order to buy or sell shares in that other company because of the likely increase or decrease in the value of its securities.</w:t>
      </w:r>
    </w:p>
    <w:p>
      <w:pPr>
        <w:spacing w:after="0" w:line="175" w:lineRule="exact"/>
        <w:rPr>
          <w:rFonts w:ascii="Times New Roman" w:cs="Times New Roman" w:eastAsia="Times New Roman" w:hAnsi="Times New Roman"/>
          <w:sz w:val="17"/>
          <w:szCs w:val="17"/>
          <w:color w:val="auto"/>
        </w:rPr>
      </w:pPr>
    </w:p>
    <w:p>
      <w:pPr>
        <w:jc w:val="both"/>
        <w:ind w:left="840" w:right="339" w:hanging="308"/>
        <w:spacing w:after="0" w:line="258" w:lineRule="auto"/>
        <w:tabs>
          <w:tab w:leader="none" w:pos="840" w:val="left"/>
        </w:tabs>
        <w:numPr>
          <w:ilvl w:val="1"/>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Hedging transactions and trading in derivatives:</w:t>
      </w:r>
      <w:r>
        <w:rPr>
          <w:rFonts w:ascii="Times New Roman" w:cs="Times New Roman" w:eastAsia="Times New Roman" w:hAnsi="Times New Roman"/>
          <w:sz w:val="17"/>
          <w:szCs w:val="17"/>
          <w:color w:val="auto"/>
        </w:rPr>
        <w:t xml:space="preserve"> Employees and directors are prohibited from engaging in any hedging transactions (including transactions involving options, puts, calls, prepaid variable forward contracts, equity swaps, collars and exchange funds or other derivatives) that are designed to hedge or speculate on any change in the market value of the Company’s equity securities.</w:t>
      </w:r>
    </w:p>
    <w:p>
      <w:pPr>
        <w:spacing w:after="0" w:line="174" w:lineRule="exact"/>
        <w:rPr>
          <w:rFonts w:ascii="Times New Roman" w:cs="Times New Roman" w:eastAsia="Times New Roman" w:hAnsi="Times New Roman"/>
          <w:sz w:val="17"/>
          <w:szCs w:val="17"/>
          <w:color w:val="auto"/>
        </w:rPr>
      </w:pPr>
    </w:p>
    <w:p>
      <w:pPr>
        <w:jc w:val="both"/>
        <w:ind w:left="840" w:right="339"/>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Trading in options or other derivatives is generally highly speculative and very risky. People who buy options are betting that the share price will move rapidly. For that reason, when a person trades in options in his or her employer’s shares, it will arouse suspicion in the eyes of the SEC that the person was trading based on Inside Information, particularly where the trading occurs before a company announcement or major event. It is difficult for an employee or director to prove that he or she did not know about the announcement or event.</w:t>
      </w:r>
    </w:p>
    <w:p>
      <w:pPr>
        <w:spacing w:after="0" w:line="175" w:lineRule="exact"/>
        <w:rPr>
          <w:rFonts w:ascii="Times New Roman" w:cs="Times New Roman" w:eastAsia="Times New Roman" w:hAnsi="Times New Roman"/>
          <w:sz w:val="17"/>
          <w:szCs w:val="17"/>
          <w:color w:val="auto"/>
        </w:rPr>
      </w:pPr>
    </w:p>
    <w:p>
      <w:pPr>
        <w:jc w:val="both"/>
        <w:ind w:left="840" w:right="339"/>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SEC or the stock exchanges were to notice active options trading by one or more employees or directors of the Company prior to an announcement, they would investigate. Such an investigation could negatively impact the Company's reputation (as well as be expensive) and could result in severe penalties and expenses for the persons involved. For all these reasons, the Company prohibits its employees and directors from trading in options or other securities involving the Company’s common shares. This policy does not pertain to employee options granted by the Company. Employee options cannot be traded.</w:t>
      </w:r>
    </w:p>
    <w:p>
      <w:pPr>
        <w:spacing w:after="0" w:line="171" w:lineRule="exact"/>
        <w:rPr>
          <w:rFonts w:ascii="Times New Roman" w:cs="Times New Roman" w:eastAsia="Times New Roman" w:hAnsi="Times New Roman"/>
          <w:sz w:val="17"/>
          <w:szCs w:val="17"/>
          <w:color w:val="auto"/>
        </w:rPr>
      </w:pPr>
    </w:p>
    <w:p>
      <w:pPr>
        <w:ind w:left="960" w:right="6159" w:hanging="593"/>
        <w:spacing w:after="0" w:line="529" w:lineRule="auto"/>
        <w:tabs>
          <w:tab w:leader="none" w:pos="951" w:val="left"/>
        </w:tabs>
        <w:numPr>
          <w:ilvl w:val="0"/>
          <w:numId w:val="15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Trading Restrictions </w:t>
      </w:r>
      <w:r>
        <w:rPr>
          <w:rFonts w:ascii="Times New Roman" w:cs="Times New Roman" w:eastAsia="Times New Roman" w:hAnsi="Times New Roman"/>
          <w:sz w:val="16"/>
          <w:szCs w:val="16"/>
          <w:i w:val="1"/>
          <w:iCs w:val="1"/>
          <w:color w:val="auto"/>
        </w:rPr>
        <w:t>Regular Trading Restriction</w:t>
      </w:r>
    </w:p>
    <w:p>
      <w:pPr>
        <w:spacing w:after="0" w:line="1" w:lineRule="exact"/>
        <w:rPr>
          <w:rFonts w:ascii="Times New Roman" w:cs="Times New Roman" w:eastAsia="Times New Roman" w:hAnsi="Times New Roman"/>
          <w:sz w:val="16"/>
          <w:szCs w:val="16"/>
          <w:b w:val="1"/>
          <w:bCs w:val="1"/>
          <w:i w:val="1"/>
          <w:iCs w:val="1"/>
          <w:color w:val="auto"/>
        </w:rPr>
      </w:pPr>
    </w:p>
    <w:p>
      <w:pPr>
        <w:ind w:left="960"/>
        <w:spacing w:after="0"/>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7"/>
          <w:szCs w:val="17"/>
          <w:color w:val="auto"/>
        </w:rPr>
        <w:t>The Company has regular trading restrictions for the following window group (the “</w:t>
      </w:r>
      <w:r>
        <w:rPr>
          <w:rFonts w:ascii="Times New Roman" w:cs="Times New Roman" w:eastAsia="Times New Roman" w:hAnsi="Times New Roman"/>
          <w:sz w:val="17"/>
          <w:szCs w:val="17"/>
          <w:b w:val="1"/>
          <w:bCs w:val="1"/>
          <w:color w:val="auto"/>
        </w:rPr>
        <w:t>Regular Window Group</w:t>
      </w:r>
      <w:r>
        <w:rPr>
          <w:rFonts w:ascii="Times New Roman" w:cs="Times New Roman" w:eastAsia="Times New Roman" w:hAnsi="Times New Roman"/>
          <w:sz w:val="17"/>
          <w:szCs w:val="17"/>
          <w:color w:val="auto"/>
        </w:rPr>
        <w:t>”):</w:t>
      </w:r>
    </w:p>
    <w:p>
      <w:pPr>
        <w:spacing w:after="0" w:line="214" w:lineRule="exact"/>
        <w:rPr>
          <w:rFonts w:ascii="Times New Roman" w:cs="Times New Roman" w:eastAsia="Times New Roman" w:hAnsi="Times New Roman"/>
          <w:sz w:val="16"/>
          <w:szCs w:val="16"/>
          <w:b w:val="1"/>
          <w:bCs w:val="1"/>
          <w:i w:val="1"/>
          <w:iCs w:val="1"/>
          <w:color w:val="auto"/>
        </w:rPr>
      </w:pPr>
    </w:p>
    <w:p>
      <w:pPr>
        <w:ind w:left="1560" w:hanging="610"/>
        <w:spacing w:after="0"/>
        <w:tabs>
          <w:tab w:leader="none" w:pos="1560" w:val="left"/>
        </w:tabs>
        <w:numPr>
          <w:ilvl w:val="2"/>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directors and executive officers of the Company and their assistants and household members;</w:t>
      </w:r>
    </w:p>
    <w:p>
      <w:pPr>
        <w:spacing w:after="0" w:line="210" w:lineRule="exact"/>
        <w:rPr>
          <w:rFonts w:ascii="Times New Roman" w:cs="Times New Roman" w:eastAsia="Times New Roman" w:hAnsi="Times New Roman"/>
          <w:sz w:val="17"/>
          <w:szCs w:val="17"/>
          <w:color w:val="auto"/>
        </w:rPr>
      </w:pPr>
    </w:p>
    <w:p>
      <w:pPr>
        <w:jc w:val="both"/>
        <w:ind w:left="1560" w:right="339" w:hanging="610"/>
        <w:spacing w:after="0" w:line="263" w:lineRule="auto"/>
        <w:tabs>
          <w:tab w:leader="none" w:pos="1560" w:val="left"/>
        </w:tabs>
        <w:numPr>
          <w:ilvl w:val="2"/>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members of the Company’s Disclosure Committee, project leaders of the Company’s R&amp;D projects, members of the Clinical function, the Finance, Business Development, Investor Relations and Legal team; and,</w:t>
      </w:r>
    </w:p>
    <w:p>
      <w:pPr>
        <w:spacing w:after="0" w:line="169" w:lineRule="exact"/>
        <w:rPr>
          <w:rFonts w:ascii="Times New Roman" w:cs="Times New Roman" w:eastAsia="Times New Roman" w:hAnsi="Times New Roman"/>
          <w:sz w:val="17"/>
          <w:szCs w:val="17"/>
          <w:color w:val="auto"/>
        </w:rPr>
      </w:pPr>
    </w:p>
    <w:p>
      <w:pPr>
        <w:ind w:left="1560" w:hanging="610"/>
        <w:spacing w:after="0"/>
        <w:tabs>
          <w:tab w:leader="none" w:pos="1560" w:val="left"/>
        </w:tabs>
        <w:numPr>
          <w:ilvl w:val="2"/>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groups of persons as may be designated from time to time by the Company.</w:t>
      </w:r>
    </w:p>
    <w:p>
      <w:pPr>
        <w:spacing w:after="0" w:line="211" w:lineRule="exact"/>
        <w:rPr>
          <w:sz w:val="20"/>
          <w:szCs w:val="20"/>
          <w:color w:val="auto"/>
        </w:rPr>
      </w:pPr>
    </w:p>
    <w:p>
      <w:pPr>
        <w:jc w:val="both"/>
        <w:ind w:left="240" w:right="239" w:firstLine="720"/>
        <w:spacing w:after="0" w:line="263" w:lineRule="auto"/>
        <w:rPr>
          <w:sz w:val="20"/>
          <w:szCs w:val="20"/>
          <w:color w:val="auto"/>
        </w:rPr>
      </w:pPr>
      <w:r>
        <w:rPr>
          <w:rFonts w:ascii="Times New Roman" w:cs="Times New Roman" w:eastAsia="Times New Roman" w:hAnsi="Times New Roman"/>
          <w:sz w:val="17"/>
          <w:szCs w:val="17"/>
          <w:color w:val="auto"/>
        </w:rPr>
        <w:t>If there is any doubt about whether you belong to the Regular Window Group, please check with the Chief Financial Officer (“</w:t>
      </w:r>
      <w:r>
        <w:rPr>
          <w:rFonts w:ascii="Times New Roman" w:cs="Times New Roman" w:eastAsia="Times New Roman" w:hAnsi="Times New Roman"/>
          <w:sz w:val="17"/>
          <w:szCs w:val="17"/>
          <w:b w:val="1"/>
          <w:bCs w:val="1"/>
          <w:color w:val="auto"/>
        </w:rPr>
        <w:t>CFO</w:t>
      </w:r>
      <w:r>
        <w:rPr>
          <w:rFonts w:ascii="Times New Roman" w:cs="Times New Roman" w:eastAsia="Times New Roman" w:hAnsi="Times New Roman"/>
          <w:sz w:val="17"/>
          <w:szCs w:val="17"/>
          <w:color w:val="auto"/>
        </w:rPr>
        <w:t>”) and General Counsel, or in their absence, the Chief Executive Officer (“</w:t>
      </w:r>
      <w:r>
        <w:rPr>
          <w:rFonts w:ascii="Times New Roman" w:cs="Times New Roman" w:eastAsia="Times New Roman" w:hAnsi="Times New Roman"/>
          <w:sz w:val="17"/>
          <w:szCs w:val="17"/>
          <w:b w:val="1"/>
          <w:bCs w:val="1"/>
          <w:color w:val="auto"/>
        </w:rPr>
        <w:t>CEO</w:t>
      </w:r>
      <w:r>
        <w:rPr>
          <w:rFonts w:ascii="Times New Roman" w:cs="Times New Roman" w:eastAsia="Times New Roman" w:hAnsi="Times New Roman"/>
          <w:sz w:val="17"/>
          <w:szCs w:val="17"/>
          <w:color w:val="auto"/>
        </w:rPr>
        <w:t>”), before proceeding with trading.</w:t>
      </w:r>
    </w:p>
    <w:p>
      <w:pPr>
        <w:spacing w:after="0" w:line="1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The Regular Window Group is subject to the following restrictions on trading in Company securities:</w:t>
      </w:r>
    </w:p>
    <w:p>
      <w:pPr>
        <w:spacing w:after="0" w:line="211" w:lineRule="exact"/>
        <w:rPr>
          <w:sz w:val="20"/>
          <w:szCs w:val="20"/>
          <w:color w:val="auto"/>
        </w:rPr>
      </w:pPr>
    </w:p>
    <w:p>
      <w:pPr>
        <w:jc w:val="both"/>
        <w:ind w:left="1560" w:right="239" w:hanging="610"/>
        <w:spacing w:after="0" w:line="263" w:lineRule="auto"/>
        <w:tabs>
          <w:tab w:leader="none" w:pos="156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trading is permitted from the start of the second business day following an earnings release with respect to the preceding fiscal period until the last calendar day of the last month of the then current fiscal quarter (the “</w:t>
      </w:r>
      <w:r>
        <w:rPr>
          <w:rFonts w:ascii="Times New Roman" w:cs="Times New Roman" w:eastAsia="Times New Roman" w:hAnsi="Times New Roman"/>
          <w:sz w:val="17"/>
          <w:szCs w:val="17"/>
          <w:b w:val="1"/>
          <w:bCs w:val="1"/>
          <w:color w:val="auto"/>
        </w:rPr>
        <w:t>Regular Window</w:t>
      </w:r>
      <w:r>
        <w:rPr>
          <w:rFonts w:ascii="Times New Roman" w:cs="Times New Roman" w:eastAsia="Times New Roman" w:hAnsi="Times New Roman"/>
          <w:sz w:val="17"/>
          <w:szCs w:val="17"/>
          <w:color w:val="auto"/>
        </w:rPr>
        <w:t>”), subject to the restrictions below;</w:t>
      </w:r>
    </w:p>
    <w:p>
      <w:pPr>
        <w:spacing w:after="0" w:line="169" w:lineRule="exact"/>
        <w:rPr>
          <w:rFonts w:ascii="Times New Roman" w:cs="Times New Roman" w:eastAsia="Times New Roman" w:hAnsi="Times New Roman"/>
          <w:sz w:val="17"/>
          <w:szCs w:val="17"/>
          <w:color w:val="auto"/>
        </w:rPr>
      </w:pPr>
    </w:p>
    <w:p>
      <w:pPr>
        <w:ind w:left="1560" w:hanging="610"/>
        <w:spacing w:after="0"/>
        <w:tabs>
          <w:tab w:leader="none" w:pos="156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trading requests are subject to prior review;</w:t>
      </w:r>
    </w:p>
    <w:p>
      <w:pPr>
        <w:spacing w:after="0" w:line="210" w:lineRule="exact"/>
        <w:rPr>
          <w:rFonts w:ascii="Times New Roman" w:cs="Times New Roman" w:eastAsia="Times New Roman" w:hAnsi="Times New Roman"/>
          <w:sz w:val="17"/>
          <w:szCs w:val="17"/>
          <w:color w:val="auto"/>
        </w:rPr>
      </w:pPr>
    </w:p>
    <w:p>
      <w:pPr>
        <w:jc w:val="both"/>
        <w:ind w:left="1560" w:right="239" w:hanging="610"/>
        <w:spacing w:after="0" w:line="258" w:lineRule="auto"/>
        <w:tabs>
          <w:tab w:leader="none" w:pos="156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clearance for all trades must be obtained from the CFO and General Counsel (or in their absence the CEO); or, in the case of trades by the CFO, clearance must be obtained from the CEO; or, in the case of trades by the CEO, clearance must be obtained from the chair of the Company’s Audit &amp; Finance Committee (or in his/her absence another member of the Audit &amp; Finance Committee); and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327660</wp:posOffset>
            </wp:positionV>
            <wp:extent cx="5424170" cy="1587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8">
                      <a:extLst>
                        <a:ext uri="{28A0092B-C50C-407E-A947-70E740481C1C}"/>
                      </a:extLst>
                    </a:blip>
                    <a:srcRect/>
                    <a:stretch>
                      <a:fillRect/>
                    </a:stretch>
                  </pic:blipFill>
                  <pic:spPr bwMode="auto">
                    <a:xfrm>
                      <a:off x="0" y="0"/>
                      <a:ext cx="5424170" cy="15875"/>
                    </a:xfrm>
                    <a:prstGeom prst="rect">
                      <a:avLst/>
                    </a:prstGeom>
                    <a:noFill/>
                  </pic:spPr>
                </pic:pic>
              </a:graphicData>
            </a:graphic>
          </wp:anchor>
        </w:drawing>
      </w:r>
    </w:p>
    <w:p>
      <w:pPr>
        <w:sectPr>
          <w:pgSz w:w="11900" w:h="16838" w:orient="portrait"/>
          <w:cols w:equalWidth="0" w:num="1">
            <w:col w:w="9019"/>
          </w:cols>
          <w:pgMar w:left="1440" w:top="859" w:right="1440" w:bottom="1440" w:gutter="0" w:footer="0" w:header="0"/>
        </w:sectPr>
      </w:pPr>
    </w:p>
    <w:bookmarkStart w:id="297" w:name="page298"/>
    <w:bookmarkEnd w:id="297"/>
    <w:p>
      <w:pPr>
        <w:jc w:val="both"/>
        <w:ind w:left="1540" w:right="239" w:hanging="602"/>
        <w:spacing w:after="0" w:line="256" w:lineRule="auto"/>
        <w:tabs>
          <w:tab w:leader="none" w:pos="154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trading is permitted outside the Regular Window except for reasons of exceptional personal hardship and subject to prior review by the CEO (or in his/her absence the CFO); or, if the CFO wishes to trade outside the Regular Window, it shall be subject to prior review by the CEO; or, if the CEO wishes to trade outside the Regular Window, it shall be subject to prior review by the chair of the Audit &amp; Finance Committee (or in his/her absence another member of the Audit &amp; Finance Committee).</w:t>
      </w:r>
    </w:p>
    <w:p>
      <w:pPr>
        <w:spacing w:after="0" w:line="17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i w:val="1"/>
          <w:iCs w:val="1"/>
          <w:color w:val="auto"/>
        </w:rPr>
        <w:t>Special Trading Restrictions</w:t>
      </w:r>
    </w:p>
    <w:p>
      <w:pPr>
        <w:spacing w:after="0" w:line="215" w:lineRule="exact"/>
        <w:rPr>
          <w:sz w:val="20"/>
          <w:szCs w:val="20"/>
          <w:color w:val="auto"/>
        </w:rPr>
      </w:pPr>
    </w:p>
    <w:p>
      <w:pPr>
        <w:jc w:val="both"/>
        <w:ind w:left="240" w:right="239" w:firstLine="720"/>
        <w:spacing w:after="0" w:line="277" w:lineRule="auto"/>
        <w:rPr>
          <w:sz w:val="20"/>
          <w:szCs w:val="20"/>
          <w:color w:val="auto"/>
        </w:rPr>
      </w:pPr>
      <w:r>
        <w:rPr>
          <w:rFonts w:ascii="Times New Roman" w:cs="Times New Roman" w:eastAsia="Times New Roman" w:hAnsi="Times New Roman"/>
          <w:sz w:val="17"/>
          <w:szCs w:val="17"/>
          <w:color w:val="auto"/>
        </w:rPr>
        <w:t>Special trading restrictions may be constituted in the context of special events, such as, but not limited to, material transactions, clinical readouts, management changes or significant litigation or regulatory proceedings.</w:t>
      </w:r>
    </w:p>
    <w:p>
      <w:pPr>
        <w:spacing w:after="0" w:line="158" w:lineRule="exact"/>
        <w:rPr>
          <w:sz w:val="20"/>
          <w:szCs w:val="20"/>
          <w:color w:val="auto"/>
        </w:rPr>
      </w:pPr>
    </w:p>
    <w:p>
      <w:pPr>
        <w:jc w:val="both"/>
        <w:ind w:left="240" w:right="239" w:firstLine="720"/>
        <w:spacing w:after="0" w:line="263" w:lineRule="auto"/>
        <w:rPr>
          <w:sz w:val="20"/>
          <w:szCs w:val="20"/>
          <w:color w:val="auto"/>
        </w:rPr>
      </w:pPr>
      <w:r>
        <w:rPr>
          <w:rFonts w:ascii="Times New Roman" w:cs="Times New Roman" w:eastAsia="Times New Roman" w:hAnsi="Times New Roman"/>
          <w:sz w:val="17"/>
          <w:szCs w:val="17"/>
          <w:color w:val="auto"/>
        </w:rPr>
        <w:t>In case of such special events, a list of persons to be included will be created and communicated to said persons. All persons subject to the special trading restrictions will be informed on the specific dates (“</w:t>
      </w:r>
      <w:r>
        <w:rPr>
          <w:rFonts w:ascii="Times New Roman" w:cs="Times New Roman" w:eastAsia="Times New Roman" w:hAnsi="Times New Roman"/>
          <w:sz w:val="17"/>
          <w:szCs w:val="17"/>
          <w:b w:val="1"/>
          <w:bCs w:val="1"/>
          <w:color w:val="auto"/>
        </w:rPr>
        <w:t>Specific Window</w:t>
      </w:r>
      <w:r>
        <w:rPr>
          <w:rFonts w:ascii="Times New Roman" w:cs="Times New Roman" w:eastAsia="Times New Roman" w:hAnsi="Times New Roman"/>
          <w:sz w:val="17"/>
          <w:szCs w:val="17"/>
          <w:color w:val="auto"/>
        </w:rPr>
        <w:t>” and together with the Regular Window, each a “</w:t>
      </w:r>
      <w:r>
        <w:rPr>
          <w:rFonts w:ascii="Times New Roman" w:cs="Times New Roman" w:eastAsia="Times New Roman" w:hAnsi="Times New Roman"/>
          <w:sz w:val="17"/>
          <w:szCs w:val="17"/>
          <w:b w:val="1"/>
          <w:bCs w:val="1"/>
          <w:color w:val="auto"/>
        </w:rPr>
        <w:t>Window</w:t>
      </w:r>
      <w:r>
        <w:rPr>
          <w:rFonts w:ascii="Times New Roman" w:cs="Times New Roman" w:eastAsia="Times New Roman" w:hAnsi="Times New Roman"/>
          <w:sz w:val="17"/>
          <w:szCs w:val="17"/>
          <w:color w:val="auto"/>
        </w:rPr>
        <w:t>”), the involved persons and the restrictions.</w:t>
      </w:r>
    </w:p>
    <w:p>
      <w:pPr>
        <w:spacing w:after="0" w:line="16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i w:val="1"/>
          <w:iCs w:val="1"/>
          <w:color w:val="auto"/>
        </w:rPr>
        <w:t>Exceptions</w:t>
      </w:r>
    </w:p>
    <w:p>
      <w:pPr>
        <w:spacing w:after="0" w:line="215" w:lineRule="exact"/>
        <w:rPr>
          <w:sz w:val="20"/>
          <w:szCs w:val="20"/>
          <w:color w:val="auto"/>
        </w:rPr>
      </w:pPr>
    </w:p>
    <w:p>
      <w:pPr>
        <w:jc w:val="both"/>
        <w:ind w:left="240" w:right="239" w:firstLine="600"/>
        <w:spacing w:after="0" w:line="263" w:lineRule="auto"/>
        <w:rPr>
          <w:sz w:val="20"/>
          <w:szCs w:val="20"/>
          <w:color w:val="auto"/>
        </w:rPr>
      </w:pPr>
      <w:r>
        <w:rPr>
          <w:rFonts w:ascii="Times New Roman" w:cs="Times New Roman" w:eastAsia="Times New Roman" w:hAnsi="Times New Roman"/>
          <w:sz w:val="17"/>
          <w:szCs w:val="17"/>
          <w:color w:val="auto"/>
        </w:rPr>
        <w:t>Note that at times the CFO and General Counsel may determine that no trades may occur even during the Window. No reasons may be provided and the closing of the Window itself may constitute Inside Information that should not be communicated.</w:t>
      </w:r>
    </w:p>
    <w:p>
      <w:pPr>
        <w:spacing w:after="0" w:line="170" w:lineRule="exact"/>
        <w:rPr>
          <w:sz w:val="20"/>
          <w:szCs w:val="20"/>
          <w:color w:val="auto"/>
        </w:rPr>
      </w:pPr>
    </w:p>
    <w:p>
      <w:pPr>
        <w:jc w:val="both"/>
        <w:ind w:left="240" w:right="239" w:firstLine="600"/>
        <w:spacing w:after="0" w:line="253" w:lineRule="auto"/>
        <w:rPr>
          <w:sz w:val="20"/>
          <w:szCs w:val="20"/>
          <w:color w:val="auto"/>
        </w:rPr>
      </w:pPr>
      <w:r>
        <w:rPr>
          <w:rFonts w:ascii="Times New Roman" w:cs="Times New Roman" w:eastAsia="Times New Roman" w:hAnsi="Times New Roman"/>
          <w:sz w:val="17"/>
          <w:szCs w:val="17"/>
          <w:color w:val="auto"/>
        </w:rPr>
        <w:t>The foregoing restrictions do not apply to transactions pursuant to written plans for trading securities that comply with Rule 10b5-1 under the Exchange Act (“</w:t>
      </w:r>
      <w:r>
        <w:rPr>
          <w:rFonts w:ascii="Times New Roman" w:cs="Times New Roman" w:eastAsia="Times New Roman" w:hAnsi="Times New Roman"/>
          <w:sz w:val="17"/>
          <w:szCs w:val="17"/>
          <w:b w:val="1"/>
          <w:bCs w:val="1"/>
          <w:color w:val="auto"/>
        </w:rPr>
        <w:t>10b5-1 Plans</w:t>
      </w:r>
      <w:r>
        <w:rPr>
          <w:rFonts w:ascii="Times New Roman" w:cs="Times New Roman" w:eastAsia="Times New Roman" w:hAnsi="Times New Roman"/>
          <w:sz w:val="17"/>
          <w:szCs w:val="17"/>
          <w:color w:val="auto"/>
        </w:rPr>
        <w:t>”). However, persons subject to trading restrictions must obtain prior clearance before entering into a 10b5-1 Plan from the CEO (or in his/her absence the CFO); or, if the CFO wishes to enter into a 10b5-1 Plan, it shall be subject to prior review by the CEO; or, if the CEO wishes to enter into a 10b5-1 Plan, it shall be subject to prior review by the chair of the Audit &amp; Finance Committee (or in his/her absence another member of the Audit &amp; Finance Committee). In addition, persons subject to trading restrictions may not amend or terminate a 10b5-1 Plan without the prior approval of the chair of the Audit &amp; Finance Committee, which will generally only be given during a Regular Window period.</w:t>
      </w:r>
    </w:p>
    <w:p>
      <w:pPr>
        <w:spacing w:after="0" w:line="200" w:lineRule="exact"/>
        <w:rPr>
          <w:sz w:val="20"/>
          <w:szCs w:val="20"/>
          <w:color w:val="auto"/>
        </w:rPr>
      </w:pPr>
    </w:p>
    <w:p>
      <w:pPr>
        <w:spacing w:after="0" w:line="2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Adopted by the Board of Directors on December 6, 2024</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327660</wp:posOffset>
            </wp:positionV>
            <wp:extent cx="5424170" cy="241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9">
                      <a:extLst>
                        <a:ext uri="{28A0092B-C50C-407E-A947-70E740481C1C}"/>
                      </a:extLst>
                    </a:blip>
                    <a:srcRect/>
                    <a:stretch>
                      <a:fillRect/>
                    </a:stretch>
                  </pic:blipFill>
                  <pic:spPr bwMode="auto">
                    <a:xfrm>
                      <a:off x="0" y="0"/>
                      <a:ext cx="5424170" cy="24130"/>
                    </a:xfrm>
                    <a:prstGeom prst="rect">
                      <a:avLst/>
                    </a:prstGeom>
                    <a:noFill/>
                  </pic:spPr>
                </pic:pic>
              </a:graphicData>
            </a:graphic>
          </wp:anchor>
        </w:drawing>
      </w:r>
    </w:p>
    <w:p>
      <w:pPr>
        <w:sectPr>
          <w:pgSz w:w="11900" w:h="16838" w:orient="portrait"/>
          <w:cols w:equalWidth="0" w:num="1">
            <w:col w:w="9019"/>
          </w:cols>
          <w:pgMar w:left="1440" w:top="859" w:right="1440" w:bottom="1440" w:gutter="0" w:footer="0" w:header="0"/>
        </w:sectPr>
      </w:pPr>
    </w:p>
    <w:bookmarkStart w:id="298" w:name="page299"/>
    <w:bookmarkEnd w:id="298"/>
    <w:p>
      <w:pPr>
        <w:jc w:val="right"/>
        <w:spacing w:after="0"/>
        <w:rPr>
          <w:sz w:val="20"/>
          <w:szCs w:val="20"/>
          <w:color w:val="auto"/>
        </w:rPr>
      </w:pPr>
      <w:r>
        <w:rPr>
          <w:rFonts w:ascii="Times New Roman" w:cs="Times New Roman" w:eastAsia="Times New Roman" w:hAnsi="Times New Roman"/>
          <w:sz w:val="17"/>
          <w:szCs w:val="17"/>
          <w:b w:val="1"/>
          <w:bCs w:val="1"/>
          <w:color w:val="auto"/>
        </w:rPr>
        <w:t>Exhibit 12.1</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Andrea Pfeifer, certify that:</w:t>
      </w:r>
    </w:p>
    <w:p>
      <w:pPr>
        <w:spacing w:after="0" w:line="211" w:lineRule="exact"/>
        <w:rPr>
          <w:sz w:val="20"/>
          <w:szCs w:val="20"/>
          <w:color w:val="auto"/>
        </w:rPr>
      </w:pPr>
    </w:p>
    <w:p>
      <w:pPr>
        <w:ind w:left="180" w:hanging="177"/>
        <w:spacing w:after="0"/>
        <w:tabs>
          <w:tab w:leader="none" w:pos="18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20-F of AC Immune SA;</w:t>
      </w:r>
    </w:p>
    <w:p>
      <w:pPr>
        <w:spacing w:after="0" w:line="210" w:lineRule="exact"/>
        <w:rPr>
          <w:rFonts w:ascii="Times New Roman" w:cs="Times New Roman" w:eastAsia="Times New Roman" w:hAnsi="Times New Roman"/>
          <w:sz w:val="17"/>
          <w:szCs w:val="17"/>
          <w:color w:val="auto"/>
        </w:rPr>
      </w:pPr>
    </w:p>
    <w:p>
      <w:pPr>
        <w:jc w:val="both"/>
        <w:ind w:right="140" w:firstLine="3"/>
        <w:spacing w:after="0" w:line="263" w:lineRule="auto"/>
        <w:tabs>
          <w:tab w:leader="none" w:pos="169"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7"/>
          <w:szCs w:val="17"/>
          <w:color w:val="auto"/>
        </w:rPr>
      </w:pPr>
    </w:p>
    <w:p>
      <w:pPr>
        <w:ind w:right="120" w:firstLine="3"/>
        <w:spacing w:after="0" w:line="277" w:lineRule="auto"/>
        <w:tabs>
          <w:tab w:leader="none" w:pos="169"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7" w:lineRule="exact"/>
        <w:rPr>
          <w:rFonts w:ascii="Times New Roman" w:cs="Times New Roman" w:eastAsia="Times New Roman" w:hAnsi="Times New Roman"/>
          <w:sz w:val="17"/>
          <w:szCs w:val="17"/>
          <w:color w:val="auto"/>
        </w:rPr>
      </w:pPr>
    </w:p>
    <w:p>
      <w:pPr>
        <w:ind w:right="100" w:firstLine="3"/>
        <w:spacing w:after="0" w:line="275" w:lineRule="auto"/>
        <w:tabs>
          <w:tab w:leader="none" w:pos="169"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15d-15(f)) for the company and have:</w:t>
      </w:r>
    </w:p>
    <w:p>
      <w:pPr>
        <w:spacing w:after="0" w:line="195" w:lineRule="exact"/>
        <w:rPr>
          <w:sz w:val="20"/>
          <w:szCs w:val="20"/>
          <w:color w:val="auto"/>
        </w:rPr>
      </w:pPr>
    </w:p>
    <w:p>
      <w:pPr>
        <w:ind w:right="80" w:firstLine="3"/>
        <w:spacing w:after="0" w:line="263" w:lineRule="auto"/>
        <w:tabs>
          <w:tab w:leader="none" w:pos="23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7"/>
          <w:szCs w:val="17"/>
          <w:color w:val="auto"/>
        </w:rPr>
      </w:pPr>
    </w:p>
    <w:p>
      <w:pPr>
        <w:ind w:right="20" w:firstLine="3"/>
        <w:spacing w:after="0" w:line="263" w:lineRule="auto"/>
        <w:tabs>
          <w:tab w:leader="none" w:pos="24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7"/>
          <w:szCs w:val="17"/>
          <w:color w:val="auto"/>
        </w:rPr>
      </w:pPr>
    </w:p>
    <w:p>
      <w:pPr>
        <w:ind w:right="580" w:firstLine="3"/>
        <w:spacing w:after="0" w:line="310" w:lineRule="auto"/>
        <w:tabs>
          <w:tab w:leader="none" w:pos="23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Times New Roman" w:cs="Times New Roman" w:eastAsia="Times New Roman" w:hAnsi="Times New Roman"/>
          <w:sz w:val="16"/>
          <w:szCs w:val="16"/>
          <w:color w:val="auto"/>
        </w:rPr>
      </w:pPr>
    </w:p>
    <w:p>
      <w:pPr>
        <w:ind w:right="120" w:firstLine="3"/>
        <w:spacing w:after="0" w:line="310" w:lineRule="auto"/>
        <w:tabs>
          <w:tab w:leader="none" w:pos="24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34" w:lineRule="exact"/>
        <w:rPr>
          <w:sz w:val="20"/>
          <w:szCs w:val="20"/>
          <w:color w:val="auto"/>
        </w:rPr>
      </w:pPr>
    </w:p>
    <w:p>
      <w:pPr>
        <w:ind w:right="60" w:firstLine="3"/>
        <w:spacing w:after="0" w:line="310" w:lineRule="auto"/>
        <w:tabs>
          <w:tab w:leader="none" w:pos="169"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34" w:lineRule="exact"/>
        <w:rPr>
          <w:sz w:val="20"/>
          <w:szCs w:val="20"/>
          <w:color w:val="auto"/>
        </w:rPr>
      </w:pPr>
    </w:p>
    <w:p>
      <w:pPr>
        <w:ind w:firstLine="3"/>
        <w:spacing w:after="0" w:line="277" w:lineRule="auto"/>
        <w:tabs>
          <w:tab w:leader="none" w:pos="230"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7" w:lineRule="exact"/>
        <w:rPr>
          <w:rFonts w:ascii="Times New Roman" w:cs="Times New Roman" w:eastAsia="Times New Roman" w:hAnsi="Times New Roman"/>
          <w:sz w:val="17"/>
          <w:szCs w:val="17"/>
          <w:color w:val="auto"/>
        </w:rPr>
      </w:pPr>
    </w:p>
    <w:p>
      <w:pPr>
        <w:ind w:right="480" w:firstLine="3"/>
        <w:spacing w:after="0" w:line="277" w:lineRule="auto"/>
        <w:tabs>
          <w:tab w:leader="none" w:pos="240"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company’s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13, 2026</w:t>
      </w:r>
    </w:p>
    <w:p>
      <w:pPr>
        <w:spacing w:after="0" w:line="2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/s/ Andrea Pfeifer</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Andrea Pfeifer</w:t>
      </w:r>
    </w:p>
    <w:p>
      <w:pPr>
        <w:spacing w:after="0" w:line="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456565</wp:posOffset>
            </wp:positionV>
            <wp:extent cx="6302375" cy="241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0">
                      <a:extLst>
                        <a:ext uri="{28A0092B-C50C-407E-A947-70E740481C1C}"/>
                      </a:extLst>
                    </a:blip>
                    <a:srcRect/>
                    <a:stretch>
                      <a:fillRect/>
                    </a:stretch>
                  </pic:blipFill>
                  <pic:spPr bwMode="auto">
                    <a:xfrm>
                      <a:off x="0" y="0"/>
                      <a:ext cx="6302375" cy="24130"/>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299" w:name="page300"/>
    <w:bookmarkEnd w:id="299"/>
    <w:p>
      <w:pPr>
        <w:jc w:val="right"/>
        <w:spacing w:after="0"/>
        <w:rPr>
          <w:sz w:val="20"/>
          <w:szCs w:val="20"/>
          <w:color w:val="auto"/>
        </w:rPr>
      </w:pPr>
      <w:r>
        <w:rPr>
          <w:rFonts w:ascii="Times New Roman" w:cs="Times New Roman" w:eastAsia="Times New Roman" w:hAnsi="Times New Roman"/>
          <w:sz w:val="17"/>
          <w:szCs w:val="17"/>
          <w:b w:val="1"/>
          <w:bCs w:val="1"/>
          <w:color w:val="auto"/>
        </w:rPr>
        <w:t>Exhibit 12.2</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Christopher Roberts, certify that:</w:t>
      </w:r>
    </w:p>
    <w:p>
      <w:pPr>
        <w:spacing w:after="0" w:line="211" w:lineRule="exact"/>
        <w:rPr>
          <w:sz w:val="20"/>
          <w:szCs w:val="20"/>
          <w:color w:val="auto"/>
        </w:rPr>
      </w:pPr>
    </w:p>
    <w:p>
      <w:pPr>
        <w:ind w:left="180" w:hanging="177"/>
        <w:spacing w:after="0"/>
        <w:tabs>
          <w:tab w:leader="none" w:pos="180"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20-F of AC Immune SA;</w:t>
      </w:r>
    </w:p>
    <w:p>
      <w:pPr>
        <w:spacing w:after="0" w:line="210" w:lineRule="exact"/>
        <w:rPr>
          <w:rFonts w:ascii="Times New Roman" w:cs="Times New Roman" w:eastAsia="Times New Roman" w:hAnsi="Times New Roman"/>
          <w:sz w:val="17"/>
          <w:szCs w:val="17"/>
          <w:color w:val="auto"/>
        </w:rPr>
      </w:pPr>
    </w:p>
    <w:p>
      <w:pPr>
        <w:jc w:val="both"/>
        <w:ind w:right="140" w:firstLine="3"/>
        <w:spacing w:after="0" w:line="263" w:lineRule="auto"/>
        <w:tabs>
          <w:tab w:leader="none" w:pos="169"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7"/>
          <w:szCs w:val="17"/>
          <w:color w:val="auto"/>
        </w:rPr>
      </w:pPr>
    </w:p>
    <w:p>
      <w:pPr>
        <w:ind w:right="120" w:firstLine="3"/>
        <w:spacing w:after="0" w:line="277" w:lineRule="auto"/>
        <w:tabs>
          <w:tab w:leader="none" w:pos="169"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7" w:lineRule="exact"/>
        <w:rPr>
          <w:rFonts w:ascii="Times New Roman" w:cs="Times New Roman" w:eastAsia="Times New Roman" w:hAnsi="Times New Roman"/>
          <w:sz w:val="17"/>
          <w:szCs w:val="17"/>
          <w:color w:val="auto"/>
        </w:rPr>
      </w:pPr>
    </w:p>
    <w:p>
      <w:pPr>
        <w:ind w:right="100" w:firstLine="3"/>
        <w:spacing w:after="0" w:line="275" w:lineRule="auto"/>
        <w:tabs>
          <w:tab w:leader="none" w:pos="169"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15d-15(f)) for the company and have:</w:t>
      </w:r>
    </w:p>
    <w:p>
      <w:pPr>
        <w:spacing w:after="0" w:line="195" w:lineRule="exact"/>
        <w:rPr>
          <w:sz w:val="20"/>
          <w:szCs w:val="20"/>
          <w:color w:val="auto"/>
        </w:rPr>
      </w:pPr>
    </w:p>
    <w:p>
      <w:pPr>
        <w:ind w:right="80" w:firstLine="3"/>
        <w:spacing w:after="0" w:line="263" w:lineRule="auto"/>
        <w:tabs>
          <w:tab w:leader="none" w:pos="23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7"/>
          <w:szCs w:val="17"/>
          <w:color w:val="auto"/>
        </w:rPr>
      </w:pPr>
    </w:p>
    <w:p>
      <w:pPr>
        <w:ind w:right="20" w:firstLine="3"/>
        <w:spacing w:after="0" w:line="263" w:lineRule="auto"/>
        <w:tabs>
          <w:tab w:leader="none" w:pos="24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7"/>
          <w:szCs w:val="17"/>
          <w:color w:val="auto"/>
        </w:rPr>
      </w:pPr>
    </w:p>
    <w:p>
      <w:pPr>
        <w:ind w:right="580" w:firstLine="3"/>
        <w:spacing w:after="0" w:line="310" w:lineRule="auto"/>
        <w:tabs>
          <w:tab w:leader="none" w:pos="23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Times New Roman" w:cs="Times New Roman" w:eastAsia="Times New Roman" w:hAnsi="Times New Roman"/>
          <w:sz w:val="16"/>
          <w:szCs w:val="16"/>
          <w:color w:val="auto"/>
        </w:rPr>
      </w:pPr>
    </w:p>
    <w:p>
      <w:pPr>
        <w:ind w:right="120" w:firstLine="3"/>
        <w:spacing w:after="0" w:line="310" w:lineRule="auto"/>
        <w:tabs>
          <w:tab w:leader="none" w:pos="24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34" w:lineRule="exact"/>
        <w:rPr>
          <w:sz w:val="20"/>
          <w:szCs w:val="20"/>
          <w:color w:val="auto"/>
        </w:rPr>
      </w:pPr>
    </w:p>
    <w:p>
      <w:pPr>
        <w:ind w:right="60" w:firstLine="3"/>
        <w:spacing w:after="0" w:line="310" w:lineRule="auto"/>
        <w:tabs>
          <w:tab w:leader="none" w:pos="169"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34" w:lineRule="exact"/>
        <w:rPr>
          <w:sz w:val="20"/>
          <w:szCs w:val="20"/>
          <w:color w:val="auto"/>
        </w:rPr>
      </w:pPr>
    </w:p>
    <w:p>
      <w:pPr>
        <w:ind w:firstLine="3"/>
        <w:spacing w:after="0" w:line="277" w:lineRule="auto"/>
        <w:tabs>
          <w:tab w:leader="none" w:pos="23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7" w:lineRule="exact"/>
        <w:rPr>
          <w:rFonts w:ascii="Times New Roman" w:cs="Times New Roman" w:eastAsia="Times New Roman" w:hAnsi="Times New Roman"/>
          <w:sz w:val="17"/>
          <w:szCs w:val="17"/>
          <w:color w:val="auto"/>
        </w:rPr>
      </w:pPr>
    </w:p>
    <w:p>
      <w:pPr>
        <w:ind w:right="480" w:firstLine="3"/>
        <w:spacing w:after="0" w:line="277" w:lineRule="auto"/>
        <w:tabs>
          <w:tab w:leader="none" w:pos="24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company’s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13, 2026</w:t>
      </w:r>
    </w:p>
    <w:p>
      <w:pPr>
        <w:spacing w:after="0" w:line="2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/s/ Christopher Roberts</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Christopher Roberts</w:t>
      </w:r>
    </w:p>
    <w:p>
      <w:pPr>
        <w:spacing w:after="0" w:line="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456565</wp:posOffset>
            </wp:positionV>
            <wp:extent cx="6302375" cy="241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1">
                      <a:extLst>
                        <a:ext uri="{28A0092B-C50C-407E-A947-70E740481C1C}"/>
                      </a:extLst>
                    </a:blip>
                    <a:srcRect/>
                    <a:stretch>
                      <a:fillRect/>
                    </a:stretch>
                  </pic:blipFill>
                  <pic:spPr bwMode="auto">
                    <a:xfrm>
                      <a:off x="0" y="0"/>
                      <a:ext cx="6302375" cy="24130"/>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300" w:name="page301"/>
    <w:bookmarkEnd w:id="300"/>
    <w:p>
      <w:pPr>
        <w:jc w:val="right"/>
        <w:spacing w:after="0"/>
        <w:rPr>
          <w:sz w:val="20"/>
          <w:szCs w:val="20"/>
          <w:color w:val="auto"/>
        </w:rPr>
      </w:pPr>
      <w:r>
        <w:rPr>
          <w:rFonts w:ascii="Times New Roman" w:cs="Times New Roman" w:eastAsia="Times New Roman" w:hAnsi="Times New Roman"/>
          <w:sz w:val="17"/>
          <w:szCs w:val="17"/>
          <w:b w:val="1"/>
          <w:bCs w:val="1"/>
          <w:color w:val="auto"/>
        </w:rPr>
        <w:t>Exhibit 13.1</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15"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7"/>
          <w:szCs w:val="17"/>
          <w:color w:val="auto"/>
        </w:rPr>
        <w:t>The certification set forth below is being submitted in connection with AC Immune SA’s annual report on Form 20-F for the year ended December 31, 2025 (the “Report”) for the purpose of complying with Rule 13a-14(b) or Rule 15d-14(b) of the Securities Exchange Act of 1934 (the “Exchange Act”) and Section 1350 of Chapter 63 of Title 18 of the United States Code.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Andrea Pfeifer, the Chief Executive Officer of AC Immune SA, certifies that, to the best of her knowledge:</w:t>
      </w:r>
    </w:p>
    <w:p>
      <w:pPr>
        <w:spacing w:after="0" w:line="211" w:lineRule="exact"/>
        <w:rPr>
          <w:sz w:val="20"/>
          <w:szCs w:val="20"/>
          <w:color w:val="auto"/>
        </w:rPr>
      </w:pPr>
    </w:p>
    <w:p>
      <w:pPr>
        <w:ind w:left="180" w:hanging="177"/>
        <w:spacing w:after="0"/>
        <w:tabs>
          <w:tab w:leader="none" w:pos="180"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Exchange Act; and</w:t>
      </w:r>
    </w:p>
    <w:p>
      <w:pPr>
        <w:spacing w:after="0" w:line="210" w:lineRule="exact"/>
        <w:rPr>
          <w:rFonts w:ascii="Times New Roman" w:cs="Times New Roman" w:eastAsia="Times New Roman" w:hAnsi="Times New Roman"/>
          <w:sz w:val="17"/>
          <w:szCs w:val="17"/>
          <w:color w:val="auto"/>
        </w:rPr>
      </w:pPr>
    </w:p>
    <w:p>
      <w:pPr>
        <w:ind w:right="80" w:firstLine="3"/>
        <w:spacing w:after="0" w:line="277" w:lineRule="auto"/>
        <w:tabs>
          <w:tab w:leader="none" w:pos="169"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AC Immune SA.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13, 2026</w:t>
      </w:r>
    </w:p>
    <w:p>
      <w:pPr>
        <w:spacing w:after="0" w:line="21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/s/ Andrea Pfeifer</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Name: Andrea Pfeifer</w:t>
      </w:r>
    </w:p>
    <w:p>
      <w:pPr>
        <w:spacing w:after="0" w:line="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456565</wp:posOffset>
            </wp:positionV>
            <wp:extent cx="6302375" cy="241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2">
                      <a:extLst>
                        <a:ext uri="{28A0092B-C50C-407E-A947-70E740481C1C}"/>
                      </a:extLst>
                    </a:blip>
                    <a:srcRect/>
                    <a:stretch>
                      <a:fillRect/>
                    </a:stretch>
                  </pic:blipFill>
                  <pic:spPr bwMode="auto">
                    <a:xfrm>
                      <a:off x="0" y="0"/>
                      <a:ext cx="6302375" cy="24130"/>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301" w:name="page302"/>
    <w:bookmarkEnd w:id="301"/>
    <w:p>
      <w:pPr>
        <w:jc w:val="right"/>
        <w:spacing w:after="0"/>
        <w:rPr>
          <w:sz w:val="20"/>
          <w:szCs w:val="20"/>
          <w:color w:val="auto"/>
        </w:rPr>
      </w:pPr>
      <w:r>
        <w:rPr>
          <w:rFonts w:ascii="Times New Roman" w:cs="Times New Roman" w:eastAsia="Times New Roman" w:hAnsi="Times New Roman"/>
          <w:sz w:val="17"/>
          <w:szCs w:val="17"/>
          <w:b w:val="1"/>
          <w:bCs w:val="1"/>
          <w:color w:val="auto"/>
        </w:rPr>
        <w:t>Exhibit 13.2</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15"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7"/>
          <w:szCs w:val="17"/>
          <w:color w:val="auto"/>
        </w:rPr>
        <w:t>The certification set forth below is being submitted in connection with AC Immune SA’s annual report on Form 20-F for the year ended December 31, 2025 (the “Report”) for the purpose of complying with Rule 13a-14(b) or Rule 15d-14(b) of the Securities Exchange Act of 1934 (the “Exchange Act”) and Section 1350 of Chapter 63 of Title 18 of the United States Code.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Christopher Roberts, the Chief Financial Officer of AC Immune SA, certifies that, to the best of his knowledge:</w:t>
      </w:r>
    </w:p>
    <w:p>
      <w:pPr>
        <w:spacing w:after="0" w:line="211" w:lineRule="exact"/>
        <w:rPr>
          <w:sz w:val="20"/>
          <w:szCs w:val="20"/>
          <w:color w:val="auto"/>
        </w:rPr>
      </w:pPr>
    </w:p>
    <w:p>
      <w:pPr>
        <w:ind w:left="180" w:hanging="177"/>
        <w:spacing w:after="0"/>
        <w:tabs>
          <w:tab w:leader="none" w:pos="180"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Exchange Act; and</w:t>
      </w:r>
    </w:p>
    <w:p>
      <w:pPr>
        <w:spacing w:after="0" w:line="210" w:lineRule="exact"/>
        <w:rPr>
          <w:rFonts w:ascii="Times New Roman" w:cs="Times New Roman" w:eastAsia="Times New Roman" w:hAnsi="Times New Roman"/>
          <w:sz w:val="17"/>
          <w:szCs w:val="17"/>
          <w:color w:val="auto"/>
        </w:rPr>
      </w:pPr>
    </w:p>
    <w:p>
      <w:pPr>
        <w:ind w:right="80" w:firstLine="3"/>
        <w:spacing w:after="0" w:line="277" w:lineRule="auto"/>
        <w:tabs>
          <w:tab w:leader="none" w:pos="169"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AC Immune SA.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13, 2026</w:t>
      </w:r>
    </w:p>
    <w:p>
      <w:pPr>
        <w:spacing w:after="0" w:line="2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/s/ Christopher Roberts</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Name: Christopher Roberts</w:t>
      </w:r>
    </w:p>
    <w:p>
      <w:pPr>
        <w:spacing w:after="0" w:line="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456565</wp:posOffset>
            </wp:positionV>
            <wp:extent cx="6302375" cy="241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3">
                      <a:extLst>
                        <a:ext uri="{28A0092B-C50C-407E-A947-70E740481C1C}"/>
                      </a:extLst>
                    </a:blip>
                    <a:srcRect/>
                    <a:stretch>
                      <a:fillRect/>
                    </a:stretch>
                  </pic:blipFill>
                  <pic:spPr bwMode="auto">
                    <a:xfrm>
                      <a:off x="0" y="0"/>
                      <a:ext cx="6302375" cy="24130"/>
                    </a:xfrm>
                    <a:prstGeom prst="rect">
                      <a:avLst/>
                    </a:prstGeom>
                    <a:noFill/>
                  </pic:spPr>
                </pic:pic>
              </a:graphicData>
            </a:graphic>
          </wp:anchor>
        </w:drawing>
      </w:r>
    </w:p>
    <w:p>
      <w:pPr>
        <w:sectPr>
          <w:pgSz w:w="11900" w:h="16838" w:orient="portrait"/>
          <w:cols w:equalWidth="0" w:num="1">
            <w:col w:w="9920"/>
          </w:cols>
          <w:pgMar w:left="980" w:top="120" w:right="999" w:bottom="1440" w:gutter="0" w:footer="0" w:header="0"/>
        </w:sectPr>
      </w:pPr>
    </w:p>
    <w:bookmarkStart w:id="302" w:name="page303"/>
    <w:bookmarkEnd w:id="302"/>
    <w:p>
      <w:pPr>
        <w:jc w:val="right"/>
        <w:spacing w:after="0"/>
        <w:rPr>
          <w:sz w:val="20"/>
          <w:szCs w:val="20"/>
          <w:color w:val="auto"/>
        </w:rPr>
      </w:pPr>
      <w:r>
        <w:rPr>
          <w:rFonts w:ascii="Times New Roman" w:cs="Times New Roman" w:eastAsia="Times New Roman" w:hAnsi="Times New Roman"/>
          <w:sz w:val="17"/>
          <w:szCs w:val="17"/>
          <w:b w:val="1"/>
          <w:bCs w:val="1"/>
          <w:color w:val="auto"/>
        </w:rPr>
        <w:t>EXHIBIT 15.1</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CONSENT OF INDEPENDENT REGISTERED PUBLIC ACCOUNTING FIRM</w:t>
      </w:r>
    </w:p>
    <w:p>
      <w:pPr>
        <w:spacing w:after="0" w:line="211"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7"/>
          <w:szCs w:val="17"/>
          <w:color w:val="auto"/>
        </w:rPr>
        <w:t>We hereby consent to the incorporation by reference in the Registration Statements on Form F-3 (No. 333-227016, No. 333-249655 and No. 333-277940) and on Form S-8 (No. 333-216539, No. 333-213865 and No. 333-233019) of AC Immune SA of our report dated March 13, 2026 relating to the financial statements and the effectiveness of internal control over financial reporting, which appears in this Form 20-F.</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PricewaterhouseCoopers SA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Lausanne, Switzerland</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659765</wp:posOffset>
            </wp:positionV>
            <wp:extent cx="6302375" cy="241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4">
                      <a:extLst>
                        <a:ext uri="{28A0092B-C50C-407E-A947-70E740481C1C}"/>
                      </a:extLst>
                    </a:blip>
                    <a:srcRect/>
                    <a:stretch>
                      <a:fillRect/>
                    </a:stretch>
                  </pic:blipFill>
                  <pic:spPr bwMode="auto">
                    <a:xfrm>
                      <a:off x="0" y="0"/>
                      <a:ext cx="6302375" cy="24130"/>
                    </a:xfrm>
                    <a:prstGeom prst="rect">
                      <a:avLst/>
                    </a:prstGeom>
                    <a:noFill/>
                  </pic:spPr>
                </pic:pic>
              </a:graphicData>
            </a:graphic>
          </wp:anchor>
        </w:drawing>
      </w:r>
    </w:p>
    <w:sectPr>
      <w:pgSz w:w="11900" w:h="16838" w:orient="portrait"/>
      <w:cols w:equalWidth="0" w:num="1">
        <w:col w:w="9920"/>
      </w:cols>
      <w:pgMar w:left="980" w:top="119"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330624"/>
    <w:multiLevelType w:val="hybridMultilevel"/>
    <w:lvl w:ilvl="0">
      <w:lvlJc w:val="left"/>
      <w:lvlText w:val="☒"/>
      <w:numFmt w:val="bullet"/>
      <w:start w:val="1"/>
    </w:lvl>
    <w:lvl w:ilvl="1">
      <w:lvlJc w:val="left"/>
      <w:lvlText w:val="☐"/>
      <w:numFmt w:val="bullet"/>
      <w:start w:val="1"/>
    </w:lvl>
  </w:abstractNum>
  <w:abstractNum w:abstractNumId="1">
    <w:nsid w:val="7FFFCA11"/>
    <w:multiLevelType w:val="hybridMultilevel"/>
    <w:lvl w:ilvl="0">
      <w:lvlJc w:val="left"/>
      <w:lvlText w:val="☐"/>
      <w:numFmt w:val="bullet"/>
      <w:start w:val="1"/>
    </w:lvl>
  </w:abstractNum>
  <w:abstractNum w:abstractNumId="2">
    <w:nsid w:val="1A27709E"/>
    <w:multiLevelType w:val="hybridMultilevel"/>
    <w:lvl w:ilvl="0">
      <w:lvlJc w:val="left"/>
      <w:lvlText w:val="☐"/>
      <w:numFmt w:val="bullet"/>
      <w:start w:val="1"/>
    </w:lvl>
  </w:abstractNum>
  <w:abstractNum w:abstractNumId="3">
    <w:nsid w:val="71EA1109"/>
    <w:multiLevelType w:val="hybridMultilevel"/>
    <w:lvl w:ilvl="0">
      <w:lvlJc w:val="left"/>
      <w:lvlText w:val="☐"/>
      <w:numFmt w:val="bullet"/>
      <w:start w:val="1"/>
    </w:lvl>
  </w:abstractNum>
  <w:abstractNum w:abstractNumId="4">
    <w:nsid w:val="100F59DC"/>
    <w:multiLevelType w:val="hybridMultilevel"/>
    <w:lvl w:ilvl="0">
      <w:lvlJc w:val="left"/>
      <w:lvlText w:val="☒"/>
      <w:numFmt w:val="bullet"/>
      <w:start w:val="1"/>
    </w:lvl>
  </w:abstractNum>
  <w:abstractNum w:abstractNumId="5">
    <w:nsid w:val="7FB7E0AA"/>
    <w:multiLevelType w:val="hybridMultilevel"/>
    <w:lvl w:ilvl="0">
      <w:lvlJc w:val="left"/>
      <w:lvlText w:val="☒"/>
      <w:numFmt w:val="bullet"/>
      <w:start w:val="1"/>
    </w:lvl>
  </w:abstractNum>
  <w:abstractNum w:abstractNumId="6">
    <w:nsid w:val="6EB5BD4"/>
    <w:multiLevelType w:val="hybridMultilevel"/>
    <w:lvl w:ilvl="0">
      <w:lvlJc w:val="left"/>
      <w:lvlText w:val="☒"/>
      <w:numFmt w:val="bullet"/>
      <w:start w:val="1"/>
    </w:lvl>
  </w:abstractNum>
  <w:abstractNum w:abstractNumId="7">
    <w:nsid w:val="6F6DD9AC"/>
    <w:multiLevelType w:val="hybridMultilevel"/>
    <w:lvl w:ilvl="0">
      <w:lvlJc w:val="left"/>
      <w:lvlText w:val="☐"/>
      <w:numFmt w:val="bullet"/>
      <w:start w:val="1"/>
    </w:lvl>
  </w:abstractNum>
  <w:abstractNum w:abstractNumId="8">
    <w:nsid w:val="94211F2"/>
    <w:multiLevelType w:val="hybridMultilevel"/>
    <w:lvl w:ilvl="0">
      <w:lvlJc w:val="left"/>
      <w:lvlText w:val="☐"/>
      <w:numFmt w:val="bullet"/>
      <w:start w:val="1"/>
    </w:lvl>
  </w:abstractNum>
  <w:abstractNum w:abstractNumId="9">
    <w:nsid w:val="885E1B"/>
    <w:multiLevelType w:val="hybridMultilevel"/>
    <w:lvl w:ilvl="0">
      <w:lvlJc w:val="left"/>
      <w:lvlText w:val="●"/>
      <w:numFmt w:val="bullet"/>
      <w:start w:val="1"/>
    </w:lvl>
  </w:abstractNum>
  <w:abstractNum w:abstractNumId="10">
    <w:nsid w:val="76272110"/>
    <w:multiLevelType w:val="hybridMultilevel"/>
    <w:lvl w:ilvl="0">
      <w:lvlJc w:val="left"/>
      <w:lvlText w:val="●"/>
      <w:numFmt w:val="bullet"/>
      <w:start w:val="1"/>
    </w:lvl>
  </w:abstractNum>
  <w:abstractNum w:abstractNumId="11">
    <w:nsid w:val="4C04A8AF"/>
    <w:multiLevelType w:val="hybridMultilevel"/>
    <w:lvl w:ilvl="0">
      <w:lvlJc w:val="left"/>
      <w:lvlText w:val="%1."/>
      <w:numFmt w:val="upperLetter"/>
      <w:start w:val="1"/>
    </w:lvl>
  </w:abstractNum>
  <w:abstractNum w:abstractNumId="12">
    <w:nsid w:val="1716703B"/>
    <w:multiLevelType w:val="hybridMultilevel"/>
    <w:lvl w:ilvl="0">
      <w:lvlJc w:val="left"/>
      <w:lvlText w:val="%1."/>
      <w:numFmt w:val="upperLetter"/>
      <w:start w:val="1"/>
    </w:lvl>
  </w:abstractNum>
  <w:abstractNum w:abstractNumId="13">
    <w:nsid w:val="14E17E33"/>
    <w:multiLevelType w:val="hybridMultilevel"/>
    <w:lvl w:ilvl="0">
      <w:lvlJc w:val="left"/>
      <w:lvlText w:val="%1."/>
      <w:numFmt w:val="upperLetter"/>
      <w:start w:val="1"/>
    </w:lvl>
  </w:abstractNum>
  <w:abstractNum w:abstractNumId="14">
    <w:nsid w:val="3222E7CD"/>
    <w:multiLevelType w:val="hybridMultilevel"/>
    <w:lvl w:ilvl="0">
      <w:lvlJc w:val="left"/>
      <w:lvlText w:val="●"/>
      <w:numFmt w:val="bullet"/>
      <w:start w:val="1"/>
    </w:lvl>
    <w:lvl w:ilvl="1">
      <w:lvlJc w:val="left"/>
      <w:lvlText w:val="%2."/>
      <w:numFmt w:val="lowerLetter"/>
      <w:start w:val="1"/>
    </w:lvl>
  </w:abstractNum>
  <w:abstractNum w:abstractNumId="15">
    <w:nsid w:val="74DE0EE3"/>
    <w:multiLevelType w:val="hybridMultilevel"/>
    <w:lvl w:ilvl="0">
      <w:lvlJc w:val="left"/>
      <w:lvlText w:val="●"/>
      <w:numFmt w:val="bullet"/>
      <w:start w:val="1"/>
    </w:lvl>
  </w:abstractNum>
  <w:abstractNum w:abstractNumId="16">
    <w:nsid w:val="68EBC550"/>
    <w:multiLevelType w:val="hybridMultilevel"/>
    <w:lvl w:ilvl="0">
      <w:lvlJc w:val="left"/>
      <w:lvlText w:val="●"/>
      <w:numFmt w:val="bullet"/>
      <w:start w:val="1"/>
    </w:lvl>
  </w:abstractNum>
  <w:abstractNum w:abstractNumId="17">
    <w:nsid w:val="2DF6D648"/>
    <w:multiLevelType w:val="hybridMultilevel"/>
    <w:lvl w:ilvl="0">
      <w:lvlJc w:val="left"/>
      <w:lvlText w:val="●"/>
      <w:numFmt w:val="bullet"/>
      <w:start w:val="1"/>
    </w:lvl>
  </w:abstractNum>
  <w:abstractNum w:abstractNumId="18">
    <w:nsid w:val="46B7D447"/>
    <w:multiLevelType w:val="hybridMultilevel"/>
    <w:lvl w:ilvl="0">
      <w:lvlJc w:val="left"/>
      <w:lvlText w:val="●"/>
      <w:numFmt w:val="bullet"/>
      <w:start w:val="1"/>
    </w:lvl>
  </w:abstractNum>
  <w:abstractNum w:abstractNumId="19">
    <w:nsid w:val="4A2AC315"/>
    <w:multiLevelType w:val="hybridMultilevel"/>
    <w:lvl w:ilvl="0">
      <w:lvlJc w:val="left"/>
      <w:lvlText w:val="●"/>
      <w:numFmt w:val="bullet"/>
      <w:start w:val="1"/>
    </w:lvl>
  </w:abstractNum>
  <w:abstractNum w:abstractNumId="20">
    <w:nsid w:val="39EE015C"/>
    <w:multiLevelType w:val="hybridMultilevel"/>
    <w:lvl w:ilvl="0">
      <w:lvlJc w:val="left"/>
      <w:lvlText w:val="●"/>
      <w:numFmt w:val="bullet"/>
      <w:start w:val="1"/>
    </w:lvl>
  </w:abstractNum>
  <w:abstractNum w:abstractNumId="21">
    <w:nsid w:val="57FC4FBB"/>
    <w:multiLevelType w:val="hybridMultilevel"/>
    <w:lvl w:ilvl="0">
      <w:lvlJc w:val="left"/>
      <w:lvlText w:val="●"/>
      <w:numFmt w:val="bullet"/>
      <w:start w:val="1"/>
    </w:lvl>
  </w:abstractNum>
  <w:abstractNum w:abstractNumId="22">
    <w:nsid w:val="CC1016F"/>
    <w:multiLevelType w:val="hybridMultilevel"/>
    <w:lvl w:ilvl="0">
      <w:lvlJc w:val="left"/>
      <w:lvlText w:val="●"/>
      <w:numFmt w:val="bullet"/>
      <w:start w:val="1"/>
    </w:lvl>
  </w:abstractNum>
  <w:abstractNum w:abstractNumId="23">
    <w:nsid w:val="43F18422"/>
    <w:multiLevelType w:val="hybridMultilevel"/>
    <w:lvl w:ilvl="0">
      <w:lvlJc w:val="left"/>
      <w:lvlText w:val="(%1)"/>
      <w:numFmt w:val="decimal"/>
      <w:start w:val="2"/>
    </w:lvl>
  </w:abstractNum>
  <w:abstractNum w:abstractNumId="24">
    <w:nsid w:val="60EF0119"/>
    <w:multiLevelType w:val="hybridMultilevel"/>
    <w:lvl w:ilvl="0">
      <w:lvlJc w:val="left"/>
      <w:lvlText w:val="●"/>
      <w:numFmt w:val="bullet"/>
      <w:start w:val="1"/>
    </w:lvl>
  </w:abstractNum>
  <w:abstractNum w:abstractNumId="25">
    <w:nsid w:val="26F324BA"/>
    <w:multiLevelType w:val="hybridMultilevel"/>
    <w:lvl w:ilvl="0">
      <w:lvlJc w:val="left"/>
      <w:lvlText w:val="●"/>
      <w:numFmt w:val="bullet"/>
      <w:start w:val="1"/>
    </w:lvl>
  </w:abstractNum>
  <w:abstractNum w:abstractNumId="26">
    <w:nsid w:val="7F01579B"/>
    <w:multiLevelType w:val="hybridMultilevel"/>
    <w:lvl w:ilvl="0">
      <w:lvlJc w:val="left"/>
      <w:lvlText w:val="●"/>
      <w:numFmt w:val="bullet"/>
      <w:start w:val="1"/>
    </w:lvl>
  </w:abstractNum>
  <w:abstractNum w:abstractNumId="27">
    <w:nsid w:val="49DA307D"/>
    <w:multiLevelType w:val="hybridMultilevel"/>
    <w:lvl w:ilvl="0">
      <w:lvlJc w:val="left"/>
      <w:lvlText w:val="●"/>
      <w:numFmt w:val="bullet"/>
      <w:start w:val="1"/>
    </w:lvl>
  </w:abstractNum>
  <w:abstractNum w:abstractNumId="28">
    <w:nsid w:val="7055A5F5"/>
    <w:multiLevelType w:val="hybridMultilevel"/>
    <w:lvl w:ilvl="0">
      <w:lvlJc w:val="left"/>
      <w:lvlText w:val="●"/>
      <w:numFmt w:val="bullet"/>
      <w:start w:val="1"/>
    </w:lvl>
  </w:abstractNum>
  <w:abstractNum w:abstractNumId="29">
    <w:nsid w:val="5FB8370B"/>
    <w:multiLevelType w:val="hybridMultilevel"/>
    <w:lvl w:ilvl="0">
      <w:lvlJc w:val="left"/>
      <w:lvlText w:val="●"/>
      <w:numFmt w:val="bullet"/>
      <w:start w:val="1"/>
    </w:lvl>
  </w:abstractNum>
  <w:abstractNum w:abstractNumId="30">
    <w:nsid w:val="50801EE1"/>
    <w:multiLevelType w:val="hybridMultilevel"/>
    <w:lvl w:ilvl="0">
      <w:lvlJc w:val="left"/>
      <w:lvlText w:val="●"/>
      <w:numFmt w:val="bullet"/>
      <w:start w:val="1"/>
    </w:lvl>
  </w:abstractNum>
  <w:abstractNum w:abstractNumId="31">
    <w:nsid w:val="488AC1A"/>
    <w:multiLevelType w:val="hybridMultilevel"/>
    <w:lvl w:ilvl="0">
      <w:lvlJc w:val="left"/>
      <w:lvlText w:val="●"/>
      <w:numFmt w:val="bullet"/>
      <w:start w:val="1"/>
    </w:lvl>
  </w:abstractNum>
  <w:abstractNum w:abstractNumId="32">
    <w:nsid w:val="5FB8011C"/>
    <w:multiLevelType w:val="hybridMultilevel"/>
    <w:lvl w:ilvl="0">
      <w:lvlJc w:val="left"/>
      <w:lvlText w:val="●"/>
      <w:numFmt w:val="bullet"/>
      <w:start w:val="1"/>
    </w:lvl>
  </w:abstractNum>
  <w:abstractNum w:abstractNumId="33">
    <w:nsid w:val="6AA78F7F"/>
    <w:multiLevelType w:val="hybridMultilevel"/>
    <w:lvl w:ilvl="0">
      <w:lvlJc w:val="left"/>
      <w:lvlText w:val="●"/>
      <w:numFmt w:val="bullet"/>
      <w:start w:val="1"/>
    </w:lvl>
  </w:abstractNum>
  <w:abstractNum w:abstractNumId="34">
    <w:nsid w:val="7672BD23"/>
    <w:multiLevelType w:val="hybridMultilevel"/>
    <w:lvl w:ilvl="0">
      <w:lvlJc w:val="left"/>
      <w:lvlText w:val="●"/>
      <w:numFmt w:val="bullet"/>
      <w:start w:val="1"/>
    </w:lvl>
  </w:abstractNum>
  <w:abstractNum w:abstractNumId="35">
    <w:nsid w:val="6FC75AF8"/>
    <w:multiLevelType w:val="hybridMultilevel"/>
    <w:lvl w:ilvl="0">
      <w:lvlJc w:val="left"/>
      <w:lvlText w:val="●"/>
      <w:numFmt w:val="bullet"/>
      <w:start w:val="1"/>
    </w:lvl>
  </w:abstractNum>
  <w:abstractNum w:abstractNumId="36">
    <w:nsid w:val="6A5F7029"/>
    <w:multiLevelType w:val="hybridMultilevel"/>
    <w:lvl w:ilvl="0">
      <w:lvlJc w:val="left"/>
      <w:lvlText w:val="●"/>
      <w:numFmt w:val="bullet"/>
      <w:start w:val="1"/>
    </w:lvl>
  </w:abstractNum>
  <w:abstractNum w:abstractNumId="37">
    <w:nsid w:val="7D5E18F8"/>
    <w:multiLevelType w:val="hybridMultilevel"/>
    <w:lvl w:ilvl="0">
      <w:lvlJc w:val="left"/>
      <w:lvlText w:val="●"/>
      <w:numFmt w:val="bullet"/>
      <w:start w:val="1"/>
    </w:lvl>
  </w:abstractNum>
  <w:abstractNum w:abstractNumId="38">
    <w:nsid w:val="5F3534A4"/>
    <w:multiLevelType w:val="hybridMultilevel"/>
    <w:lvl w:ilvl="0">
      <w:lvlJc w:val="left"/>
      <w:lvlText w:val="●"/>
      <w:numFmt w:val="bullet"/>
      <w:start w:val="1"/>
    </w:lvl>
  </w:abstractNum>
  <w:abstractNum w:abstractNumId="39">
    <w:nsid w:val="73A1821B"/>
    <w:multiLevelType w:val="hybridMultilevel"/>
    <w:lvl w:ilvl="0">
      <w:lvlJc w:val="left"/>
      <w:lvlText w:val="●"/>
      <w:numFmt w:val="bullet"/>
      <w:start w:val="1"/>
    </w:lvl>
  </w:abstractNum>
  <w:abstractNum w:abstractNumId="40">
    <w:nsid w:val="7DE67713"/>
    <w:multiLevelType w:val="hybridMultilevel"/>
    <w:lvl w:ilvl="0">
      <w:lvlJc w:val="left"/>
      <w:lvlText w:val="●"/>
      <w:numFmt w:val="bullet"/>
      <w:start w:val="1"/>
    </w:lvl>
  </w:abstractNum>
  <w:abstractNum w:abstractNumId="41">
    <w:nsid w:val="555C55B5"/>
    <w:multiLevelType w:val="hybridMultilevel"/>
    <w:lvl w:ilvl="0">
      <w:lvlJc w:val="left"/>
      <w:lvlText w:val="●"/>
      <w:numFmt w:val="bullet"/>
      <w:start w:val="1"/>
    </w:lvl>
  </w:abstractNum>
  <w:abstractNum w:abstractNumId="42">
    <w:nsid w:val="3FA62ACA"/>
    <w:multiLevelType w:val="hybridMultilevel"/>
    <w:lvl w:ilvl="0">
      <w:lvlJc w:val="left"/>
      <w:lvlText w:val="●"/>
      <w:numFmt w:val="bullet"/>
      <w:start w:val="1"/>
    </w:lvl>
  </w:abstractNum>
  <w:abstractNum w:abstractNumId="43">
    <w:nsid w:val="14FCE74E"/>
    <w:multiLevelType w:val="hybridMultilevel"/>
    <w:lvl w:ilvl="0">
      <w:lvlJc w:val="left"/>
      <w:lvlText w:val="●"/>
      <w:numFmt w:val="bullet"/>
      <w:start w:val="1"/>
    </w:lvl>
  </w:abstractNum>
  <w:abstractNum w:abstractNumId="44">
    <w:nsid w:val="6A3DD3E8"/>
    <w:multiLevelType w:val="hybridMultilevel"/>
    <w:lvl w:ilvl="0">
      <w:lvlJc w:val="left"/>
      <w:lvlText w:val="●"/>
      <w:numFmt w:val="bullet"/>
      <w:start w:val="1"/>
    </w:lvl>
  </w:abstractNum>
  <w:abstractNum w:abstractNumId="45">
    <w:nsid w:val="71C91298"/>
    <w:multiLevelType w:val="hybridMultilevel"/>
    <w:lvl w:ilvl="0">
      <w:lvlJc w:val="left"/>
      <w:lvlText w:val="●"/>
      <w:numFmt w:val="bullet"/>
      <w:start w:val="1"/>
    </w:lvl>
  </w:abstractNum>
  <w:abstractNum w:abstractNumId="46">
    <w:nsid w:val="9DAF632"/>
    <w:multiLevelType w:val="hybridMultilevel"/>
    <w:lvl w:ilvl="0">
      <w:lvlJc w:val="left"/>
      <w:lvlText w:val="(%1)"/>
      <w:numFmt w:val="decimal"/>
      <w:start w:val="1"/>
    </w:lvl>
  </w:abstractNum>
  <w:abstractNum w:abstractNumId="47">
    <w:nsid w:val="53299938"/>
    <w:multiLevelType w:val="hybridMultilevel"/>
    <w:lvl w:ilvl="0">
      <w:lvlJc w:val="left"/>
      <w:lvlText w:val="%1."/>
      <w:numFmt w:val="decimal"/>
      <w:start w:val="1"/>
    </w:lvl>
  </w:abstractNum>
  <w:abstractNum w:abstractNumId="48">
    <w:nsid w:val="1FBFE8E0"/>
    <w:multiLevelType w:val="hybridMultilevel"/>
    <w:lvl w:ilvl="0">
      <w:lvlJc w:val="left"/>
      <w:lvlText w:val="●"/>
      <w:numFmt w:val="bullet"/>
      <w:start w:val="1"/>
    </w:lvl>
  </w:abstractNum>
  <w:abstractNum w:abstractNumId="49">
    <w:nsid w:val="5092CA79"/>
    <w:multiLevelType w:val="hybridMultilevel"/>
    <w:lvl w:ilvl="0">
      <w:lvlJc w:val="left"/>
      <w:lvlText w:val="●"/>
      <w:numFmt w:val="bullet"/>
      <w:start w:val="1"/>
    </w:lvl>
  </w:abstractNum>
  <w:abstractNum w:abstractNumId="50">
    <w:nsid w:val="1D545C4D"/>
    <w:multiLevelType w:val="hybridMultilevel"/>
    <w:lvl w:ilvl="0">
      <w:lvlJc w:val="left"/>
      <w:lvlText w:val="●"/>
      <w:numFmt w:val="bullet"/>
      <w:start w:val="1"/>
    </w:lvl>
  </w:abstractNum>
  <w:abstractNum w:abstractNumId="51">
    <w:nsid w:val="59ADEA3D"/>
    <w:multiLevelType w:val="hybridMultilevel"/>
    <w:lvl w:ilvl="0">
      <w:lvlJc w:val="left"/>
      <w:lvlText w:val="●"/>
      <w:numFmt w:val="bullet"/>
      <w:start w:val="1"/>
    </w:lvl>
  </w:abstractNum>
  <w:abstractNum w:abstractNumId="52">
    <w:nsid w:val="288F1A34"/>
    <w:multiLevelType w:val="hybridMultilevel"/>
    <w:lvl w:ilvl="0">
      <w:lvlJc w:val="left"/>
      <w:lvlText w:val="●"/>
      <w:numFmt w:val="bullet"/>
      <w:start w:val="1"/>
    </w:lvl>
  </w:abstractNum>
  <w:abstractNum w:abstractNumId="53">
    <w:nsid w:val="2A155DBC"/>
    <w:multiLevelType w:val="hybridMultilevel"/>
    <w:lvl w:ilvl="0">
      <w:lvlJc w:val="left"/>
      <w:lvlText w:val="●"/>
      <w:numFmt w:val="bullet"/>
      <w:start w:val="1"/>
    </w:lvl>
  </w:abstractNum>
  <w:abstractNum w:abstractNumId="54">
    <w:nsid w:val="1D9F6E5F"/>
    <w:multiLevelType w:val="hybridMultilevel"/>
    <w:lvl w:ilvl="0">
      <w:lvlJc w:val="left"/>
      <w:lvlText w:val="%1."/>
      <w:numFmt w:val="decimal"/>
      <w:start w:val="2"/>
    </w:lvl>
  </w:abstractNum>
  <w:abstractNum w:abstractNumId="55">
    <w:nsid w:val="97E1B4E"/>
    <w:multiLevelType w:val="hybridMultilevel"/>
    <w:lvl w:ilvl="0">
      <w:lvlJc w:val="left"/>
      <w:lvlText w:val="(%1)"/>
      <w:numFmt w:val="decimal"/>
      <w:start w:val="1"/>
    </w:lvl>
    <w:lvl w:ilvl="1">
      <w:lvlJc w:val="left"/>
      <w:lvlText w:val="●"/>
      <w:numFmt w:val="bullet"/>
      <w:start w:val="1"/>
    </w:lvl>
  </w:abstractNum>
  <w:abstractNum w:abstractNumId="56">
    <w:nsid w:val="51088277"/>
    <w:multiLevelType w:val="hybridMultilevel"/>
    <w:lvl w:ilvl="0">
      <w:lvlJc w:val="left"/>
      <w:lvlText w:val="%1."/>
      <w:numFmt w:val="decimal"/>
      <w:start w:val="3"/>
    </w:lvl>
  </w:abstractNum>
  <w:abstractNum w:abstractNumId="57">
    <w:nsid w:val="1CA0C5FA"/>
    <w:multiLevelType w:val="hybridMultilevel"/>
    <w:lvl w:ilvl="0">
      <w:lvlJc w:val="left"/>
      <w:lvlText w:val="(%1)"/>
      <w:numFmt w:val="decimal"/>
      <w:start w:val="1"/>
    </w:lvl>
  </w:abstractNum>
  <w:abstractNum w:abstractNumId="58">
    <w:nsid w:val="53584BCB"/>
    <w:multiLevelType w:val="hybridMultilevel"/>
    <w:lvl w:ilvl="0">
      <w:lvlJc w:val="left"/>
      <w:lvlText w:val="●"/>
      <w:numFmt w:val="bullet"/>
      <w:start w:val="1"/>
    </w:lvl>
  </w:abstractNum>
  <w:abstractNum w:abstractNumId="59">
    <w:nsid w:val="415E286C"/>
    <w:multiLevelType w:val="hybridMultilevel"/>
    <w:lvl w:ilvl="0">
      <w:lvlJc w:val="left"/>
      <w:lvlText w:val="●"/>
      <w:numFmt w:val="bullet"/>
      <w:start w:val="1"/>
    </w:lvl>
  </w:abstractNum>
  <w:abstractNum w:abstractNumId="60">
    <w:nsid w:val="7C58FD05"/>
    <w:multiLevelType w:val="hybridMultilevel"/>
    <w:lvl w:ilvl="0">
      <w:lvlJc w:val="left"/>
      <w:lvlText w:val="●"/>
      <w:numFmt w:val="bullet"/>
      <w:start w:val="1"/>
    </w:lvl>
  </w:abstractNum>
  <w:abstractNum w:abstractNumId="61">
    <w:nsid w:val="23D86AAC"/>
    <w:multiLevelType w:val="hybridMultilevel"/>
    <w:lvl w:ilvl="0">
      <w:lvlJc w:val="left"/>
      <w:lvlText w:val="●"/>
      <w:numFmt w:val="bullet"/>
      <w:start w:val="1"/>
    </w:lvl>
  </w:abstractNum>
  <w:abstractNum w:abstractNumId="62">
    <w:nsid w:val="45E6D486"/>
    <w:multiLevelType w:val="hybridMultilevel"/>
    <w:lvl w:ilvl="0">
      <w:lvlJc w:val="left"/>
      <w:lvlText w:val="●"/>
      <w:numFmt w:val="bullet"/>
      <w:start w:val="1"/>
    </w:lvl>
  </w:abstractNum>
  <w:abstractNum w:abstractNumId="63">
    <w:nsid w:val="5C10FE21"/>
    <w:multiLevelType w:val="hybridMultilevel"/>
    <w:lvl w:ilvl="0">
      <w:lvlJc w:val="left"/>
      <w:lvlText w:val="(%1)"/>
      <w:numFmt w:val="decimal"/>
      <w:start w:val="1"/>
    </w:lvl>
  </w:abstractNum>
  <w:abstractNum w:abstractNumId="64">
    <w:nsid w:val="E7FFA2B"/>
    <w:multiLevelType w:val="hybridMultilevel"/>
    <w:lvl w:ilvl="0">
      <w:lvlJc w:val="left"/>
      <w:lvlText w:val="%1."/>
      <w:numFmt w:val="lowerRoman"/>
      <w:start w:val="1"/>
    </w:lvl>
  </w:abstractNum>
  <w:abstractNum w:abstractNumId="65">
    <w:nsid w:val="3C5991AA"/>
    <w:multiLevelType w:val="hybridMultilevel"/>
    <w:lvl w:ilvl="0">
      <w:lvlJc w:val="left"/>
      <w:lvlText w:val="%1."/>
      <w:numFmt w:val="lowerRoman"/>
      <w:start w:val="4"/>
    </w:lvl>
  </w:abstractNum>
  <w:abstractNum w:abstractNumId="66">
    <w:nsid w:val="4BD8591A"/>
    <w:multiLevelType w:val="hybridMultilevel"/>
    <w:lvl w:ilvl="0">
      <w:lvlJc w:val="left"/>
      <w:lvlText w:val="●"/>
      <w:numFmt w:val="bullet"/>
      <w:start w:val="1"/>
    </w:lvl>
  </w:abstractNum>
  <w:abstractNum w:abstractNumId="67">
    <w:nsid w:val="78DF6A55"/>
    <w:multiLevelType w:val="hybridMultilevel"/>
    <w:lvl w:ilvl="0">
      <w:lvlJc w:val="left"/>
      <w:lvlText w:val="●"/>
      <w:numFmt w:val="bullet"/>
      <w:start w:val="1"/>
    </w:lvl>
  </w:abstractNum>
  <w:abstractNum w:abstractNumId="68">
    <w:nsid w:val="39B7AAA2"/>
    <w:multiLevelType w:val="hybridMultilevel"/>
    <w:lvl w:ilvl="0">
      <w:lvlJc w:val="left"/>
      <w:lvlText w:val="(%1)"/>
      <w:numFmt w:val="decimal"/>
      <w:start w:val="1"/>
    </w:lvl>
  </w:abstractNum>
  <w:abstractNum w:abstractNumId="69">
    <w:nsid w:val="2B0D8DBE"/>
    <w:multiLevelType w:val="hybridMultilevel"/>
    <w:lvl w:ilvl="0">
      <w:lvlJc w:val="left"/>
      <w:lvlText w:val="(%1)"/>
      <w:numFmt w:val="decimal"/>
      <w:start w:val="1"/>
    </w:lvl>
  </w:abstractNum>
  <w:abstractNum w:abstractNumId="70">
    <w:nsid w:val="6C80EC70"/>
    <w:multiLevelType w:val="hybridMultilevel"/>
    <w:lvl w:ilvl="0">
      <w:lvlJc w:val="left"/>
      <w:lvlText w:val="(%1)"/>
      <w:numFmt w:val="decimal"/>
      <w:start w:val="1"/>
    </w:lvl>
  </w:abstractNum>
  <w:abstractNum w:abstractNumId="71">
    <w:nsid w:val="379E21B5"/>
    <w:multiLevelType w:val="hybridMultilevel"/>
    <w:lvl w:ilvl="0">
      <w:lvlJc w:val="left"/>
      <w:lvlText w:val="(%1)"/>
      <w:numFmt w:val="decimal"/>
      <w:start w:val="9"/>
    </w:lvl>
  </w:abstractNum>
  <w:abstractNum w:abstractNumId="72">
    <w:nsid w:val="69E373"/>
    <w:multiLevelType w:val="hybridMultilevel"/>
    <w:lvl w:ilvl="0">
      <w:lvlJc w:val="left"/>
      <w:lvlText w:val="(%1)"/>
      <w:numFmt w:val="decimal"/>
      <w:start w:val="1"/>
    </w:lvl>
  </w:abstractNum>
  <w:abstractNum w:abstractNumId="73">
    <w:nsid w:val="2C27173B"/>
    <w:multiLevelType w:val="hybridMultilevel"/>
    <w:lvl w:ilvl="0">
      <w:lvlJc w:val="left"/>
      <w:lvlText w:val="●"/>
      <w:numFmt w:val="bullet"/>
      <w:start w:val="1"/>
    </w:lvl>
  </w:abstractNum>
  <w:abstractNum w:abstractNumId="74">
    <w:nsid w:val="4C9B0904"/>
    <w:multiLevelType w:val="hybridMultilevel"/>
    <w:lvl w:ilvl="0">
      <w:lvlJc w:val="left"/>
      <w:lvlText w:val="●"/>
      <w:numFmt w:val="bullet"/>
      <w:start w:val="1"/>
    </w:lvl>
  </w:abstractNum>
  <w:abstractNum w:abstractNumId="75">
    <w:nsid w:val="6AA7B75C"/>
    <w:multiLevelType w:val="hybridMultilevel"/>
    <w:lvl w:ilvl="0">
      <w:lvlJc w:val="left"/>
      <w:lvlText w:val="●"/>
      <w:numFmt w:val="bullet"/>
      <w:start w:val="1"/>
    </w:lvl>
  </w:abstractNum>
  <w:abstractNum w:abstractNumId="76">
    <w:nsid w:val="1DF029D3"/>
    <w:multiLevelType w:val="hybridMultilevel"/>
    <w:lvl w:ilvl="0">
      <w:lvlJc w:val="left"/>
      <w:lvlText w:val="●"/>
      <w:numFmt w:val="bullet"/>
      <w:start w:val="1"/>
    </w:lvl>
  </w:abstractNum>
  <w:abstractNum w:abstractNumId="77">
    <w:nsid w:val="5675FF36"/>
    <w:multiLevelType w:val="hybridMultilevel"/>
    <w:lvl w:ilvl="0">
      <w:lvlJc w:val="left"/>
      <w:lvlText w:val="●"/>
      <w:numFmt w:val="bullet"/>
      <w:start w:val="1"/>
    </w:lvl>
  </w:abstractNum>
  <w:abstractNum w:abstractNumId="78">
    <w:nsid w:val="3DD15094"/>
    <w:multiLevelType w:val="hybridMultilevel"/>
    <w:lvl w:ilvl="0">
      <w:lvlJc w:val="left"/>
      <w:lvlText w:val="●"/>
      <w:numFmt w:val="bullet"/>
      <w:start w:val="1"/>
    </w:lvl>
  </w:abstractNum>
  <w:abstractNum w:abstractNumId="79">
    <w:nsid w:val="3DB012B3"/>
    <w:multiLevelType w:val="hybridMultilevel"/>
    <w:lvl w:ilvl="0">
      <w:lvlJc w:val="left"/>
      <w:lvlText w:val="●"/>
      <w:numFmt w:val="bullet"/>
      <w:start w:val="1"/>
    </w:lvl>
  </w:abstractNum>
  <w:abstractNum w:abstractNumId="80">
    <w:nsid w:val="2708C9AF"/>
    <w:multiLevelType w:val="hybridMultilevel"/>
    <w:lvl w:ilvl="0">
      <w:lvlJc w:val="left"/>
      <w:lvlText w:val="●"/>
      <w:numFmt w:val="bullet"/>
      <w:start w:val="1"/>
    </w:lvl>
  </w:abstractNum>
  <w:abstractNum w:abstractNumId="81">
    <w:nsid w:val="5B25ACE2"/>
    <w:multiLevelType w:val="hybridMultilevel"/>
    <w:lvl w:ilvl="0">
      <w:lvlJc w:val="left"/>
      <w:lvlText w:val="%1."/>
      <w:numFmt w:val="upperLetter"/>
      <w:start w:val="1"/>
    </w:lvl>
  </w:abstractNum>
  <w:abstractNum w:abstractNumId="82">
    <w:nsid w:val="175DFCF0"/>
    <w:multiLevelType w:val="hybridMultilevel"/>
    <w:lvl w:ilvl="0">
      <w:lvlJc w:val="left"/>
      <w:lvlText w:val="●"/>
      <w:numFmt w:val="bullet"/>
      <w:start w:val="1"/>
    </w:lvl>
  </w:abstractNum>
  <w:abstractNum w:abstractNumId="83">
    <w:nsid w:val="4F97E3E4"/>
    <w:multiLevelType w:val="hybridMultilevel"/>
    <w:lvl w:ilvl="0">
      <w:lvlJc w:val="left"/>
      <w:lvlText w:val="●"/>
      <w:numFmt w:val="bullet"/>
      <w:start w:val="1"/>
    </w:lvl>
  </w:abstractNum>
  <w:abstractNum w:abstractNumId="84">
    <w:nsid w:val="53B0A9E"/>
    <w:multiLevelType w:val="hybridMultilevel"/>
    <w:lvl w:ilvl="0">
      <w:lvlJc w:val="left"/>
      <w:lvlText w:val="●"/>
      <w:numFmt w:val="bullet"/>
      <w:start w:val="1"/>
    </w:lvl>
  </w:abstractNum>
  <w:abstractNum w:abstractNumId="85">
    <w:nsid w:val="34FD6B4F"/>
    <w:multiLevelType w:val="hybridMultilevel"/>
    <w:lvl w:ilvl="0">
      <w:lvlJc w:val="left"/>
      <w:lvlText w:val="●"/>
      <w:numFmt w:val="bullet"/>
      <w:start w:val="1"/>
    </w:lvl>
  </w:abstractNum>
  <w:abstractNum w:abstractNumId="86">
    <w:nsid w:val="5915FF32"/>
    <w:multiLevelType w:val="hybridMultilevel"/>
    <w:lvl w:ilvl="0">
      <w:lvlJc w:val="left"/>
      <w:lvlText w:val="●"/>
      <w:numFmt w:val="bullet"/>
      <w:start w:val="1"/>
    </w:lvl>
  </w:abstractNum>
  <w:abstractNum w:abstractNumId="87">
    <w:nsid w:val="56438D15"/>
    <w:multiLevelType w:val="hybridMultilevel"/>
    <w:lvl w:ilvl="0">
      <w:lvlJc w:val="left"/>
      <w:lvlText w:val="(%1)"/>
      <w:numFmt w:val="lowerRoman"/>
      <w:start w:val="1"/>
    </w:lvl>
  </w:abstractNum>
  <w:abstractNum w:abstractNumId="88">
    <w:nsid w:val="519E3149"/>
    <w:multiLevelType w:val="hybridMultilevel"/>
    <w:lvl w:ilvl="0">
      <w:lvlJc w:val="left"/>
      <w:lvlText w:val="(%1)"/>
      <w:numFmt w:val="lowerRoman"/>
      <w:start w:val="1"/>
    </w:lvl>
  </w:abstractNum>
  <w:abstractNum w:abstractNumId="89">
    <w:nsid w:val="2C6E4AFD"/>
    <w:multiLevelType w:val="hybridMultilevel"/>
    <w:lvl w:ilvl="0">
      <w:lvlJc w:val="left"/>
      <w:lvlText w:val="●"/>
      <w:numFmt w:val="bullet"/>
      <w:start w:val="1"/>
    </w:lvl>
  </w:abstractNum>
  <w:abstractNum w:abstractNumId="90">
    <w:nsid w:val="17A1B582"/>
    <w:multiLevelType w:val="hybridMultilevel"/>
    <w:lvl w:ilvl="0">
      <w:lvlJc w:val="left"/>
      <w:lvlText w:val="●"/>
      <w:numFmt w:val="bullet"/>
      <w:start w:val="1"/>
    </w:lvl>
  </w:abstractNum>
  <w:abstractNum w:abstractNumId="91">
    <w:nsid w:val="4DF72E4E"/>
    <w:multiLevelType w:val="hybridMultilevel"/>
    <w:lvl w:ilvl="0">
      <w:lvlJc w:val="left"/>
      <w:lvlText w:val="●"/>
      <w:numFmt w:val="bullet"/>
      <w:start w:val="1"/>
    </w:lvl>
  </w:abstractNum>
  <w:abstractNum w:abstractNumId="92">
    <w:nsid w:val="5046B5A9"/>
    <w:multiLevelType w:val="hybridMultilevel"/>
    <w:lvl w:ilvl="0">
      <w:lvlJc w:val="left"/>
      <w:lvlText w:val="●"/>
      <w:numFmt w:val="bullet"/>
      <w:start w:val="1"/>
    </w:lvl>
  </w:abstractNum>
  <w:abstractNum w:abstractNumId="93">
    <w:nsid w:val="5D888A08"/>
    <w:multiLevelType w:val="hybridMultilevel"/>
    <w:lvl w:ilvl="0">
      <w:lvlJc w:val="left"/>
      <w:lvlText w:val="%1."/>
      <w:numFmt w:val="upperLetter"/>
      <w:start w:val="2"/>
    </w:lvl>
  </w:abstractNum>
  <w:abstractNum w:abstractNumId="94">
    <w:nsid w:val="2A082C70"/>
    <w:multiLevelType w:val="hybridMultilevel"/>
    <w:lvl w:ilvl="0">
      <w:lvlJc w:val="left"/>
      <w:lvlText w:val="·"/>
      <w:numFmt w:val="bullet"/>
      <w:start w:val="1"/>
    </w:lvl>
  </w:abstractNum>
  <w:abstractNum w:abstractNumId="95">
    <w:nsid w:val="5EC6AFD4"/>
    <w:multiLevelType w:val="hybridMultilevel"/>
    <w:lvl w:ilvl="0">
      <w:lvlJc w:val="left"/>
      <w:lvlText w:val="·"/>
      <w:numFmt w:val="bullet"/>
      <w:start w:val="1"/>
    </w:lvl>
  </w:abstractNum>
  <w:abstractNum w:abstractNumId="96">
    <w:nsid w:val="19E21BB2"/>
    <w:multiLevelType w:val="hybridMultilevel"/>
    <w:lvl w:ilvl="0">
      <w:lvlJc w:val="left"/>
      <w:lvlText w:val="%1."/>
      <w:numFmt w:val="upperLetter"/>
      <w:start w:val="4"/>
    </w:lvl>
  </w:abstractNum>
  <w:abstractNum w:abstractNumId="97">
    <w:nsid w:val="75E0858A"/>
    <w:multiLevelType w:val="hybridMultilevel"/>
    <w:lvl w:ilvl="0">
      <w:lvlJc w:val="left"/>
      <w:lvlText w:val="&amp;"/>
      <w:numFmt w:val="bullet"/>
      <w:start w:val="1"/>
    </w:lvl>
  </w:abstractNum>
  <w:abstractNum w:abstractNumId="98">
    <w:nsid w:val="57A61A29"/>
    <w:multiLevelType w:val="hybridMultilevel"/>
    <w:lvl w:ilvl="0">
      <w:lvlJc w:val="left"/>
      <w:lvlText w:val="%1."/>
      <w:numFmt w:val="upperLetter"/>
      <w:start w:val="3"/>
    </w:lvl>
  </w:abstractNum>
  <w:abstractNum w:abstractNumId="99">
    <w:nsid w:val="5399C654"/>
    <w:multiLevelType w:val="hybridMultilevel"/>
    <w:lvl w:ilvl="0">
      <w:lvlJc w:val="left"/>
      <w:lvlText w:val="●"/>
      <w:numFmt w:val="bullet"/>
      <w:start w:val="1"/>
    </w:lvl>
  </w:abstractNum>
  <w:abstractNum w:abstractNumId="100">
    <w:nsid w:val="20EE1348"/>
    <w:multiLevelType w:val="hybridMultilevel"/>
    <w:lvl w:ilvl="0">
      <w:lvlJc w:val="left"/>
      <w:lvlText w:val="●"/>
      <w:numFmt w:val="bullet"/>
      <w:start w:val="1"/>
    </w:lvl>
  </w:abstractNum>
  <w:abstractNum w:abstractNumId="101">
    <w:nsid w:val="4427069A"/>
    <w:multiLevelType w:val="hybridMultilevel"/>
    <w:lvl w:ilvl="0">
      <w:lvlJc w:val="left"/>
      <w:lvlText w:val="●"/>
      <w:numFmt w:val="bullet"/>
      <w:start w:val="1"/>
    </w:lvl>
  </w:abstractNum>
  <w:abstractNum w:abstractNumId="102">
    <w:nsid w:val="B37E80A"/>
    <w:multiLevelType w:val="hybridMultilevel"/>
    <w:lvl w:ilvl="0">
      <w:lvlJc w:val="left"/>
      <w:lvlText w:val="%1."/>
      <w:numFmt w:val="upperLetter"/>
      <w:start w:val="5"/>
    </w:lvl>
  </w:abstractNum>
  <w:abstractNum w:abstractNumId="103">
    <w:nsid w:val="2157F6BC"/>
    <w:multiLevelType w:val="hybridMultilevel"/>
    <w:lvl w:ilvl="0">
      <w:lvlJc w:val="left"/>
      <w:lvlText w:val="●"/>
      <w:numFmt w:val="bullet"/>
      <w:start w:val="1"/>
    </w:lvl>
  </w:abstractNum>
  <w:abstractNum w:abstractNumId="104">
    <w:nsid w:val="704E1DD5"/>
    <w:multiLevelType w:val="hybridMultilevel"/>
    <w:lvl w:ilvl="0">
      <w:lvlJc w:val="left"/>
      <w:lvlText w:val="*"/>
      <w:numFmt w:val="bullet"/>
      <w:start w:val="1"/>
    </w:lvl>
  </w:abstractNum>
  <w:abstractNum w:abstractNumId="105">
    <w:nsid w:val="57D2F10E"/>
    <w:multiLevelType w:val="hybridMultilevel"/>
    <w:lvl w:ilvl="0">
      <w:lvlJc w:val="left"/>
      <w:lvlText w:val="%1."/>
      <w:numFmt w:val="upperLetter"/>
      <w:start w:val="3"/>
    </w:lvl>
  </w:abstractNum>
  <w:abstractNum w:abstractNumId="106">
    <w:nsid w:val="BFFAE18"/>
    <w:multiLevelType w:val="hybridMultilevel"/>
    <w:lvl w:ilvl="0">
      <w:lvlJc w:val="left"/>
      <w:lvlText w:val="%1."/>
      <w:numFmt w:val="upperLetter"/>
      <w:start w:val="1"/>
    </w:lvl>
  </w:abstractNum>
  <w:abstractNum w:abstractNumId="107">
    <w:nsid w:val="E3E47A8"/>
    <w:multiLevelType w:val="hybridMultilevel"/>
    <w:lvl w:ilvl="0">
      <w:lvlJc w:val="left"/>
      <w:lvlText w:val="%1."/>
      <w:numFmt w:val="upperLetter"/>
      <w:start w:val="1"/>
    </w:lvl>
  </w:abstractNum>
  <w:abstractNum w:abstractNumId="108">
    <w:nsid w:val="2E48F044"/>
    <w:multiLevelType w:val="hybridMultilevel"/>
    <w:lvl w:ilvl="0">
      <w:lvlJc w:val="left"/>
      <w:lvlText w:val="%1."/>
      <w:numFmt w:val="upperLetter"/>
      <w:start w:val="1"/>
    </w:lvl>
  </w:abstractNum>
  <w:abstractNum w:abstractNumId="109">
    <w:nsid w:val="49D0FEAC"/>
    <w:multiLevelType w:val="hybridMultilevel"/>
    <w:lvl w:ilvl="0">
      <w:lvlJc w:val="left"/>
      <w:lvlText w:val="●"/>
      <w:numFmt w:val="bullet"/>
      <w:start w:val="1"/>
    </w:lvl>
  </w:abstractNum>
  <w:abstractNum w:abstractNumId="110">
    <w:nsid w:val="4BEE5A5B"/>
    <w:multiLevelType w:val="hybridMultilevel"/>
    <w:lvl w:ilvl="0">
      <w:lvlJc w:val="left"/>
      <w:lvlText w:val="●"/>
      <w:numFmt w:val="bullet"/>
      <w:start w:val="1"/>
    </w:lvl>
  </w:abstractNum>
  <w:abstractNum w:abstractNumId="111">
    <w:nsid w:val="5551B9F3"/>
    <w:multiLevelType w:val="hybridMultilevel"/>
    <w:lvl w:ilvl="0">
      <w:lvlJc w:val="left"/>
      <w:lvlText w:val="%1."/>
      <w:numFmt w:val="upperLetter"/>
      <w:start w:val="6"/>
    </w:lvl>
  </w:abstractNum>
  <w:abstractNum w:abstractNumId="112">
    <w:nsid w:val="24F6AB8E"/>
    <w:multiLevelType w:val="hybridMultilevel"/>
    <w:lvl w:ilvl="0">
      <w:lvlJc w:val="left"/>
      <w:lvlText w:val="%1."/>
      <w:numFmt w:val="upperLetter"/>
      <w:start w:val="9"/>
    </w:lvl>
  </w:abstractNum>
  <w:abstractNum w:abstractNumId="113">
    <w:nsid w:val="634C574C"/>
    <w:multiLevelType w:val="hybridMultilevel"/>
    <w:lvl w:ilvl="0">
      <w:lvlJc w:val="left"/>
      <w:lvlText w:val="%1."/>
      <w:numFmt w:val="upperLetter"/>
      <w:start w:val="1"/>
    </w:lvl>
  </w:abstractNum>
  <w:abstractNum w:abstractNumId="114">
    <w:nsid w:val="24E99DD7"/>
    <w:multiLevelType w:val="hybridMultilevel"/>
    <w:lvl w:ilvl="0">
      <w:lvlJc w:val="left"/>
      <w:lvlText w:val="%1."/>
      <w:numFmt w:val="upperLetter"/>
      <w:start w:val="1"/>
    </w:lvl>
  </w:abstractNum>
  <w:abstractNum w:abstractNumId="115">
    <w:nsid w:val="2A31B62D"/>
    <w:multiLevelType w:val="hybridMultilevel"/>
    <w:lvl w:ilvl="0">
      <w:lvlJc w:val="left"/>
      <w:lvlText w:val="(%1)"/>
      <w:numFmt w:val="lowerRoman"/>
      <w:start w:val="3"/>
    </w:lvl>
  </w:abstractNum>
  <w:abstractNum w:abstractNumId="116">
    <w:nsid w:val="1849C29B"/>
    <w:multiLevelType w:val="hybridMultilevel"/>
    <w:lvl w:ilvl="0">
      <w:lvlJc w:val="left"/>
      <w:lvlText w:val="*"/>
      <w:numFmt w:val="bullet"/>
      <w:start w:val="1"/>
    </w:lvl>
    <w:lvl w:ilvl="1">
      <w:lvlJc w:val="left"/>
      <w:lvlText w:val="(%2)"/>
      <w:numFmt w:val="lowerLetter"/>
      <w:start w:val="2"/>
    </w:lvl>
  </w:abstractNum>
  <w:abstractNum w:abstractNumId="117">
    <w:nsid w:val="7DFF9D09"/>
    <w:multiLevelType w:val="hybridMultilevel"/>
    <w:lvl w:ilvl="0">
      <w:lvlJc w:val="left"/>
      <w:lvlText w:val="(%1)"/>
      <w:numFmt w:val="lowerRoman"/>
      <w:start w:val="1"/>
    </w:lvl>
  </w:abstractNum>
  <w:abstractNum w:abstractNumId="118">
    <w:nsid w:val="754342"/>
    <w:multiLevelType w:val="hybridMultilevel"/>
    <w:lvl w:ilvl="0">
      <w:lvlJc w:val="left"/>
      <w:lvlText w:val="%1."/>
      <w:numFmt w:val="decimal"/>
      <w:start w:val="1"/>
    </w:lvl>
  </w:abstractNum>
  <w:abstractNum w:abstractNumId="119">
    <w:nsid w:val="69E7F3E5"/>
    <w:multiLevelType w:val="hybridMultilevel"/>
    <w:lvl w:ilvl="0">
      <w:lvlJc w:val="left"/>
      <w:lvlText w:val="%1."/>
      <w:numFmt w:val="decimal"/>
      <w:start w:val="2"/>
    </w:lvl>
  </w:abstractNum>
  <w:abstractNum w:abstractNumId="120">
    <w:nsid w:val="2A6DE806"/>
    <w:multiLevelType w:val="hybridMultilevel"/>
    <w:lvl w:ilvl="0">
      <w:lvlJc w:val="left"/>
      <w:lvlText w:val="%1."/>
      <w:numFmt w:val="decimal"/>
      <w:start w:val="3"/>
    </w:lvl>
  </w:abstractNum>
  <w:abstractNum w:abstractNumId="121">
    <w:nsid w:val="1816F8C4"/>
    <w:multiLevelType w:val="hybridMultilevel"/>
    <w:lvl w:ilvl="0">
      <w:lvlJc w:val="left"/>
      <w:lvlText w:val="%1."/>
      <w:numFmt w:val="lowerRoman"/>
      <w:start w:val="1"/>
    </w:lvl>
  </w:abstractNum>
  <w:abstractNum w:abstractNumId="122">
    <w:nsid w:val="37DF2233"/>
    <w:multiLevelType w:val="hybridMultilevel"/>
    <w:lvl w:ilvl="0">
      <w:lvlJc w:val="left"/>
      <w:lvlText w:val="(%1)"/>
      <w:numFmt w:val="lowerRoman"/>
      <w:start w:val="5"/>
    </w:lvl>
  </w:abstractNum>
  <w:abstractNum w:abstractNumId="123">
    <w:nsid w:val="7AB49DAF"/>
    <w:multiLevelType w:val="hybridMultilevel"/>
    <w:lvl w:ilvl="0">
      <w:lvlJc w:val="left"/>
      <w:lvlText w:val="●"/>
      <w:numFmt w:val="bullet"/>
      <w:start w:val="1"/>
    </w:lvl>
  </w:abstractNum>
  <w:abstractNum w:abstractNumId="124">
    <w:nsid w:val="759F82CD"/>
    <w:multiLevelType w:val="hybridMultilevel"/>
    <w:lvl w:ilvl="0">
      <w:lvlJc w:val="left"/>
      <w:lvlText w:val="%1."/>
      <w:numFmt w:val="decimal"/>
      <w:start w:val="4"/>
    </w:lvl>
  </w:abstractNum>
  <w:abstractNum w:abstractNumId="125">
    <w:nsid w:val="61E74EA3"/>
    <w:multiLevelType w:val="hybridMultilevel"/>
    <w:lvl w:ilvl="0">
      <w:lvlJc w:val="left"/>
      <w:lvlText w:val="%1."/>
      <w:numFmt w:val="decimal"/>
      <w:start w:val="5"/>
    </w:lvl>
  </w:abstractNum>
  <w:abstractNum w:abstractNumId="126">
    <w:nsid w:val="597B4D84"/>
    <w:multiLevelType w:val="hybridMultilevel"/>
    <w:lvl w:ilvl="0">
      <w:lvlJc w:val="left"/>
      <w:lvlText w:val="%1."/>
      <w:numFmt w:val="decimal"/>
      <w:start w:val="6"/>
    </w:lvl>
  </w:abstractNum>
  <w:abstractNum w:abstractNumId="127">
    <w:nsid w:val="F819E7F"/>
    <w:multiLevelType w:val="hybridMultilevel"/>
    <w:lvl w:ilvl="0">
      <w:lvlJc w:val="left"/>
      <w:lvlText w:val="●"/>
      <w:numFmt w:val="bullet"/>
      <w:start w:val="1"/>
    </w:lvl>
  </w:abstractNum>
  <w:abstractNum w:abstractNumId="128">
    <w:nsid w:val="57C7D42D"/>
    <w:multiLevelType w:val="hybridMultilevel"/>
    <w:lvl w:ilvl="0">
      <w:lvlJc w:val="left"/>
      <w:lvlText w:val="%1."/>
      <w:numFmt w:val="decimal"/>
      <w:start w:val="7"/>
    </w:lvl>
  </w:abstractNum>
  <w:abstractNum w:abstractNumId="129">
    <w:nsid w:val="312167AD"/>
    <w:multiLevelType w:val="hybridMultilevel"/>
    <w:lvl w:ilvl="0">
      <w:lvlJc w:val="left"/>
      <w:lvlText w:val="%1."/>
      <w:numFmt w:val="decimal"/>
      <w:start w:val="9"/>
    </w:lvl>
  </w:abstractNum>
  <w:abstractNum w:abstractNumId="130">
    <w:nsid w:val="631B64D4"/>
    <w:multiLevelType w:val="hybridMultilevel"/>
    <w:lvl w:ilvl="0">
      <w:lvlJc w:val="left"/>
      <w:lvlText w:val="(%1)"/>
      <w:numFmt w:val="lowerRoman"/>
      <w:start w:val="2"/>
    </w:lvl>
  </w:abstractNum>
  <w:abstractNum w:abstractNumId="131">
    <w:nsid w:val="78B5E776"/>
    <w:multiLevelType w:val="hybridMultilevel"/>
    <w:lvl w:ilvl="0">
      <w:lvlJc w:val="left"/>
      <w:lvlText w:val="%1."/>
      <w:numFmt w:val="decimal"/>
      <w:start w:val="18"/>
    </w:lvl>
  </w:abstractNum>
  <w:abstractNum w:abstractNumId="132">
    <w:nsid w:val="75486E47"/>
    <w:multiLevelType w:val="hybridMultilevel"/>
    <w:lvl w:ilvl="0">
      <w:lvlJc w:val="left"/>
      <w:lvlText w:val="●"/>
      <w:numFmt w:val="bullet"/>
      <w:start w:val="1"/>
    </w:lvl>
  </w:abstractNum>
  <w:abstractNum w:abstractNumId="133">
    <w:nsid w:val="6E534CDE"/>
    <w:multiLevelType w:val="hybridMultilevel"/>
    <w:lvl w:ilvl="0">
      <w:lvlJc w:val="left"/>
      <w:lvlText w:val="●"/>
      <w:numFmt w:val="bullet"/>
      <w:start w:val="1"/>
    </w:lvl>
  </w:abstractNum>
  <w:abstractNum w:abstractNumId="134">
    <w:nsid w:val="1A0DDE32"/>
    <w:multiLevelType w:val="hybridMultilevel"/>
    <w:lvl w:ilvl="0">
      <w:lvlJc w:val="left"/>
      <w:lvlText w:val="●"/>
      <w:numFmt w:val="bullet"/>
      <w:start w:val="1"/>
    </w:lvl>
  </w:abstractNum>
  <w:abstractNum w:abstractNumId="135">
    <w:nsid w:val="65968C1C"/>
    <w:multiLevelType w:val="hybridMultilevel"/>
    <w:lvl w:ilvl="0">
      <w:lvlJc w:val="left"/>
      <w:lvlText w:val="●"/>
      <w:numFmt w:val="bullet"/>
      <w:start w:val="1"/>
    </w:lvl>
  </w:abstractNum>
  <w:abstractNum w:abstractNumId="136">
    <w:nsid w:val="46263DEC"/>
    <w:multiLevelType w:val="hybridMultilevel"/>
    <w:lvl w:ilvl="0">
      <w:lvlJc w:val="left"/>
      <w:lvlText w:val="●"/>
      <w:numFmt w:val="bullet"/>
      <w:start w:val="1"/>
    </w:lvl>
  </w:abstractNum>
  <w:abstractNum w:abstractNumId="137">
    <w:nsid w:val="260D8C4A"/>
    <w:multiLevelType w:val="hybridMultilevel"/>
    <w:lvl w:ilvl="0">
      <w:lvlJc w:val="left"/>
      <w:lvlText w:val="●"/>
      <w:numFmt w:val="bullet"/>
      <w:start w:val="1"/>
    </w:lvl>
  </w:abstractNum>
  <w:abstractNum w:abstractNumId="138">
    <w:nsid w:val="73D4D3C4"/>
    <w:multiLevelType w:val="hybridMultilevel"/>
    <w:lvl w:ilvl="0">
      <w:lvlJc w:val="left"/>
      <w:lvlText w:val="●"/>
      <w:numFmt w:val="bullet"/>
      <w:start w:val="1"/>
    </w:lvl>
  </w:abstractNum>
  <w:abstractNum w:abstractNumId="139">
    <w:nsid w:val="746F2E30"/>
    <w:multiLevelType w:val="hybridMultilevel"/>
    <w:lvl w:ilvl="0">
      <w:lvlJc w:val="left"/>
      <w:lvlText w:val="●"/>
      <w:numFmt w:val="bullet"/>
      <w:start w:val="1"/>
    </w:lvl>
  </w:abstractNum>
  <w:abstractNum w:abstractNumId="140">
    <w:nsid w:val="6FDE8AF6"/>
    <w:multiLevelType w:val="hybridMultilevel"/>
    <w:lvl w:ilvl="0">
      <w:lvlJc w:val="left"/>
      <w:lvlText w:val="●"/>
      <w:numFmt w:val="bullet"/>
      <w:start w:val="1"/>
    </w:lvl>
  </w:abstractNum>
  <w:abstractNum w:abstractNumId="141">
    <w:nsid w:val="3FC32E20"/>
    <w:multiLevelType w:val="hybridMultilevel"/>
    <w:lvl w:ilvl="0">
      <w:lvlJc w:val="left"/>
      <w:lvlText w:val="%1."/>
      <w:numFmt w:val="upperLetter"/>
      <w:start w:val="1"/>
    </w:lvl>
  </w:abstractNum>
  <w:abstractNum w:abstractNumId="142">
    <w:nsid w:val="49C0E823"/>
    <w:multiLevelType w:val="hybridMultilevel"/>
    <w:lvl w:ilvl="0">
      <w:lvlJc w:val="left"/>
      <w:lvlText w:val="%1."/>
      <w:numFmt w:val="upperLetter"/>
      <w:start w:val="2"/>
    </w:lvl>
  </w:abstractNum>
  <w:abstractNum w:abstractNumId="143">
    <w:nsid w:val="14D53685"/>
    <w:multiLevelType w:val="hybridMultilevel"/>
    <w:lvl w:ilvl="0">
      <w:lvlJc w:val="left"/>
      <w:lvlText w:val="%1."/>
      <w:numFmt w:val="upperLetter"/>
      <w:start w:val="3"/>
    </w:lvl>
  </w:abstractNum>
  <w:abstractNum w:abstractNumId="144">
    <w:nsid w:val="230F856C"/>
    <w:multiLevelType w:val="hybridMultilevel"/>
    <w:lvl w:ilvl="0">
      <w:lvlJc w:val="left"/>
      <w:lvlText w:val="%1."/>
      <w:numFmt w:val="upperLetter"/>
      <w:start w:val="4"/>
    </w:lvl>
  </w:abstractNum>
  <w:abstractNum w:abstractNumId="145">
    <w:nsid w:val="6EAA85FB"/>
    <w:multiLevelType w:val="hybridMultilevel"/>
    <w:lvl w:ilvl="0">
      <w:lvlJc w:val="left"/>
      <w:lvlText w:val="%1."/>
      <w:numFmt w:val="upperLetter"/>
      <w:start w:val="5"/>
    </w:lvl>
  </w:abstractNum>
  <w:abstractNum w:abstractNumId="146">
    <w:nsid w:val="3F06ECB2"/>
    <w:multiLevelType w:val="hybridMultilevel"/>
    <w:lvl w:ilvl="0">
      <w:lvlJc w:val="left"/>
      <w:lvlText w:val="%1."/>
      <w:numFmt w:val="upperLetter"/>
      <w:start w:val="6"/>
    </w:lvl>
  </w:abstractNum>
  <w:abstractNum w:abstractNumId="147">
    <w:nsid w:val="3B594807"/>
    <w:multiLevelType w:val="hybridMultilevel"/>
    <w:lvl w:ilvl="0">
      <w:lvlJc w:val="left"/>
      <w:lvlText w:val="%1."/>
      <w:numFmt w:val="upperLetter"/>
      <w:start w:val="7"/>
    </w:lvl>
  </w:abstractNum>
  <w:abstractNum w:abstractNumId="148">
    <w:nsid w:val="6CAA2304"/>
    <w:multiLevelType w:val="hybridMultilevel"/>
    <w:lvl w:ilvl="0">
      <w:lvlJc w:val="left"/>
      <w:lvlText w:val="%1."/>
      <w:numFmt w:val="decimal"/>
      <w:start w:val="1"/>
    </w:lvl>
  </w:abstractNum>
  <w:abstractNum w:abstractNumId="149">
    <w:nsid w:val="3F7C2FF4"/>
    <w:multiLevelType w:val="hybridMultilevel"/>
    <w:lvl w:ilvl="0">
      <w:lvlJc w:val="left"/>
      <w:lvlText w:val="%1"/>
      <w:numFmt w:val="upperLetter"/>
      <w:start w:val="1"/>
    </w:lvl>
    <w:lvl w:ilvl="1">
      <w:lvlJc w:val="left"/>
      <w:lvlText w:val="%2."/>
      <w:numFmt w:val="decimal"/>
      <w:start w:val="4"/>
    </w:lvl>
    <w:lvl w:ilvl="2">
      <w:lvlJc w:val="left"/>
      <w:lvlText w:val="%3"/>
      <w:numFmt w:val="lowerRoman"/>
      <w:start w:val="1"/>
    </w:lvl>
  </w:abstractNum>
  <w:abstractNum w:abstractNumId="150">
    <w:nsid w:val="25413BEC"/>
    <w:multiLevelType w:val="hybridMultilevel"/>
    <w:lvl w:ilvl="0">
      <w:lvlJc w:val="left"/>
      <w:lvlText w:val="%1."/>
      <w:numFmt w:val="upperLetter"/>
      <w:start w:val="8"/>
    </w:lvl>
    <w:lvl w:ilvl="1">
      <w:lvlJc w:val="left"/>
      <w:lvlText w:val="%2"/>
      <w:numFmt w:val="decimal"/>
      <w:start w:val="1"/>
    </w:lvl>
    <w:lvl w:ilvl="2">
      <w:lvlJc w:val="left"/>
      <w:lvlText w:val="(%3)"/>
      <w:numFmt w:val="lowerRoman"/>
      <w:start w:val="1"/>
    </w:lvl>
  </w:abstractNum>
  <w:abstractNum w:abstractNumId="151">
    <w:nsid w:val="17180B0B"/>
    <w:multiLevelType w:val="hybridMultilevel"/>
    <w:lvl w:ilvl="0">
      <w:lvlJc w:val="left"/>
      <w:lvlText w:val="(%1)"/>
      <w:numFmt w:val="lowerRoman"/>
      <w:start w:val="1"/>
    </w:lvl>
  </w:abstractNum>
  <w:abstractNum w:abstractNumId="152">
    <w:nsid w:val="579328B9"/>
    <w:multiLevelType w:val="hybridMultilevel"/>
    <w:lvl w:ilvl="0">
      <w:lvlJc w:val="left"/>
      <w:lvlText w:val="(%1)"/>
      <w:numFmt w:val="lowerRoman"/>
      <w:start w:val="4"/>
    </w:lvl>
  </w:abstractNum>
  <w:abstractNum w:abstractNumId="153">
    <w:nsid w:val="5D205E20"/>
    <w:multiLevelType w:val="hybridMultilevel"/>
    <w:lvl w:ilvl="0">
      <w:lvlJc w:val="left"/>
      <w:lvlText w:val="%1."/>
      <w:numFmt w:val="decimal"/>
      <w:start w:val="1"/>
    </w:lvl>
  </w:abstractNum>
  <w:abstractNum w:abstractNumId="154">
    <w:nsid w:val="11CCA8BA"/>
    <w:multiLevelType w:val="hybridMultilevel"/>
    <w:lvl w:ilvl="0">
      <w:lvlJc w:val="left"/>
      <w:lvlText w:val="(%1)"/>
      <w:numFmt w:val="lowerLetter"/>
      <w:start w:val="1"/>
    </w:lvl>
  </w:abstractNum>
  <w:abstractNum w:abstractNumId="155">
    <w:nsid w:val="4D32AB86"/>
    <w:multiLevelType w:val="hybridMultilevel"/>
    <w:lvl w:ilvl="0">
      <w:lvlJc w:val="left"/>
      <w:lvlText w:val="%1."/>
      <w:numFmt w:val="decimal"/>
      <w:start w:val="5"/>
    </w:lvl>
  </w:abstractNum>
  <w:abstractNum w:abstractNumId="156">
    <w:nsid w:val="3F07ACC3"/>
    <w:multiLevelType w:val="hybridMultilevel"/>
    <w:lvl w:ilvl="0">
      <w:lvlJc w:val="left"/>
      <w:lvlText w:val="(%1)"/>
      <w:numFmt w:val="lowerLetter"/>
      <w:start w:val="1"/>
    </w:lvl>
  </w:abstractNum>
  <w:abstractNum w:abstractNumId="157">
    <w:nsid w:val="6B47F63E"/>
    <w:multiLevelType w:val="hybridMultilevel"/>
    <w:lvl w:ilvl="0">
      <w:lvlJc w:val="left"/>
      <w:lvlText w:val="%1."/>
      <w:numFmt w:val="decimal"/>
      <w:start w:val="1"/>
    </w:lvl>
  </w:abstractNum>
  <w:abstractNum w:abstractNumId="158">
    <w:nsid w:val="5CB44A05"/>
    <w:multiLevelType w:val="hybridMultilevel"/>
    <w:lvl w:ilvl="0">
      <w:lvlJc w:val="left"/>
      <w:lvlText w:val="(%1)"/>
      <w:numFmt w:val="lowerLetter"/>
      <w:start w:val="1"/>
    </w:lvl>
  </w:abstractNum>
  <w:abstractNum w:abstractNumId="159">
    <w:nsid w:val="16CF80F1"/>
    <w:multiLevelType w:val="hybridMultilevel"/>
    <w:lvl w:ilvl="0">
      <w:lvlJc w:val="left"/>
      <w:lvlText w:val="%1."/>
      <w:numFmt w:val="decimal"/>
      <w:start w:val="5"/>
    </w:lvl>
  </w:abstractNum>
  <w:abstractNum w:abstractNumId="160">
    <w:nsid w:val="1C695DEC"/>
    <w:multiLevelType w:val="hybridMultilevel"/>
    <w:lvl w:ilvl="0">
      <w:lvlJc w:val="left"/>
      <w:lvlText w:val="(%1)"/>
      <w:numFmt w:val="lowerLetter"/>
      <w:start w:val="1"/>
    </w:lvl>
  </w:abstractNum>
  <w:abstractNum w:abstractNumId="161">
    <w:nsid w:val="3FCFAED9"/>
    <w:multiLevelType w:val="hybridMultilevel"/>
    <w:lvl w:ilvl="0">
      <w:lvlJc w:val="left"/>
      <w:lvlText w:val="%1."/>
      <w:numFmt w:val="decimal"/>
      <w:start w:val="1"/>
    </w:lvl>
  </w:abstractNum>
  <w:abstractNum w:abstractNumId="162">
    <w:nsid w:val="F8568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217" Type="http://schemas.openxmlformats.org/officeDocument/2006/relationships/image" Target="media/image191.png"/><Relationship Id="rId218" Type="http://schemas.openxmlformats.org/officeDocument/2006/relationships/image" Target="media/image192.png"/><Relationship Id="rId219" Type="http://schemas.openxmlformats.org/officeDocument/2006/relationships/image" Target="media/image193.png"/><Relationship Id="rId220" Type="http://schemas.openxmlformats.org/officeDocument/2006/relationships/image" Target="media/image194.png"/><Relationship Id="rId221" Type="http://schemas.openxmlformats.org/officeDocument/2006/relationships/image" Target="media/image195.png"/><Relationship Id="rId222" Type="http://schemas.openxmlformats.org/officeDocument/2006/relationships/image" Target="media/image196.png"/><Relationship Id="rId223" Type="http://schemas.openxmlformats.org/officeDocument/2006/relationships/image" Target="media/image197.png"/><Relationship Id="rId224" Type="http://schemas.openxmlformats.org/officeDocument/2006/relationships/image" Target="media/image198.png"/><Relationship Id="rId225" Type="http://schemas.openxmlformats.org/officeDocument/2006/relationships/image" Target="media/image199.png"/><Relationship Id="rId226" Type="http://schemas.openxmlformats.org/officeDocument/2006/relationships/image" Target="media/image200.png"/><Relationship Id="rId227" Type="http://schemas.openxmlformats.org/officeDocument/2006/relationships/image" Target="media/image201.png"/><Relationship Id="rId228" Type="http://schemas.openxmlformats.org/officeDocument/2006/relationships/image" Target="media/image202.png"/><Relationship Id="rId229" Type="http://schemas.openxmlformats.org/officeDocument/2006/relationships/image" Target="media/image203.png"/><Relationship Id="rId230" Type="http://schemas.openxmlformats.org/officeDocument/2006/relationships/image" Target="media/image204.png"/><Relationship Id="rId231" Type="http://schemas.openxmlformats.org/officeDocument/2006/relationships/image" Target="media/image205.png"/><Relationship Id="rId232" Type="http://schemas.openxmlformats.org/officeDocument/2006/relationships/image" Target="media/image206.png"/><Relationship Id="rId233" Type="http://schemas.openxmlformats.org/officeDocument/2006/relationships/image" Target="media/image207.png"/><Relationship Id="rId234" Type="http://schemas.openxmlformats.org/officeDocument/2006/relationships/image" Target="media/image208.png"/><Relationship Id="rId235" Type="http://schemas.openxmlformats.org/officeDocument/2006/relationships/image" Target="media/image209.png"/><Relationship Id="rId236" Type="http://schemas.openxmlformats.org/officeDocument/2006/relationships/image" Target="media/image210.png"/><Relationship Id="rId237" Type="http://schemas.openxmlformats.org/officeDocument/2006/relationships/image" Target="media/image211.png"/><Relationship Id="rId238" Type="http://schemas.openxmlformats.org/officeDocument/2006/relationships/image" Target="media/image212.png"/><Relationship Id="rId239" Type="http://schemas.openxmlformats.org/officeDocument/2006/relationships/image" Target="media/image213.png"/><Relationship Id="rId240" Type="http://schemas.openxmlformats.org/officeDocument/2006/relationships/image" Target="media/image214.png"/><Relationship Id="rId241" Type="http://schemas.openxmlformats.org/officeDocument/2006/relationships/image" Target="media/image215.png"/><Relationship Id="rId242" Type="http://schemas.openxmlformats.org/officeDocument/2006/relationships/image" Target="media/image216.png"/><Relationship Id="rId243" Type="http://schemas.openxmlformats.org/officeDocument/2006/relationships/image" Target="media/image217.png"/><Relationship Id="rId244" Type="http://schemas.openxmlformats.org/officeDocument/2006/relationships/image" Target="media/image218.png"/><Relationship Id="rId245" Type="http://schemas.openxmlformats.org/officeDocument/2006/relationships/image" Target="media/image219.png"/><Relationship Id="rId246" Type="http://schemas.openxmlformats.org/officeDocument/2006/relationships/image" Target="media/image220.png"/><Relationship Id="rId247" Type="http://schemas.openxmlformats.org/officeDocument/2006/relationships/image" Target="media/image221.png"/><Relationship Id="rId248" Type="http://schemas.openxmlformats.org/officeDocument/2006/relationships/image" Target="media/image222.png"/><Relationship Id="rId249" Type="http://schemas.openxmlformats.org/officeDocument/2006/relationships/image" Target="media/image223.png"/><Relationship Id="rId250" Type="http://schemas.openxmlformats.org/officeDocument/2006/relationships/image" Target="media/image224.png"/><Relationship Id="rId251" Type="http://schemas.openxmlformats.org/officeDocument/2006/relationships/image" Target="media/image225.png"/><Relationship Id="rId252" Type="http://schemas.openxmlformats.org/officeDocument/2006/relationships/image" Target="media/image226.png"/><Relationship Id="rId253" Type="http://schemas.openxmlformats.org/officeDocument/2006/relationships/image" Target="media/image227.png"/><Relationship Id="rId254" Type="http://schemas.openxmlformats.org/officeDocument/2006/relationships/image" Target="media/image228.png"/><Relationship Id="rId255" Type="http://schemas.openxmlformats.org/officeDocument/2006/relationships/image" Target="media/image229.png"/><Relationship Id="rId256" Type="http://schemas.openxmlformats.org/officeDocument/2006/relationships/image" Target="media/image230.png"/><Relationship Id="rId257" Type="http://schemas.openxmlformats.org/officeDocument/2006/relationships/image" Target="media/image231.png"/><Relationship Id="rId258" Type="http://schemas.openxmlformats.org/officeDocument/2006/relationships/image" Target="media/image232.png"/><Relationship Id="rId259" Type="http://schemas.openxmlformats.org/officeDocument/2006/relationships/image" Target="media/image233.png"/><Relationship Id="rId260" Type="http://schemas.openxmlformats.org/officeDocument/2006/relationships/image" Target="media/image234.png"/><Relationship Id="rId261" Type="http://schemas.openxmlformats.org/officeDocument/2006/relationships/image" Target="media/image235.png"/><Relationship Id="rId262" Type="http://schemas.openxmlformats.org/officeDocument/2006/relationships/image" Target="media/image236.png"/><Relationship Id="rId263" Type="http://schemas.openxmlformats.org/officeDocument/2006/relationships/image" Target="media/image237.png"/><Relationship Id="rId264" Type="http://schemas.openxmlformats.org/officeDocument/2006/relationships/image" Target="media/image238.png"/><Relationship Id="rId265" Type="http://schemas.openxmlformats.org/officeDocument/2006/relationships/image" Target="media/image239.png"/><Relationship Id="rId266" Type="http://schemas.openxmlformats.org/officeDocument/2006/relationships/image" Target="media/image240.png"/><Relationship Id="rId267" Type="http://schemas.openxmlformats.org/officeDocument/2006/relationships/image" Target="media/image241.png"/><Relationship Id="rId268" Type="http://schemas.openxmlformats.org/officeDocument/2006/relationships/image" Target="media/image242.png"/><Relationship Id="rId269" Type="http://schemas.openxmlformats.org/officeDocument/2006/relationships/image" Target="media/image243.png"/><Relationship Id="rId270" Type="http://schemas.openxmlformats.org/officeDocument/2006/relationships/image" Target="media/image244.png"/><Relationship Id="rId271" Type="http://schemas.openxmlformats.org/officeDocument/2006/relationships/image" Target="media/image245.png"/><Relationship Id="rId272" Type="http://schemas.openxmlformats.org/officeDocument/2006/relationships/image" Target="media/image246.png"/><Relationship Id="rId273" Type="http://schemas.openxmlformats.org/officeDocument/2006/relationships/image" Target="media/image247.png"/><Relationship Id="rId274" Type="http://schemas.openxmlformats.org/officeDocument/2006/relationships/image" Target="media/image248.png"/><Relationship Id="rId275" Type="http://schemas.openxmlformats.org/officeDocument/2006/relationships/image" Target="media/image249.png"/><Relationship Id="rId276" Type="http://schemas.openxmlformats.org/officeDocument/2006/relationships/image" Target="media/image250.png"/><Relationship Id="rId277" Type="http://schemas.openxmlformats.org/officeDocument/2006/relationships/image" Target="media/image251.png"/><Relationship Id="rId278" Type="http://schemas.openxmlformats.org/officeDocument/2006/relationships/image" Target="media/image252.png"/><Relationship Id="rId279" Type="http://schemas.openxmlformats.org/officeDocument/2006/relationships/image" Target="media/image253.png"/><Relationship Id="rId280" Type="http://schemas.openxmlformats.org/officeDocument/2006/relationships/image" Target="media/image254.png"/><Relationship Id="rId281" Type="http://schemas.openxmlformats.org/officeDocument/2006/relationships/image" Target="media/image255.png"/><Relationship Id="rId282" Type="http://schemas.openxmlformats.org/officeDocument/2006/relationships/image" Target="media/image256.png"/><Relationship Id="rId283" Type="http://schemas.openxmlformats.org/officeDocument/2006/relationships/image" Target="media/image257.png"/><Relationship Id="rId284" Type="http://schemas.openxmlformats.org/officeDocument/2006/relationships/image" Target="media/image258.png"/><Relationship Id="rId285" Type="http://schemas.openxmlformats.org/officeDocument/2006/relationships/image" Target="media/image259.png"/><Relationship Id="rId286" Type="http://schemas.openxmlformats.org/officeDocument/2006/relationships/image" Target="media/image260.png"/><Relationship Id="rId287" Type="http://schemas.openxmlformats.org/officeDocument/2006/relationships/image" Target="media/image261.png"/><Relationship Id="rId288" Type="http://schemas.openxmlformats.org/officeDocument/2006/relationships/image" Target="media/image262.png"/><Relationship Id="rId289" Type="http://schemas.openxmlformats.org/officeDocument/2006/relationships/image" Target="media/image263.png"/><Relationship Id="rId290" Type="http://schemas.openxmlformats.org/officeDocument/2006/relationships/image" Target="media/image264.png"/><Relationship Id="rId291" Type="http://schemas.openxmlformats.org/officeDocument/2006/relationships/image" Target="media/image265.png"/><Relationship Id="rId292" Type="http://schemas.openxmlformats.org/officeDocument/2006/relationships/image" Target="media/image266.png"/><Relationship Id="rId293" Type="http://schemas.openxmlformats.org/officeDocument/2006/relationships/image" Target="media/image267.png"/><Relationship Id="rId294" Type="http://schemas.openxmlformats.org/officeDocument/2006/relationships/image" Target="media/image268.png"/><Relationship Id="rId295" Type="http://schemas.openxmlformats.org/officeDocument/2006/relationships/image" Target="media/image269.png"/><Relationship Id="rId296" Type="http://schemas.openxmlformats.org/officeDocument/2006/relationships/image" Target="media/image270.png"/><Relationship Id="rId297" Type="http://schemas.openxmlformats.org/officeDocument/2006/relationships/image" Target="media/image271.png"/><Relationship Id="rId298" Type="http://schemas.openxmlformats.org/officeDocument/2006/relationships/image" Target="media/image272.png"/><Relationship Id="rId299" Type="http://schemas.openxmlformats.org/officeDocument/2006/relationships/image" Target="media/image273.png"/><Relationship Id="rId300" Type="http://schemas.openxmlformats.org/officeDocument/2006/relationships/image" Target="media/image274.png"/><Relationship Id="rId301" Type="http://schemas.openxmlformats.org/officeDocument/2006/relationships/image" Target="media/image275.png"/><Relationship Id="rId302" Type="http://schemas.openxmlformats.org/officeDocument/2006/relationships/image" Target="media/image276.png"/><Relationship Id="rId303" Type="http://schemas.openxmlformats.org/officeDocument/2006/relationships/image" Target="media/image277.png"/><Relationship Id="rId304" Type="http://schemas.openxmlformats.org/officeDocument/2006/relationships/image" Target="media/image278.png"/><Relationship Id="rId305" Type="http://schemas.openxmlformats.org/officeDocument/2006/relationships/image" Target="media/image279.png"/><Relationship Id="rId306" Type="http://schemas.openxmlformats.org/officeDocument/2006/relationships/image" Target="media/image280.png"/><Relationship Id="rId307" Type="http://schemas.openxmlformats.org/officeDocument/2006/relationships/image" Target="media/image281.png"/><Relationship Id="rId308" Type="http://schemas.openxmlformats.org/officeDocument/2006/relationships/image" Target="media/image282.png"/><Relationship Id="rId309" Type="http://schemas.openxmlformats.org/officeDocument/2006/relationships/image" Target="media/image283.png"/><Relationship Id="rId310" Type="http://schemas.openxmlformats.org/officeDocument/2006/relationships/image" Target="media/image284.png"/><Relationship Id="rId311" Type="http://schemas.openxmlformats.org/officeDocument/2006/relationships/image" Target="media/image285.png"/><Relationship Id="rId312" Type="http://schemas.openxmlformats.org/officeDocument/2006/relationships/image" Target="media/image286.png"/><Relationship Id="rId313" Type="http://schemas.openxmlformats.org/officeDocument/2006/relationships/image" Target="media/image287.png"/><Relationship Id="rId314" Type="http://schemas.openxmlformats.org/officeDocument/2006/relationships/image" Target="media/image288.png"/><Relationship Id="rId315" Type="http://schemas.openxmlformats.org/officeDocument/2006/relationships/image" Target="media/image289.png"/><Relationship Id="rId316" Type="http://schemas.openxmlformats.org/officeDocument/2006/relationships/image" Target="media/image290.png"/><Relationship Id="rId317" Type="http://schemas.openxmlformats.org/officeDocument/2006/relationships/image" Target="media/image291.png"/><Relationship Id="rId318" Type="http://schemas.openxmlformats.org/officeDocument/2006/relationships/image" Target="media/image292.png"/><Relationship Id="rId319" Type="http://schemas.openxmlformats.org/officeDocument/2006/relationships/image" Target="media/image293.png"/><Relationship Id="rId320" Type="http://schemas.openxmlformats.org/officeDocument/2006/relationships/image" Target="media/image294.png"/><Relationship Id="rId321" Type="http://schemas.openxmlformats.org/officeDocument/2006/relationships/image" Target="media/image295.png"/><Relationship Id="rId322" Type="http://schemas.openxmlformats.org/officeDocument/2006/relationships/image" Target="media/image296.png"/><Relationship Id="rId323" Type="http://schemas.openxmlformats.org/officeDocument/2006/relationships/image" Target="media/image297.png"/><Relationship Id="rId324" Type="http://schemas.openxmlformats.org/officeDocument/2006/relationships/image" Target="media/image298.png"/><Relationship Id="rId325" Type="http://schemas.openxmlformats.org/officeDocument/2006/relationships/image" Target="media/image299.png"/><Relationship Id="rId326" Type="http://schemas.openxmlformats.org/officeDocument/2006/relationships/image" Target="media/image300.png"/><Relationship Id="rId327" Type="http://schemas.openxmlformats.org/officeDocument/2006/relationships/image" Target="media/image301.png"/><Relationship Id="rId328" Type="http://schemas.openxmlformats.org/officeDocument/2006/relationships/image" Target="media/image302.png"/><Relationship Id="rId329" Type="http://schemas.openxmlformats.org/officeDocument/2006/relationships/image" Target="media/image303.png"/><Relationship Id="rId330" Type="http://schemas.openxmlformats.org/officeDocument/2006/relationships/image" Target="media/image304.png"/><Relationship Id="rId331" Type="http://schemas.openxmlformats.org/officeDocument/2006/relationships/image" Target="media/image305.png"/><Relationship Id="rId332" Type="http://schemas.openxmlformats.org/officeDocument/2006/relationships/image" Target="media/image306.png"/><Relationship Id="rId333" Type="http://schemas.openxmlformats.org/officeDocument/2006/relationships/image" Target="media/image307.png"/><Relationship Id="rId334" Type="http://schemas.openxmlformats.org/officeDocument/2006/relationships/image" Target="media/image308.png"/><Relationship Id="rId335" Type="http://schemas.openxmlformats.org/officeDocument/2006/relationships/image" Target="media/image309.png"/><Relationship Id="rId336" Type="http://schemas.openxmlformats.org/officeDocument/2006/relationships/image" Target="media/image310.png"/><Relationship Id="rId337" Type="http://schemas.openxmlformats.org/officeDocument/2006/relationships/image" Target="media/image311.png"/><Relationship Id="rId338" Type="http://schemas.openxmlformats.org/officeDocument/2006/relationships/image" Target="media/image312.png"/><Relationship Id="rId339" Type="http://schemas.openxmlformats.org/officeDocument/2006/relationships/image" Target="media/image313.png"/><Relationship Id="rId340" Type="http://schemas.openxmlformats.org/officeDocument/2006/relationships/image" Target="media/image314.png"/><Relationship Id="rId341" Type="http://schemas.openxmlformats.org/officeDocument/2006/relationships/image" Target="media/image315.png"/><Relationship Id="rId342" Type="http://schemas.openxmlformats.org/officeDocument/2006/relationships/image" Target="media/image316.png"/><Relationship Id="rId343" Type="http://schemas.openxmlformats.org/officeDocument/2006/relationships/image" Target="media/image317.png"/><Relationship Id="rId344" Type="http://schemas.openxmlformats.org/officeDocument/2006/relationships/image" Target="media/image318.png"/><Relationship Id="rId345" Type="http://schemas.openxmlformats.org/officeDocument/2006/relationships/image" Target="media/image319.png"/><Relationship Id="rId346" Type="http://schemas.openxmlformats.org/officeDocument/2006/relationships/image" Target="media/image320.png"/><Relationship Id="rId347" Type="http://schemas.openxmlformats.org/officeDocument/2006/relationships/image" Target="media/image321.png"/><Relationship Id="rId348" Type="http://schemas.openxmlformats.org/officeDocument/2006/relationships/image" Target="media/image322.png"/><Relationship Id="rId349" Type="http://schemas.openxmlformats.org/officeDocument/2006/relationships/image" Target="media/image323.png"/><Relationship Id="rId350" Type="http://schemas.openxmlformats.org/officeDocument/2006/relationships/image" Target="media/image324.png"/><Relationship Id="rId351" Type="http://schemas.openxmlformats.org/officeDocument/2006/relationships/image" Target="media/image325.png"/><Relationship Id="rId352" Type="http://schemas.openxmlformats.org/officeDocument/2006/relationships/image" Target="media/image326.png"/><Relationship Id="rId353" Type="http://schemas.openxmlformats.org/officeDocument/2006/relationships/image" Target="media/image327.png"/><Relationship Id="rId354" Type="http://schemas.openxmlformats.org/officeDocument/2006/relationships/image" Target="media/image328.png"/><Relationship Id="rId198" Type="http://schemas.openxmlformats.org/officeDocument/2006/relationships/hyperlink" Target="https://www.sec.gov/Archives/edgar/data/1651625/000119312516607922/d16439dex101.htm" TargetMode="External"/><Relationship Id="rId199" Type="http://schemas.openxmlformats.org/officeDocument/2006/relationships/hyperlink" Target="https://www.sec.gov/Archives/edgar/data/1651625/000119312516607922/d16439dex102.htm" TargetMode="External"/><Relationship Id="rId200" Type="http://schemas.openxmlformats.org/officeDocument/2006/relationships/hyperlink" Target="https://www.sec.gov/Archives/edgar/data/1651625/000119312516607922/d16439dex103.htm" TargetMode="External"/><Relationship Id="rId201" Type="http://schemas.openxmlformats.org/officeDocument/2006/relationships/hyperlink" Target="https://www.sec.gov/Archives/edgar/data/1651625/000119312516607922/d16439dex104.htm" TargetMode="External"/><Relationship Id="rId202" Type="http://schemas.openxmlformats.org/officeDocument/2006/relationships/hyperlink" Target="https://www.sec.gov/Archives/edgar/data/1651625/000119312516607922/d16439dex105.htm" TargetMode="External"/><Relationship Id="rId203" Type="http://schemas.openxmlformats.org/officeDocument/2006/relationships/hyperlink" Target="https://www.sec.gov/Archives/edgar/data/1651625/000155837023003963/aciu-20221231xex4d6.htm" TargetMode="External"/><Relationship Id="rId204" Type="http://schemas.openxmlformats.org/officeDocument/2006/relationships/hyperlink" Target="https://www.sec.gov/Archives/edgar/data/1651625/000119312516607922/d16439dex107.htm" TargetMode="External"/><Relationship Id="rId205" Type="http://schemas.openxmlformats.org/officeDocument/2006/relationships/hyperlink" Target="https://www.sec.gov/Archives/edgar/data/1651625/000095010316017052/dp69421_ex9908.htm" TargetMode="External"/><Relationship Id="rId206" Type="http://schemas.openxmlformats.org/officeDocument/2006/relationships/hyperlink" Target="https://www.sec.gov/Archives/edgar/data/1651625/000095010319004949/dp105140_ex0414.htm" TargetMode="External"/><Relationship Id="rId207" Type="http://schemas.openxmlformats.org/officeDocument/2006/relationships/hyperlink" Target="https://www.sec.gov/Archives/edgar/data/1651625/000095010319003578/dp103711_ex0415.htm" TargetMode="External"/><Relationship Id="rId208" Type="http://schemas.openxmlformats.org/officeDocument/2006/relationships/hyperlink" Target="https://www.sec.gov/Archives/edgar/data/1651625/000095010319012523/dp112992_ex1001.htm" TargetMode="External"/><Relationship Id="rId209" Type="http://schemas.openxmlformats.org/officeDocument/2006/relationships/hyperlink" Target="https://www.sec.gov/Archives/edgar/data/1651625/000095010320005734/dp124366_ex1001.htm" TargetMode="External"/><Relationship Id="rId210" Type="http://schemas.openxmlformats.org/officeDocument/2006/relationships/hyperlink" Target="https://www.sec.gov/Archives/edgar/data/1651625/000095010321006778/dp1150581_ex0101.htm" TargetMode="External"/><Relationship Id="rId211" Type="http://schemas.openxmlformats.org/officeDocument/2006/relationships/hyperlink" Target="https://www.sec.gov/Archives/edgar/data/1651625/000095010321011884/dp155670_ex1001.htm" TargetMode="External"/><Relationship Id="rId212" Type="http://schemas.openxmlformats.org/officeDocument/2006/relationships/hyperlink" Target="https://www.sec.gov/Archives/edgar/data/1651625/000095010321011884/dp155670_ex1002.htm" TargetMode="External"/><Relationship Id="rId213" Type="http://schemas.openxmlformats.org/officeDocument/2006/relationships/hyperlink" Target="https://www.sec.gov/Archives/edgar/data/1651625/000095010321011884/dp155670_ex1003.htm" TargetMode="External"/><Relationship Id="rId214" Type="http://schemas.openxmlformats.org/officeDocument/2006/relationships/hyperlink" Target="https://www.sec.gov/Archives/edgar/data/1651625/000155837024010944/aciu-20240630xex10d1.htm" TargetMode="External"/><Relationship Id="rId215" Type="http://schemas.openxmlformats.org/officeDocument/2006/relationships/hyperlink" Target="https://www.sec.gov/Archives/edgar/data/1651625/000095010324011753/dp216020_ex0101.htm" TargetMode="External"/><Relationship Id="rId216" Type="http://schemas.openxmlformats.org/officeDocument/2006/relationships/hyperlink" Target="https://www.sec.gov/Archives/edgar/data/1651625/000155837024003164/aciu-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2026-03-13T06:07:46Z</dcterms:created>
  <dcterms:modified xsi:type="dcterms:W3CDTF">2026-03-13T06:07:46Z</dcterms:modified>
</cp:coreProperties>
</file>