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307"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November,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181610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198755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618490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460" w:top="906" w:right="459"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Andrea Pfeifer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Joerg Hornstein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796" w:right="10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60" w:type="dxa"/>
            <w:vAlign w:val="bottom"/>
          </w:tcPr>
          <w:p>
            <w:pPr>
              <w:spacing w:after="0"/>
              <w:rPr>
                <w:sz w:val="24"/>
                <w:szCs w:val="24"/>
                <w:color w:val="auto"/>
              </w:rPr>
            </w:pPr>
          </w:p>
        </w:tc>
        <w:tc>
          <w:tcPr>
            <w:tcW w:w="10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20"/>
                <w:szCs w:val="20"/>
                <w:color w:val="auto"/>
              </w:rPr>
            </w:pPr>
          </w:p>
        </w:tc>
        <w:tc>
          <w:tcPr>
            <w:tcW w:w="10320" w:type="dxa"/>
            <w:vAlign w:val="bottom"/>
            <w:tcBorders>
              <w:bottom w:val="single" w:sz="8" w:color="auto"/>
            </w:tcBorders>
          </w:tcPr>
          <w:p>
            <w:pPr>
              <w:ind w:left="470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264"/>
        </w:trPr>
        <w:tc>
          <w:tcPr>
            <w:tcW w:w="4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2"/>
                <w:szCs w:val="22"/>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Articles of Association dated July 8, 2019</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60" w:type="dxa"/>
            <w:vAlign w:val="bottom"/>
          </w:tcPr>
          <w:p>
            <w:pPr>
              <w:spacing w:after="0"/>
              <w:rPr>
                <w:sz w:val="23"/>
                <w:szCs w:val="23"/>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9"/>
              </w:rPr>
              <w:t>Interim Condensed Financial Statements (Unaudited) (IFRS) as of and for the Three and Nine Months Ended September 30, 2019</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60" w:type="dxa"/>
            <w:vAlign w:val="bottom"/>
          </w:tcPr>
          <w:p>
            <w:pPr>
              <w:spacing w:after="0"/>
              <w:rPr>
                <w:sz w:val="23"/>
                <w:szCs w:val="23"/>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99.3</w:t>
            </w:r>
          </w:p>
        </w:tc>
        <w:tc>
          <w:tcPr>
            <w:tcW w:w="60" w:type="dxa"/>
            <w:vAlign w:val="bottom"/>
          </w:tcPr>
          <w:p>
            <w:pPr>
              <w:spacing w:after="0"/>
              <w:rPr>
                <w:sz w:val="23"/>
                <w:szCs w:val="23"/>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Press Release dated November 13, 2019</w:t>
            </w:r>
          </w:p>
        </w:tc>
        <w:tc>
          <w:tcPr>
            <w:tcW w:w="20" w:type="dxa"/>
            <w:vAlign w:val="bottom"/>
          </w:tcPr>
          <w:p>
            <w:pPr>
              <w:spacing w:after="0"/>
              <w:rPr>
                <w:sz w:val="23"/>
                <w:szCs w:val="23"/>
                <w:color w:val="auto"/>
              </w:rPr>
            </w:pPr>
          </w:p>
        </w:tc>
      </w:tr>
      <w:tr>
        <w:trPr>
          <w:trHeight w:val="810"/>
        </w:trPr>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640" w:type="dxa"/>
            <w:vAlign w:val="bottom"/>
            <w:tcBorders>
              <w:top w:val="single" w:sz="8" w:color="auto"/>
              <w:left w:val="single" w:sz="8" w:color="auto"/>
            </w:tcBorders>
          </w:tcPr>
          <w:p>
            <w:pPr>
              <w:spacing w:after="0"/>
              <w:rPr>
                <w:sz w:val="24"/>
                <w:szCs w:val="24"/>
                <w:color w:val="auto"/>
              </w:rPr>
            </w:pPr>
          </w:p>
        </w:tc>
        <w:tc>
          <w:tcPr>
            <w:tcW w:w="4980" w:type="dxa"/>
            <w:vAlign w:val="bottom"/>
            <w:tcBorders>
              <w:top w:val="single" w:sz="8" w:color="auto"/>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9"/>
              </w:rPr>
              <w:t>ARTICLES OF ASSOCIATION</w:t>
            </w:r>
          </w:p>
        </w:tc>
        <w:tc>
          <w:tcPr>
            <w:tcW w:w="220" w:type="dxa"/>
            <w:vAlign w:val="bottom"/>
            <w:tcBorders>
              <w:top w:val="single" w:sz="8" w:color="auto"/>
              <w:right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960" w:type="dxa"/>
            <w:vAlign w:val="bottom"/>
            <w:tcBorders>
              <w:top w:val="single" w:sz="8" w:color="auto"/>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6"/>
              </w:rPr>
              <w:t>STATUTS</w:t>
            </w:r>
          </w:p>
        </w:tc>
      </w:tr>
      <w:tr>
        <w:trPr>
          <w:trHeight w:val="405"/>
        </w:trPr>
        <w:tc>
          <w:tcPr>
            <w:tcW w:w="640" w:type="dxa"/>
            <w:vAlign w:val="bottom"/>
            <w:tcBorders>
              <w:left w:val="single" w:sz="8" w:color="auto"/>
            </w:tcBorders>
          </w:tcPr>
          <w:p>
            <w:pPr>
              <w:spacing w:after="0"/>
              <w:rPr>
                <w:sz w:val="24"/>
                <w:szCs w:val="24"/>
                <w:color w:val="auto"/>
              </w:rPr>
            </w:pPr>
          </w:p>
        </w:tc>
        <w:tc>
          <w:tcPr>
            <w:tcW w:w="498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rPr>
              <w:t>of</w:t>
            </w:r>
          </w:p>
        </w:tc>
        <w:tc>
          <w:tcPr>
            <w:tcW w:w="22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6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4"/>
              </w:rPr>
              <w:t>de</w:t>
            </w:r>
          </w:p>
        </w:tc>
      </w:tr>
      <w:tr>
        <w:trPr>
          <w:trHeight w:val="369"/>
        </w:trPr>
        <w:tc>
          <w:tcPr>
            <w:tcW w:w="640" w:type="dxa"/>
            <w:vAlign w:val="bottom"/>
            <w:tcBorders>
              <w:left w:val="single" w:sz="8" w:color="auto"/>
            </w:tcBorders>
          </w:tcPr>
          <w:p>
            <w:pPr>
              <w:spacing w:after="0"/>
              <w:rPr>
                <w:sz w:val="24"/>
                <w:szCs w:val="24"/>
                <w:color w:val="auto"/>
              </w:rPr>
            </w:pPr>
          </w:p>
        </w:tc>
        <w:tc>
          <w:tcPr>
            <w:tcW w:w="498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9"/>
              </w:rPr>
              <w:t>AC Immune SA</w:t>
            </w:r>
          </w:p>
        </w:tc>
        <w:tc>
          <w:tcPr>
            <w:tcW w:w="22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6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9"/>
              </w:rPr>
              <w:t>AC Immune SA</w:t>
            </w:r>
          </w:p>
        </w:tc>
      </w:tr>
      <w:tr>
        <w:trPr>
          <w:trHeight w:val="203"/>
        </w:trPr>
        <w:tc>
          <w:tcPr>
            <w:tcW w:w="64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jc w:val="center"/>
              <w:ind w:right="530"/>
              <w:spacing w:after="0" w:line="202" w:lineRule="exact"/>
              <w:rPr>
                <w:sz w:val="20"/>
                <w:szCs w:val="20"/>
                <w:color w:val="auto"/>
              </w:rPr>
            </w:pPr>
            <w:r>
              <w:rPr>
                <w:rFonts w:ascii="Arial" w:cs="Arial" w:eastAsia="Arial" w:hAnsi="Arial"/>
                <w:sz w:val="18"/>
                <w:szCs w:val="18"/>
                <w:b w:val="1"/>
                <w:bCs w:val="1"/>
                <w:color w:val="auto"/>
                <w:w w:val="99"/>
              </w:rPr>
              <w:t>(AC Immune AG)</w:t>
            </w:r>
          </w:p>
        </w:tc>
        <w:tc>
          <w:tcPr>
            <w:tcW w:w="2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60" w:type="dxa"/>
            <w:vAlign w:val="bottom"/>
            <w:tcBorders>
              <w:right w:val="single" w:sz="8" w:color="auto"/>
            </w:tcBorders>
          </w:tcPr>
          <w:p>
            <w:pPr>
              <w:jc w:val="center"/>
              <w:ind w:right="550"/>
              <w:spacing w:after="0" w:line="202" w:lineRule="exact"/>
              <w:rPr>
                <w:sz w:val="20"/>
                <w:szCs w:val="20"/>
                <w:color w:val="auto"/>
              </w:rPr>
            </w:pPr>
            <w:r>
              <w:rPr>
                <w:rFonts w:ascii="Arial" w:cs="Arial" w:eastAsia="Arial" w:hAnsi="Arial"/>
                <w:sz w:val="18"/>
                <w:szCs w:val="18"/>
                <w:b w:val="1"/>
                <w:bCs w:val="1"/>
                <w:color w:val="auto"/>
                <w:w w:val="99"/>
              </w:rPr>
              <w:t>(AC Immune AG)</w:t>
            </w:r>
          </w:p>
        </w:tc>
      </w:tr>
      <w:tr>
        <w:trPr>
          <w:trHeight w:val="239"/>
        </w:trPr>
        <w:tc>
          <w:tcPr>
            <w:tcW w:w="640" w:type="dxa"/>
            <w:vAlign w:val="bottom"/>
            <w:tcBorders>
              <w:left w:val="single" w:sz="8" w:color="auto"/>
            </w:tcBorders>
          </w:tcPr>
          <w:p>
            <w:pPr>
              <w:spacing w:after="0"/>
              <w:rPr>
                <w:sz w:val="20"/>
                <w:szCs w:val="20"/>
                <w:color w:val="auto"/>
              </w:rPr>
            </w:pPr>
          </w:p>
        </w:tc>
        <w:tc>
          <w:tcPr>
            <w:tcW w:w="498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rPr>
              <w:t>(AC Immune Ltd)</w:t>
            </w:r>
          </w:p>
        </w:tc>
        <w:tc>
          <w:tcPr>
            <w:tcW w:w="22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96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9"/>
              </w:rPr>
              <w:t>(AC Immune Ltd)</w:t>
            </w:r>
          </w:p>
        </w:tc>
      </w:tr>
      <w:tr>
        <w:trPr>
          <w:trHeight w:val="405"/>
        </w:trPr>
        <w:tc>
          <w:tcPr>
            <w:tcW w:w="640" w:type="dxa"/>
            <w:vAlign w:val="bottom"/>
            <w:tcBorders>
              <w:left w:val="single" w:sz="8" w:color="auto"/>
            </w:tcBorders>
          </w:tcPr>
          <w:p>
            <w:pPr>
              <w:spacing w:after="0"/>
              <w:rPr>
                <w:sz w:val="24"/>
                <w:szCs w:val="24"/>
                <w:color w:val="auto"/>
              </w:rPr>
            </w:pPr>
          </w:p>
        </w:tc>
        <w:tc>
          <w:tcPr>
            <w:tcW w:w="498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9"/>
              </w:rPr>
              <w:t>with registered office in</w:t>
            </w:r>
          </w:p>
        </w:tc>
        <w:tc>
          <w:tcPr>
            <w:tcW w:w="22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6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9"/>
              </w:rPr>
              <w:t>avec siège à</w:t>
            </w:r>
          </w:p>
        </w:tc>
      </w:tr>
      <w:tr>
        <w:trPr>
          <w:trHeight w:val="405"/>
        </w:trPr>
        <w:tc>
          <w:tcPr>
            <w:tcW w:w="640" w:type="dxa"/>
            <w:vAlign w:val="bottom"/>
            <w:tcBorders>
              <w:left w:val="single" w:sz="8" w:color="auto"/>
            </w:tcBorders>
          </w:tcPr>
          <w:p>
            <w:pPr>
              <w:spacing w:after="0"/>
              <w:rPr>
                <w:sz w:val="24"/>
                <w:szCs w:val="24"/>
                <w:color w:val="auto"/>
              </w:rPr>
            </w:pPr>
          </w:p>
        </w:tc>
        <w:tc>
          <w:tcPr>
            <w:tcW w:w="498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9"/>
              </w:rPr>
              <w:t>Ecublens (VD)</w:t>
            </w:r>
          </w:p>
        </w:tc>
        <w:tc>
          <w:tcPr>
            <w:tcW w:w="22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6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9"/>
              </w:rPr>
              <w:t>Ecublens (VD)</w:t>
            </w:r>
          </w:p>
        </w:tc>
      </w:tr>
      <w:tr>
        <w:trPr>
          <w:trHeight w:val="405"/>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French version of these articles of association shall prevail.</w:t>
            </w:r>
          </w:p>
        </w:tc>
        <w:tc>
          <w:tcPr>
            <w:tcW w:w="22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60" w:type="dxa"/>
            <w:vAlign w:val="bottom"/>
            <w:tcBorders>
              <w:right w:val="single" w:sz="8" w:color="auto"/>
            </w:tcBorders>
          </w:tcPr>
          <w:p>
            <w:pPr>
              <w:jc w:val="center"/>
              <w:ind w:right="590"/>
              <w:spacing w:after="0"/>
              <w:rPr>
                <w:sz w:val="20"/>
                <w:szCs w:val="20"/>
                <w:color w:val="auto"/>
              </w:rPr>
            </w:pPr>
            <w:r>
              <w:rPr>
                <w:rFonts w:ascii="Arial" w:cs="Arial" w:eastAsia="Arial" w:hAnsi="Arial"/>
                <w:sz w:val="18"/>
                <w:szCs w:val="18"/>
                <w:color w:val="auto"/>
              </w:rPr>
              <w:t>La version française de ces statuts fait foi.</w:t>
            </w:r>
          </w:p>
        </w:tc>
      </w:tr>
      <w:tr>
        <w:trPr>
          <w:trHeight w:val="95"/>
        </w:trPr>
        <w:tc>
          <w:tcPr>
            <w:tcW w:w="640" w:type="dxa"/>
            <w:vAlign w:val="bottom"/>
            <w:tcBorders>
              <w:left w:val="single" w:sz="8" w:color="auto"/>
              <w:bottom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960" w:type="dxa"/>
            <w:vAlign w:val="bottom"/>
            <w:tcBorders>
              <w:bottom w:val="single" w:sz="8" w:color="auto"/>
              <w:right w:val="single" w:sz="8" w:color="auto"/>
            </w:tcBorders>
          </w:tcPr>
          <w:p>
            <w:pPr>
              <w:spacing w:after="0"/>
              <w:rPr>
                <w:sz w:val="8"/>
                <w:szCs w:val="8"/>
                <w:color w:val="auto"/>
              </w:rPr>
            </w:pPr>
          </w:p>
        </w:tc>
      </w:tr>
      <w:tr>
        <w:trPr>
          <w:trHeight w:val="281"/>
        </w:trPr>
        <w:tc>
          <w:tcPr>
            <w:tcW w:w="64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I.</w:t>
            </w:r>
          </w:p>
        </w:tc>
        <w:tc>
          <w:tcPr>
            <w:tcW w:w="49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CORPORATE NAME, PRINCIPAL OFFICE, DURATION</w:t>
            </w:r>
          </w:p>
        </w:tc>
        <w:tc>
          <w:tcPr>
            <w:tcW w:w="220" w:type="dxa"/>
            <w:vAlign w:val="bottom"/>
            <w:tcBorders>
              <w:right w:val="single" w:sz="8" w:color="auto"/>
            </w:tcBorders>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I.</w:t>
            </w:r>
          </w:p>
        </w:tc>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RAISON SOCIALE, SIÈGE, DURÉE ET BUT DE LA</w:t>
            </w:r>
          </w:p>
        </w:tc>
      </w:tr>
      <w:tr>
        <w:trPr>
          <w:trHeight w:val="239"/>
        </w:trPr>
        <w:tc>
          <w:tcPr>
            <w:tcW w:w="640" w:type="dxa"/>
            <w:vAlign w:val="bottom"/>
            <w:tcBorders>
              <w:left w:val="single" w:sz="8" w:color="auto"/>
            </w:tcBorders>
          </w:tcPr>
          <w:p>
            <w:pPr>
              <w:spacing w:after="0"/>
              <w:rPr>
                <w:sz w:val="20"/>
                <w:szCs w:val="20"/>
                <w:color w:val="auto"/>
              </w:rPr>
            </w:pPr>
          </w:p>
        </w:tc>
        <w:tc>
          <w:tcPr>
            <w:tcW w:w="49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AND PURPOSE OF THE COMPANY</w:t>
            </w:r>
          </w:p>
        </w:tc>
        <w:tc>
          <w:tcPr>
            <w:tcW w:w="22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SOCIÉTÉ</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1  Corporate Name and Duration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1  Raison sociale et durée</w:t>
            </w:r>
          </w:p>
        </w:tc>
      </w:tr>
      <w:tr>
        <w:trPr>
          <w:trHeight w:val="405"/>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Under the name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Sous la raison sociale</w:t>
            </w:r>
          </w:p>
        </w:tc>
      </w:tr>
      <w:tr>
        <w:trPr>
          <w:trHeight w:val="391"/>
        </w:trPr>
        <w:tc>
          <w:tcPr>
            <w:tcW w:w="640" w:type="dxa"/>
            <w:vAlign w:val="bottom"/>
            <w:tcBorders>
              <w:left w:val="single" w:sz="8" w:color="auto"/>
            </w:tcBorders>
          </w:tcPr>
          <w:p>
            <w:pPr>
              <w:spacing w:after="0"/>
              <w:rPr>
                <w:sz w:val="24"/>
                <w:szCs w:val="24"/>
                <w:color w:val="auto"/>
              </w:rPr>
            </w:pPr>
          </w:p>
        </w:tc>
        <w:tc>
          <w:tcPr>
            <w:tcW w:w="498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AC Immune SA</w:t>
            </w:r>
          </w:p>
        </w:tc>
        <w:tc>
          <w:tcPr>
            <w:tcW w:w="22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96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AC Immune SA</w:t>
            </w:r>
          </w:p>
        </w:tc>
      </w:tr>
      <w:tr>
        <w:trPr>
          <w:trHeight w:val="203"/>
        </w:trPr>
        <w:tc>
          <w:tcPr>
            <w:tcW w:w="64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jc w:val="center"/>
              <w:ind w:right="550"/>
              <w:spacing w:after="0" w:line="202" w:lineRule="exact"/>
              <w:rPr>
                <w:sz w:val="20"/>
                <w:szCs w:val="20"/>
                <w:color w:val="auto"/>
              </w:rPr>
            </w:pPr>
            <w:r>
              <w:rPr>
                <w:rFonts w:ascii="Arial" w:cs="Arial" w:eastAsia="Arial" w:hAnsi="Arial"/>
                <w:sz w:val="18"/>
                <w:szCs w:val="18"/>
                <w:color w:val="auto"/>
                <w:w w:val="99"/>
              </w:rPr>
              <w:t>(AC Immune AG)</w:t>
            </w:r>
          </w:p>
        </w:tc>
        <w:tc>
          <w:tcPr>
            <w:tcW w:w="2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60" w:type="dxa"/>
            <w:vAlign w:val="bottom"/>
            <w:tcBorders>
              <w:right w:val="single" w:sz="8" w:color="auto"/>
            </w:tcBorders>
          </w:tcPr>
          <w:p>
            <w:pPr>
              <w:jc w:val="center"/>
              <w:ind w:right="530"/>
              <w:spacing w:after="0" w:line="202" w:lineRule="exact"/>
              <w:rPr>
                <w:sz w:val="20"/>
                <w:szCs w:val="20"/>
                <w:color w:val="auto"/>
              </w:rPr>
            </w:pPr>
            <w:r>
              <w:rPr>
                <w:rFonts w:ascii="Arial" w:cs="Arial" w:eastAsia="Arial" w:hAnsi="Arial"/>
                <w:sz w:val="18"/>
                <w:szCs w:val="18"/>
                <w:color w:val="auto"/>
                <w:w w:val="99"/>
              </w:rPr>
              <w:t>(AC Immune AG)</w:t>
            </w:r>
          </w:p>
        </w:tc>
      </w:tr>
      <w:tr>
        <w:trPr>
          <w:trHeight w:val="217"/>
        </w:trPr>
        <w:tc>
          <w:tcPr>
            <w:tcW w:w="640" w:type="dxa"/>
            <w:vAlign w:val="bottom"/>
            <w:tcBorders>
              <w:left w:val="single" w:sz="8" w:color="auto"/>
            </w:tcBorders>
          </w:tcPr>
          <w:p>
            <w:pPr>
              <w:spacing w:after="0"/>
              <w:rPr>
                <w:sz w:val="18"/>
                <w:szCs w:val="18"/>
                <w:color w:val="auto"/>
              </w:rPr>
            </w:pPr>
          </w:p>
        </w:tc>
        <w:tc>
          <w:tcPr>
            <w:tcW w:w="498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rPr>
              <w:t>(AC Immune Ltd)</w:t>
            </w:r>
          </w:p>
        </w:tc>
        <w:tc>
          <w:tcPr>
            <w:tcW w:w="2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(AC Immune Ltd)</w:t>
            </w:r>
          </w:p>
        </w:tc>
      </w:tr>
      <w:tr>
        <w:trPr>
          <w:trHeight w:val="373"/>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there exists a Company pursuant to the provisions of Articles 620 </w:t>
            </w:r>
            <w:r>
              <w:rPr>
                <w:rFonts w:ascii="Arial" w:cs="Arial" w:eastAsia="Arial" w:hAnsi="Arial"/>
                <w:sz w:val="18"/>
                <w:szCs w:val="18"/>
                <w:i w:val="1"/>
                <w:iCs w:val="1"/>
                <w:color w:val="auto"/>
              </w:rPr>
              <w:t>et</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il existe une société conformément aux articles 620 ss. du Code</w:t>
            </w:r>
          </w:p>
        </w:tc>
      </w:tr>
      <w:tr>
        <w:trPr>
          <w:trHeight w:val="221"/>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i w:val="1"/>
                <w:iCs w:val="1"/>
                <w:color w:val="auto"/>
              </w:rPr>
              <w:t xml:space="preserve">seq. </w:t>
            </w:r>
            <w:r>
              <w:rPr>
                <w:rFonts w:ascii="Arial" w:cs="Arial" w:eastAsia="Arial" w:hAnsi="Arial"/>
                <w:sz w:val="18"/>
                <w:szCs w:val="18"/>
                <w:color w:val="auto"/>
              </w:rPr>
              <w:t>of the Swiss Code of Obligations (CO) with registered office in</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 Obligations suisse (CO) ayant son siège à Ecublens (VD). La</w:t>
            </w:r>
          </w:p>
        </w:tc>
      </w:tr>
      <w:tr>
        <w:trPr>
          <w:trHeight w:val="217"/>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Ecublens (VD). The duration of the Company is unlimited.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durée de la société est illimitée.</w:t>
            </w:r>
          </w:p>
        </w:tc>
      </w:tr>
      <w:tr>
        <w:trPr>
          <w:trHeight w:val="95"/>
        </w:trPr>
        <w:tc>
          <w:tcPr>
            <w:tcW w:w="640" w:type="dxa"/>
            <w:vAlign w:val="bottom"/>
            <w:tcBorders>
              <w:left w:val="single" w:sz="8" w:color="auto"/>
              <w:bottom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960" w:type="dxa"/>
            <w:vAlign w:val="bottom"/>
            <w:tcBorders>
              <w:bottom w:val="single" w:sz="8" w:color="auto"/>
              <w:right w:val="single" w:sz="8" w:color="auto"/>
            </w:tcBorders>
          </w:tcPr>
          <w:p>
            <w:pPr>
              <w:spacing w:after="0"/>
              <w:rPr>
                <w:sz w:val="8"/>
                <w:szCs w:val="8"/>
                <w:color w:val="auto"/>
              </w:rPr>
            </w:pPr>
          </w:p>
        </w:tc>
      </w:tr>
      <w:tr>
        <w:trPr>
          <w:trHeight w:val="318"/>
        </w:trPr>
        <w:tc>
          <w:tcPr>
            <w:tcW w:w="64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2</w:t>
            </w:r>
          </w:p>
        </w:tc>
        <w:tc>
          <w:tcPr>
            <w:tcW w:w="49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Purpose</w:t>
            </w:r>
          </w:p>
        </w:tc>
        <w:tc>
          <w:tcPr>
            <w:tcW w:w="220" w:type="dxa"/>
            <w:vAlign w:val="bottom"/>
            <w:tcBorders>
              <w:right w:val="single" w:sz="8" w:color="auto"/>
            </w:tcBorders>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Art. 2</w:t>
            </w:r>
          </w:p>
        </w:tc>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But</w:t>
            </w:r>
          </w:p>
        </w:tc>
      </w:tr>
      <w:tr>
        <w:trPr>
          <w:trHeight w:val="391"/>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purpose of the Company is the research, study, development,</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but de la société est la recherche, les études, le développement,</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manufacture,  promotion,  sale  and  marketing  of  products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 fabrication, la promotion, la vente et le marketing des produits et</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substances within the pharmaceutical and nutrition industry as well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des substances au sein de l'industrie pharmaceutique et de la</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as the purchase, sale and exploitation of patents and licenses in this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nutrition ainsi que l'achat, la vente et l'exploitation de brevets et de</w:t>
            </w:r>
          </w:p>
        </w:tc>
      </w:tr>
      <w:tr>
        <w:trPr>
          <w:trHeight w:val="217"/>
        </w:trPr>
        <w:tc>
          <w:tcPr>
            <w:tcW w:w="6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field.</w:t>
            </w:r>
          </w:p>
        </w:tc>
        <w:tc>
          <w:tcPr>
            <w:tcW w:w="49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licences dans ce domaine.</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Company may engage in any activities which are apt to favor</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peut se livrer à des activités qui sont de nature à</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purpose of the Company directly or indirectly. The Company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favoriser directement ou indirectement le but de la société. La</w:t>
            </w:r>
          </w:p>
        </w:tc>
      </w:tr>
      <w:tr>
        <w:trPr>
          <w:trHeight w:val="217"/>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may also acquire and sell real estate.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société peut également acquérir et vendre des biens immobiliers.</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Company may open branch offices in Switzerland and abroad</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peut ouvrir des succursales en Suisse et à l'étranger et</w:t>
            </w:r>
          </w:p>
        </w:tc>
      </w:tr>
      <w:tr>
        <w:trPr>
          <w:trHeight w:val="217"/>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and may also acquire participations in other companies.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peut également acquérir des participations dans d'autres sociétés.</w:t>
            </w:r>
          </w:p>
        </w:tc>
      </w:tr>
      <w:tr>
        <w:trPr>
          <w:trHeight w:val="95"/>
        </w:trPr>
        <w:tc>
          <w:tcPr>
            <w:tcW w:w="640" w:type="dxa"/>
            <w:vAlign w:val="bottom"/>
            <w:tcBorders>
              <w:left w:val="single" w:sz="8" w:color="auto"/>
              <w:bottom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960" w:type="dxa"/>
            <w:vAlign w:val="bottom"/>
            <w:tcBorders>
              <w:bottom w:val="single" w:sz="8" w:color="auto"/>
              <w:right w:val="single" w:sz="8" w:color="auto"/>
            </w:tcBorders>
          </w:tcPr>
          <w:p>
            <w:pPr>
              <w:spacing w:after="0"/>
              <w:rPr>
                <w:sz w:val="8"/>
                <w:szCs w:val="8"/>
                <w:color w:val="auto"/>
              </w:rPr>
            </w:pPr>
          </w:p>
        </w:tc>
      </w:tr>
      <w:tr>
        <w:trPr>
          <w:trHeight w:val="304"/>
        </w:trPr>
        <w:tc>
          <w:tcPr>
            <w:tcW w:w="6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62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Company may provide securities to its subsidiaries and supply</w:t>
            </w: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peut fournir des titres à ses filiales et des garanties</w:t>
            </w:r>
          </w:p>
        </w:tc>
      </w:tr>
      <w:tr>
        <w:trPr>
          <w:trHeight w:val="217"/>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guarantees.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d'approvisionnement.</w:t>
            </w:r>
          </w:p>
        </w:tc>
      </w:tr>
      <w:tr>
        <w:trPr>
          <w:trHeight w:val="95"/>
        </w:trPr>
        <w:tc>
          <w:tcPr>
            <w:tcW w:w="500" w:type="dxa"/>
            <w:vAlign w:val="bottom"/>
            <w:tcBorders>
              <w:left w:val="single" w:sz="8" w:color="auto"/>
              <w:bottom w:val="single" w:sz="8" w:color="auto"/>
            </w:tcBorders>
          </w:tcPr>
          <w:p>
            <w:pPr>
              <w:spacing w:after="0"/>
              <w:rPr>
                <w:sz w:val="8"/>
                <w:szCs w:val="8"/>
                <w:color w:val="auto"/>
              </w:rPr>
            </w:pPr>
          </w:p>
        </w:tc>
        <w:tc>
          <w:tcPr>
            <w:tcW w:w="512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318"/>
        </w:trPr>
        <w:tc>
          <w:tcPr>
            <w:tcW w:w="5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II.</w:t>
            </w:r>
          </w:p>
        </w:tc>
        <w:tc>
          <w:tcPr>
            <w:tcW w:w="51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SHARE CAPITAL AND SHARES</w:t>
            </w:r>
          </w:p>
        </w:tc>
        <w:tc>
          <w:tcPr>
            <w:tcW w:w="220" w:type="dxa"/>
            <w:vAlign w:val="bottom"/>
            <w:tcBorders>
              <w:right w:val="single" w:sz="8" w:color="auto"/>
            </w:tcBorders>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b w:val="1"/>
                <w:bCs w:val="1"/>
                <w:color w:val="auto"/>
              </w:rPr>
              <w:t>II.</w:t>
            </w:r>
          </w:p>
        </w:tc>
        <w:tc>
          <w:tcPr>
            <w:tcW w:w="51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CAPITAL-ACTIONS ET ACTIONS</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  Share Capital and Shares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  Capital-actions et actions</w:t>
            </w:r>
          </w:p>
        </w:tc>
      </w:tr>
      <w:tr>
        <w:trPr>
          <w:trHeight w:val="391"/>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Share Capital of the Company is CHF 1'433'243.30. It is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capital-actions de la société se monte à CHF 1'433'243.30. Il est</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divided into 71'662'165 registered shares with a nominal value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divisé en 71'662'165 actions nominatives d'une valeur nominale de</w:t>
            </w:r>
          </w:p>
        </w:tc>
      </w:tr>
      <w:tr>
        <w:trPr>
          <w:trHeight w:val="217"/>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CHF 0.02 each, fully paid-in.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CHF 0.02 chacune, entièrement libérées.</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3a Authorized Capital Increase of Share Capital</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3a Augmentation autorisée du capital-actions</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is authorized to increase the share capital, in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est autorisé à augmenter le capital-</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one or several steps until 20 October 2017, by a maximum amount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actions, en une ou plusieurs étapes jusqu'au 20 octobre 2017, d'un</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of CHF 288'950 by issuing a maximum of 14'447'500 registered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montant maximum de CHF 288'950 par l'émission d'un montant</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shares with a par value of CHF 0.02 each, to be fully paid up. An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maximum de 14'447'500 actions nominatives d'une valeur nominale</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increase of the share capital (i) by means of an offering underwritten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 CHF 0.02 chacune, à libérer entièrement. Une augmentation de</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by a financial institution, a syndicate or another third party or third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capital (i) par souscription d'actions par une institution financière, un</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parties, followed by an offer to the then-existing shareholders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syndicat ou un tiers ou des tiers, suivie par une souscription</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Company and (ii) in partial amounts shall also be permissible.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d'actions par les actionnaires de la société alors existants et (ii) par</w:t>
            </w:r>
          </w:p>
        </w:tc>
      </w:tr>
      <w:tr>
        <w:trPr>
          <w:trHeight w:val="217"/>
        </w:trPr>
        <w:tc>
          <w:tcPr>
            <w:tcW w:w="50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montants partiels, est également autorisée.</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shall determine the time of the issuance,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fixe  la  date  d'émission,  le  prix</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issue price, the manner in which the new registered shares have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d'émission, la manière de libérer les nouvelles actions nominatives,</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be paid up, the date from which the registered shares carry the right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 date à partir de laquelle les actions nominatives donnent droit à</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to dividends, the conditions for the exercise of the preemptive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un  dividende,  les  conditions  pour  l'exercice  des  droits  de</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and the allotment of preemptive rights that have not been exercised.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souscription préférentiels et l'attribution des droits de souscription</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Board of Directors may allow the preemptive rights that have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préférentiels qui n'ont pas été exercés. Le conseil d'administration</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not been exercised to expire, or it may place with third parties such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peut autoriser que des droits de souscription préférentiels qui n'ont</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rights or registered shares, the preemptive rights of which have not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pas été exercés expirent ou attribuer à des tiers ces droits ou</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been exercised, at market conditions or use them otherwise in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actions nominatives, dont les droits de souscription préférentiels</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interest of the Company.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n'ont pas été exercés, aux conditions du marché ou les utiliser</w:t>
            </w:r>
          </w:p>
        </w:tc>
      </w:tr>
      <w:tr>
        <w:trPr>
          <w:trHeight w:val="217"/>
        </w:trPr>
        <w:tc>
          <w:tcPr>
            <w:tcW w:w="50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autrement dans l'intérêt de la société.</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is authorized to withdraw or limit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est autorisé à retirer ou de limiter les</w:t>
            </w:r>
          </w:p>
        </w:tc>
      </w:tr>
      <w:tr>
        <w:trPr>
          <w:trHeight w:val="217"/>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preemptive rights of the shareholders and to allot them to third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droits de souscription préférentiels des actionnaires et de les</w:t>
            </w:r>
          </w:p>
        </w:tc>
      </w:tr>
      <w:tr>
        <w:trPr>
          <w:trHeight w:val="95"/>
        </w:trPr>
        <w:tc>
          <w:tcPr>
            <w:tcW w:w="500" w:type="dxa"/>
            <w:vAlign w:val="bottom"/>
            <w:tcBorders>
              <w:left w:val="single" w:sz="8" w:color="auto"/>
              <w:bottom w:val="single" w:sz="8" w:color="auto"/>
            </w:tcBorders>
          </w:tcPr>
          <w:p>
            <w:pPr>
              <w:spacing w:after="0"/>
              <w:rPr>
                <w:sz w:val="8"/>
                <w:szCs w:val="8"/>
                <w:color w:val="auto"/>
              </w:rPr>
            </w:pPr>
          </w:p>
        </w:tc>
        <w:tc>
          <w:tcPr>
            <w:tcW w:w="512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304"/>
        </w:trPr>
        <w:tc>
          <w:tcPr>
            <w:tcW w:w="5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w:t>
            </w:r>
          </w:p>
        </w:tc>
        <w:tc>
          <w:tcPr>
            <w:tcW w:w="4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62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parties:</w:t>
            </w: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attribuer à des tiers:</w:t>
            </w:r>
          </w:p>
        </w:tc>
        <w:tc>
          <w:tcPr>
            <w:tcW w:w="0" w:type="dxa"/>
            <w:vAlign w:val="bottom"/>
          </w:tcPr>
          <w:p>
            <w:pPr>
              <w:spacing w:after="0"/>
              <w:rPr>
                <w:sz w:val="1"/>
                <w:szCs w:val="1"/>
                <w:color w:val="auto"/>
              </w:rPr>
            </w:pP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if the issue price of the new registered shares is determined by</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si le prix d'émission des nouvelles actions nominatives est</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reference to the market price; or</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déterminé avec une référence au prix de marché; ou</w:t>
            </w:r>
          </w:p>
        </w:tc>
        <w:tc>
          <w:tcPr>
            <w:tcW w:w="0" w:type="dxa"/>
            <w:vAlign w:val="bottom"/>
          </w:tcPr>
          <w:p>
            <w:pPr>
              <w:spacing w:after="0"/>
              <w:rPr>
                <w:sz w:val="1"/>
                <w:szCs w:val="1"/>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 the acquisition of an enterprise, part of an enterprise or</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pour  l'acquisition  d'une  entreprise,  part  d'entreprise  ou</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participations, or for the financing or refinancing of any of such</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participation, ou pour le financement ou le refinancement de</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acquisition, or in the event of share placement for the financing</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ladite acquisition, ou en cas de placement d'actions pour le</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or refinancing of such placement; or</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financement ou le refinancement dudit placement; ou</w:t>
            </w:r>
          </w:p>
        </w:tc>
        <w:tc>
          <w:tcPr>
            <w:tcW w:w="0" w:type="dxa"/>
            <w:vAlign w:val="bottom"/>
          </w:tcPr>
          <w:p>
            <w:pPr>
              <w:spacing w:after="0"/>
              <w:rPr>
                <w:sz w:val="1"/>
                <w:szCs w:val="1"/>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 purposes of broadening the shareholder constituency of the</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pour l'élargissement de la base des actionnaires de la société</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Company in certain financial or investor markets, for purposes</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dans certains marchés financiers ou d'investissement, afin de</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the participation of strategic partners, or in connection with</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permettre une participation de partenaires stratégiques, ou</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listing or registration of new registered shares on domestic</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dans le cas de cotation ou d'enregistrement de nouvelles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or foreign stock exchanges; or</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actions nominatives aux bourses nationales ou étrangères; ou</w:t>
            </w:r>
          </w:p>
        </w:tc>
        <w:tc>
          <w:tcPr>
            <w:tcW w:w="0" w:type="dxa"/>
            <w:vAlign w:val="bottom"/>
          </w:tcPr>
          <w:p>
            <w:pPr>
              <w:spacing w:after="0"/>
              <w:rPr>
                <w:sz w:val="1"/>
                <w:szCs w:val="1"/>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 purposes of granting an over-allotment option (Greenshoe)</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pour octroyer une option de surallocation (Greenshoe) d'un</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up to 20% of the total number of registered shares in a</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maximum de 20% du nombre total d'actions nominatives dans</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placement or sale of registered shares to the respective initial</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un placement ou une vente d'actions nominatives à l'/des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purchaser(s) or underwriter(s); or</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acheteur(s) initial(s) ou du/des souscripteur(s) respectif(s); ou</w:t>
            </w:r>
          </w:p>
        </w:tc>
        <w:tc>
          <w:tcPr>
            <w:tcW w:w="0" w:type="dxa"/>
            <w:vAlign w:val="bottom"/>
          </w:tcPr>
          <w:p>
            <w:pPr>
              <w:spacing w:after="0"/>
              <w:rPr>
                <w:sz w:val="1"/>
                <w:szCs w:val="1"/>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 raising of capital (including private placements) in a fast and</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e)</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pour lever des capitaux (y compris des placements privés)</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flexible which probably could not be reached without the</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dans  un  délai  rapide  et  flexible,  ce  qui  ne  pourrait</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exclusion of the statutory pre-emptive right of the existing</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probablement  pas  être  réalisé  sans  l'exclusion  du  droit</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shareholders; or</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préférentiel  de  souscription  statuaire  des  actionnaires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existants; ou</w:t>
            </w:r>
          </w:p>
        </w:tc>
        <w:tc>
          <w:tcPr>
            <w:tcW w:w="0" w:type="dxa"/>
            <w:vAlign w:val="bottom"/>
          </w:tcPr>
          <w:p>
            <w:pPr>
              <w:spacing w:after="0"/>
              <w:rPr>
                <w:sz w:val="1"/>
                <w:szCs w:val="1"/>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 other valid grounds in the sense of Article 652b para. 2 CO;</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f)</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pour d'autres motifs valables au sens de l'article 652b al. 2 CO;</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or</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ou</w:t>
            </w:r>
          </w:p>
        </w:tc>
        <w:tc>
          <w:tcPr>
            <w:tcW w:w="0" w:type="dxa"/>
            <w:vAlign w:val="bottom"/>
          </w:tcPr>
          <w:p>
            <w:pPr>
              <w:spacing w:after="0"/>
              <w:rPr>
                <w:sz w:val="1"/>
                <w:szCs w:val="1"/>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g)</w:t>
            </w: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following a shareholder or a group of shareholders acting in</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g)</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suite  à  l'accumulation  par  un  actionnaire  ou  un  groupe</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15"/>
                <w:szCs w:val="15"/>
                <w:color w:val="auto"/>
              </w:rPr>
              <w:t xml:space="preserve">concert having accumulated shareholdings in excess 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d'actionnaires   agissant   de   concert   de   participations</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 of the share capital registered in the commercial register</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5"/>
                <w:szCs w:val="15"/>
                <w:color w:val="auto"/>
              </w:rPr>
              <w:t xml:space="preserve">supérieures à 33 </w:t>
            </w:r>
            <w:r>
              <w:rPr>
                <w:rFonts w:ascii="Arial" w:cs="Arial" w:eastAsia="Arial" w:hAnsi="Arial"/>
                <w:sz w:val="23"/>
                <w:szCs w:val="23"/>
                <w:color w:val="auto"/>
                <w:vertAlign w:val="superscript"/>
              </w:rPr>
              <w:t>1</w:t>
            </w:r>
            <w:r>
              <w:rPr>
                <w:rFonts w:ascii="Arial" w:cs="Arial" w:eastAsia="Arial" w:hAnsi="Arial"/>
                <w:sz w:val="15"/>
                <w:szCs w:val="15"/>
                <w:color w:val="auto"/>
              </w:rPr>
              <w:t>/  % du capital-actions inscrit au registre du</w:t>
            </w:r>
          </w:p>
        </w:tc>
        <w:tc>
          <w:tcPr>
            <w:tcW w:w="0" w:type="dxa"/>
            <w:vAlign w:val="bottom"/>
          </w:tcPr>
          <w:p>
            <w:pPr>
              <w:spacing w:after="0"/>
              <w:rPr>
                <w:sz w:val="1"/>
                <w:szCs w:val="1"/>
                <w:color w:val="auto"/>
              </w:rPr>
            </w:pPr>
          </w:p>
        </w:tc>
      </w:tr>
      <w:tr>
        <w:trPr>
          <w:trHeight w:val="67"/>
        </w:trPr>
        <w:tc>
          <w:tcPr>
            <w:tcW w:w="360" w:type="dxa"/>
            <w:vAlign w:val="bottom"/>
            <w:tcBorders>
              <w:left w:val="single" w:sz="8" w:color="auto"/>
            </w:tcBorders>
          </w:tcPr>
          <w:p>
            <w:pPr>
              <w:spacing w:after="0"/>
              <w:rPr>
                <w:sz w:val="5"/>
                <w:szCs w:val="5"/>
                <w:color w:val="auto"/>
              </w:rPr>
            </w:pPr>
          </w:p>
        </w:tc>
        <w:tc>
          <w:tcPr>
            <w:tcW w:w="5260" w:type="dxa"/>
            <w:vAlign w:val="bottom"/>
            <w:tcBorders>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240" w:type="dxa"/>
            <w:vAlign w:val="bottom"/>
            <w:tcBorders>
              <w:right w:val="single" w:sz="8" w:color="auto"/>
            </w:tcBorders>
          </w:tcPr>
          <w:p>
            <w:pPr>
              <w:ind w:left="1680"/>
              <w:spacing w:after="0" w:line="67" w:lineRule="exact"/>
              <w:rPr>
                <w:sz w:val="20"/>
                <w:szCs w:val="20"/>
                <w:color w:val="auto"/>
              </w:rPr>
            </w:pPr>
            <w:r>
              <w:rPr>
                <w:rFonts w:ascii="Arial" w:cs="Arial" w:eastAsia="Arial" w:hAnsi="Arial"/>
                <w:sz w:val="6"/>
                <w:szCs w:val="6"/>
                <w:color w:val="auto"/>
              </w:rPr>
              <w:t>3</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without having submitted to the other shareholders a takeover</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commerce sans avoir soumis aux autres actionnaires une offre</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offer recommended by the Board of Directors, or for the</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publique d'achat recommandée par le conseil d'administration,</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defense of an actual, threatened or potential takeover bid, in</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ou  pour  la  défense  d'une  offre  publique  d'achat  réelle,</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relation to which the Board of Directors, upon consultation with</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imminente   ou   potentielle,   pour   laquelle   le   conseil</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 independent</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d'administration, après consultation avec un conseiller</w:t>
            </w:r>
          </w:p>
        </w:tc>
        <w:tc>
          <w:tcPr>
            <w:tcW w:w="0" w:type="dxa"/>
            <w:vAlign w:val="bottom"/>
          </w:tcPr>
          <w:p>
            <w:pPr>
              <w:spacing w:after="0"/>
              <w:rPr>
                <w:sz w:val="1"/>
                <w:szCs w:val="1"/>
                <w:color w:val="auto"/>
              </w:rPr>
            </w:pPr>
          </w:p>
        </w:tc>
      </w:tr>
      <w:tr>
        <w:trPr>
          <w:trHeight w:val="405"/>
        </w:trPr>
        <w:tc>
          <w:tcPr>
            <w:tcW w:w="36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financial adviser retained by it, has not</w:t>
            </w:r>
          </w:p>
        </w:tc>
        <w:tc>
          <w:tcPr>
            <w:tcW w:w="2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financier indépendant retenu par lui, n'a</w:t>
            </w:r>
          </w:p>
        </w:tc>
        <w:tc>
          <w:tcPr>
            <w:tcW w:w="0" w:type="dxa"/>
            <w:vAlign w:val="bottom"/>
          </w:tcPr>
          <w:p>
            <w:pPr>
              <w:spacing w:after="0"/>
              <w:rPr>
                <w:sz w:val="1"/>
                <w:szCs w:val="1"/>
                <w:color w:val="auto"/>
              </w:rPr>
            </w:pP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w:t>
            </w: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9"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6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recommended to the shareholders acceptance on the basis that the</w:t>
            </w: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pas recommandé l'acceptation aux actionnaires car il a estimé que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of Directors has not found the takeover bid to be financially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l'offre publique d'achat n'était pas financièrement équitable pour les</w:t>
            </w: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fair to the shareholders.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actionnaires.</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acquisition  of  registered  shares  out  of  authorized  capital</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L'acquisition   d'actions   nominatives   dans   le   cadre   d'une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increase of share capital for general purposes and any transfers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augmentation autorisée du capital-actions à des fins générales et</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registered shares shall be subject to the restrictions specified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les transferts d'actions nominatives sont soumis aux restrictions</w:t>
            </w: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Article 4 of the Articles of Association.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prévues à l'article 4 des statuts.</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281"/>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3b Conditional Capital Increase for Bonds and Similar</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3b Augmentation conditionnelle du capital-actions pour</w:t>
            </w:r>
          </w:p>
        </w:tc>
      </w:tr>
      <w:tr>
        <w:trPr>
          <w:trHeight w:val="239"/>
        </w:trPr>
        <w:tc>
          <w:tcPr>
            <w:tcW w:w="562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Debt Instruments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720"/>
              <w:spacing w:after="0"/>
              <w:rPr>
                <w:sz w:val="20"/>
                <w:szCs w:val="20"/>
                <w:color w:val="auto"/>
              </w:rPr>
            </w:pPr>
            <w:r>
              <w:rPr>
                <w:rFonts w:ascii="Arial" w:cs="Arial" w:eastAsia="Arial" w:hAnsi="Arial"/>
                <w:sz w:val="18"/>
                <w:szCs w:val="18"/>
                <w:b w:val="1"/>
                <w:bCs w:val="1"/>
                <w:color w:val="auto"/>
              </w:rPr>
              <w:t>les obligations et instruments de dettes similaire</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 capital of the Company shall be increased by a maximum</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capital-actions de la société peut être augmenté d'un montant</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amount of CHF 19'560.94 through the issue of a maximum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maximum de CHF 19'560.94 par l'émission d'un maximum de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978'047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978'047 actions nominatives, d'une valeur nominale de CHF 0.02</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value of CHF 0.02 through the exercise of conversion and/or option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chacune, à libérer entièrement, suite à l'exercice de droits de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warrant rights granted in connection with bonds or similar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conversion et/ou d'option ou de bons de souscription accordés en</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instruments,  issued  or  to  be  issued  by  the  Company  or  by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relation avec des obligations ou d'instruments similaires, émis ou</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subsidiaries of the Company, including convertible debt instruments.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devant être émis par la société ou par des filiales de la société, y</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compris les instruments d'emprunt convertibles.</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subscription  rights  are  excluded.  Shareholders'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droit de souscription préférentiel des actionnaires est exclu. Les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advance subscription rights with regard to the new bonds or similar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droits de souscription préférentiels préalables des actionnaires à</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instruments may be restricted or excluded by decision of the Board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l'égard des nouvelles obligations ou instruments similaires peuvent</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Directors in order to finance or re-finance the acquisition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être limités ou exclus par décision du conseil d'administration afin</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companies, parts of companies or holdings, or new investments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financer  ou  de  refinancer  l'acquisition  d'entreprises,  parts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planned by the Company, or in order to issue convertible bonds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d'entreprises ou de holdings, ou de nouveaux investissements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warrants on the international capital markets or through private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prévus  par  la  société,  ou  en  vue  d'émettre  des  obligations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placement. If advance subscription rights are excluded, then (1)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convertibles  et  des  bons  de  souscription  sur  les  marchés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instruments are to be placed at market conditions, (2) the exercise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internationaux de capitaux ou par placement privé. Si les droits de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 is not to exceed ten years from the date of issue for warrants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souscription préférentiels préalables sont exclus, (1) les instruments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twenty years for conversion rights and (3) the conversion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doivent être attribués aux conditions du marché, (2) la période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exercise price for the new shares is to be set at least in line with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d'exercice ne doit pas dépasser dix ans à partir de la date</w:t>
            </w: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market conditions prevailing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d'émission des bons de souscription et vingt ans pour les droits</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6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 the date on which the instruments are issued. The respective</w:t>
            </w: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 conversion et (3) le prix de conversion ou d'exercice des actions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holders of conversion and/or option or warrant rights are entitled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nouvelles  doit  être  fixé  au  moins  aux  conditions  du  marché</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subscribe the new shares.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prévalant à la date à laquelle les instruments sont émis. Les</w:t>
            </w: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détenteurs respectifs de droits de conversion et/ou option ou de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bons de souscription ont le droit de souscrire les nouvelles actions.</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acquisition  of  registered  shares  through  the  exercise  of</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L'acquisition d'actions nominatives par l'exercice de droits ou de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conversion rights or warrants and any transfers of registered shares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bons de conversion et les transferts d'actions nominatives sont</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shall be subject to the restrictions specified in Article 4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assujetties aux restrictions prévues par l'article 4 des statuts.</w:t>
            </w: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Articles of Association.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281"/>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3c Conditional Share Capital Increase for Employee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3c Augmentation conditionnelle du capital-actions pour</w:t>
            </w:r>
          </w:p>
        </w:tc>
      </w:tr>
      <w:tr>
        <w:trPr>
          <w:trHeight w:val="239"/>
        </w:trPr>
        <w:tc>
          <w:tcPr>
            <w:tcW w:w="562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Benefit Plans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720"/>
              <w:spacing w:after="0"/>
              <w:rPr>
                <w:sz w:val="20"/>
                <w:szCs w:val="20"/>
                <w:color w:val="auto"/>
              </w:rPr>
            </w:pPr>
            <w:r>
              <w:rPr>
                <w:rFonts w:ascii="Arial" w:cs="Arial" w:eastAsia="Arial" w:hAnsi="Arial"/>
                <w:sz w:val="18"/>
                <w:szCs w:val="18"/>
                <w:b w:val="1"/>
                <w:bCs w:val="1"/>
                <w:color w:val="auto"/>
              </w:rPr>
              <w:t>les plans d'avantages sociaux</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 capital of the Company shall be increased by an amount</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capital social de la société sera augmenté d'un montant ne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 exceeding CHF 70'460 through the issue of a maximum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dépassant  pas  CHF  70'460  par  l'émission  d'un  maximum  de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3'523'000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3'523'000 actions nominatives, entièrement libérées, chacune avec</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value of CHF 0.02, in connection with the exercise of option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une valeur nominale de CHF 0.02, dans le cadre de l'exercice de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granted to any employee of the Company or a subsidiary, and 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droits d'option accordés à tout employé de la Société ou d'une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consultant, members of the Board of Directors, or other person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succursale,  et  à  tout  consultant,  aux  membres  du  conseil</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providing services to the Company or a subsidiary.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ou à autres personnes fournissant des services en</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faveur de la société ou d'une filiale.</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subscription rights shall be excluded with regard to</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droit de souscription préférentiel des actionnaires est exclu à</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these shares. These new registered shares may be issued at a</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l'égard de ces actions. Ces nouvelles actions nominatives peuvent</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price below the current market price. The Board of Directors shall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être émises à un prix inférieur au prix du marché actuel. Le conseil</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specify the precise conditions of issue including the issue price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doit préciser les conditions précises d'émission, y</w:t>
            </w: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compris le prix d'émission des actions.</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acquisition of registered shares in connection with employee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L'acquisition d'actions nominatives dans le cadre de la participation</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participation and any further transfers of registered shares shall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des employés et d'autres transferts d'actions nominatives sont</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subject to the restrictions specified in Article 4 of the Articles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soumis aux restrictions prévues à l'article 4 des statuts.</w:t>
            </w: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6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  Share Register</w:t>
            </w: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4  Registre des actions</w:t>
            </w:r>
          </w:p>
        </w:tc>
      </w:tr>
      <w:tr>
        <w:trPr>
          <w:trHeight w:val="391"/>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shall maintain a share register in which it shall</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société tient un registre des actions nominatives, dans lequel</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 the name, first name and place of residence (in case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sont inscrits le nom, le prénom et l'adresse (dans le cas d'une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legal  persons  the  place  of  incorporation)  of  the  owners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 morale, le siège) des propriétaires et des usufruitiers des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usufructuaries of its registered shares. Natural and legal persons as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actions.  Les  personnes  physiques  et  morales  ainsi  que  les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well as legal representatives of minors etc. entitled by law to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représentants légaux des mineurs etc. autorisés par la loi à voter</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voting rights of a share which they do not own will be noted in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alors  qu'ils  ne  sont  pas  propriétaires  des  actions  seront,  sur</w:t>
            </w: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 register upon request.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demande, inscrits dans le registre des actions.</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Upon request, acquirers of shares will be registered in the share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Sur demande, les acquéreurs d'actions seront inscrits dans le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 without limitation as shareholders if they expressly certify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registre  des  actions  sans  limitation  comme  actionnaires  s'ils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they acquired the shares in their own name and for their own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attestent expressément qu'ils ont acquis les actions en leur propre</w:t>
            </w: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account.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nom et pour leur propre compte.</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Persons who do not expressly declare in the registration application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personnes  qui  ne  déclarent  pas  expressément  dans  la</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they are holding the shares on their own account (thereafter: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demande d'inscription qu'ils détiennent les actions pour leur propre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nominees) shall forthwith be entered on the share register as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compte (par la suite: les candidats) doivent immédiatement être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with voting rights up to a maximum of 3 percent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inscrits dans le registre des actions comme actionnaires avec droit</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 capital. Beyond that limit, registered shares of nominees shall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vote pour un maximum de 3 pour cent du capital-actions. Au-</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only be entered as voting if the nominees in question confirm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delà de cette limite, les actions nominatives des candidats ne sont</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writing that they are willing to disclose the names, addresses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inscrites avec droit de vote que si les candidats en question</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shareholdings of the persons on whose account they hold 0.5</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confirment par écrit qu'ils sont prêts à divulguer les noms, adresses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percent or more of the share capital. The Board of Directors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et participations des personnes pour le compte desquelles ils</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concludes agreements with nominees that among other things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détiennent 0,5 pour cent ou plus du capital-actions. Le conseil</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govern the representation of shareholders and the voting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conclut des accords avec les candidats qui, entre</w:t>
            </w: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autres choses, régissent la représentation des actionnaires et des</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droits de vote.</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After hearing the registered shareholder or nominee, the Board of</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Après avoir entendu l'actionnaire enregistré ou le candidat, le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may remove entries in the share register with retroactive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conseil d'administration peut supprimer des inscriptions dans le</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effect as per the date of entry, if such entry was based on false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registre des actions avec effet rétroactif à la date d'inscription, si</w:t>
            </w: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information. The party affected must be informed of such removal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cette inscription était basée sur de fausses informations. La partie</w:t>
            </w: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immediately.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touchée doit être immédiatement informée de cette suppression.</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18"/>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individual or legal entity may, directly or</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Aucune personne physique ou morale ne</w:t>
            </w: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6</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620" w:type="dxa"/>
            <w:vAlign w:val="bottom"/>
            <w:tcBorders>
              <w:top w:val="single" w:sz="8" w:color="auto"/>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indirectly, formally, constructively or beneficially own (as defined in</w:t>
            </w: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7"/>
          </w:tcPr>
          <w:p>
            <w:pPr>
              <w:ind w:left="80"/>
              <w:spacing w:after="0"/>
              <w:rPr>
                <w:sz w:val="20"/>
                <w:szCs w:val="20"/>
                <w:color w:val="auto"/>
              </w:rPr>
            </w:pPr>
            <w:r>
              <w:rPr>
                <w:rFonts w:ascii="Arial" w:cs="Arial" w:eastAsia="Arial" w:hAnsi="Arial"/>
                <w:sz w:val="18"/>
                <w:szCs w:val="18"/>
                <w:color w:val="auto"/>
              </w:rPr>
              <w:t>peut, directement ou indirectement, formellement ou implicitement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the  next  paragraph  below)  or  otherwise  control  voting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détenir à son profit (comme défini dans le paragraphe ci-dessous)</w:t>
            </w:r>
          </w:p>
        </w:tc>
        <w:tc>
          <w:tcPr>
            <w:tcW w:w="0" w:type="dxa"/>
            <w:vAlign w:val="bottom"/>
          </w:tcPr>
          <w:p>
            <w:pPr>
              <w:spacing w:after="0"/>
              <w:rPr>
                <w:sz w:val="1"/>
                <w:szCs w:val="1"/>
                <w:color w:val="auto"/>
              </w:rPr>
            </w:pPr>
          </w:p>
        </w:tc>
      </w:tr>
      <w:tr>
        <w:trPr>
          <w:trHeight w:val="203"/>
        </w:trPr>
        <w:tc>
          <w:tcPr>
            <w:tcW w:w="2340" w:type="dxa"/>
            <w:vAlign w:val="bottom"/>
            <w:tcBorders>
              <w:left w:val="single" w:sz="8" w:color="auto"/>
            </w:tcBorders>
            <w:gridSpan w:val="2"/>
          </w:tcPr>
          <w:p>
            <w:pPr>
              <w:ind w:left="100"/>
              <w:spacing w:after="0" w:line="203" w:lineRule="exact"/>
              <w:rPr>
                <w:sz w:val="20"/>
                <w:szCs w:val="20"/>
                <w:color w:val="auto"/>
              </w:rPr>
            </w:pPr>
            <w:r>
              <w:rPr>
                <w:rFonts w:ascii="Arial" w:cs="Arial" w:eastAsia="Arial" w:hAnsi="Arial"/>
                <w:sz w:val="18"/>
                <w:szCs w:val="18"/>
                <w:color w:val="auto"/>
              </w:rPr>
              <w:t>("Controlled Shares") with</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respect</w:t>
            </w:r>
          </w:p>
        </w:tc>
        <w:tc>
          <w:tcPr>
            <w:tcW w:w="2240" w:type="dxa"/>
            <w:vAlign w:val="bottom"/>
          </w:tcPr>
          <w:p>
            <w:pPr>
              <w:ind w:left="40"/>
              <w:spacing w:after="0" w:line="203" w:lineRule="exact"/>
              <w:rPr>
                <w:sz w:val="20"/>
                <w:szCs w:val="20"/>
                <w:color w:val="auto"/>
              </w:rPr>
            </w:pPr>
            <w:r>
              <w:rPr>
                <w:rFonts w:ascii="Arial" w:cs="Arial" w:eastAsia="Arial" w:hAnsi="Arial"/>
                <w:sz w:val="15"/>
                <w:szCs w:val="15"/>
                <w:color w:val="auto"/>
              </w:rPr>
              <w:t xml:space="preserve">to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or more of</w:t>
            </w:r>
          </w:p>
        </w:tc>
        <w:tc>
          <w:tcPr>
            <w:tcW w:w="360" w:type="dxa"/>
            <w:vAlign w:val="bottom"/>
            <w:tcBorders>
              <w:right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5"/>
              </w:rPr>
              <w:t>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3" w:lineRule="exact"/>
              <w:rPr>
                <w:sz w:val="20"/>
                <w:szCs w:val="20"/>
                <w:color w:val="auto"/>
              </w:rPr>
            </w:pPr>
            <w:r>
              <w:rPr>
                <w:rFonts w:ascii="Arial" w:cs="Arial" w:eastAsia="Arial" w:hAnsi="Arial"/>
                <w:sz w:val="18"/>
                <w:szCs w:val="18"/>
                <w:color w:val="auto"/>
              </w:rPr>
              <w:t>ou, d'une autre manière, contrôler le droit de vote (les "Actions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vMerge w:val="restart"/>
          </w:tcPr>
          <w:p>
            <w:pPr>
              <w:ind w:left="100"/>
              <w:spacing w:after="0"/>
              <w:rPr>
                <w:sz w:val="20"/>
                <w:szCs w:val="20"/>
                <w:color w:val="auto"/>
              </w:rPr>
            </w:pPr>
            <w:r>
              <w:rPr>
                <w:rFonts w:ascii="Arial" w:cs="Arial" w:eastAsia="Arial" w:hAnsi="Arial"/>
                <w:sz w:val="18"/>
                <w:szCs w:val="18"/>
                <w:color w:val="auto"/>
              </w:rPr>
              <w:t>registered share capital recorded in the Commercial Register except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5"/>
                <w:szCs w:val="15"/>
                <w:color w:val="auto"/>
              </w:rPr>
              <w:t xml:space="preserve">Contrôlées") de 33 </w:t>
            </w:r>
            <w:r>
              <w:rPr>
                <w:rFonts w:ascii="Arial" w:cs="Arial" w:eastAsia="Arial" w:hAnsi="Arial"/>
                <w:sz w:val="23"/>
                <w:szCs w:val="23"/>
                <w:color w:val="auto"/>
                <w:vertAlign w:val="superscript"/>
              </w:rPr>
              <w:t>1</w:t>
            </w:r>
            <w:r>
              <w:rPr>
                <w:rFonts w:ascii="Arial" w:cs="Arial" w:eastAsia="Arial" w:hAnsi="Arial"/>
                <w:sz w:val="15"/>
                <w:szCs w:val="15"/>
                <w:color w:val="auto"/>
              </w:rPr>
              <w:t>/  % ou plus du capital-actions nominatif tel</w:t>
            </w:r>
          </w:p>
        </w:tc>
        <w:tc>
          <w:tcPr>
            <w:tcW w:w="0" w:type="dxa"/>
            <w:vAlign w:val="bottom"/>
          </w:tcPr>
          <w:p>
            <w:pPr>
              <w:spacing w:after="0"/>
              <w:rPr>
                <w:sz w:val="1"/>
                <w:szCs w:val="1"/>
                <w:color w:val="auto"/>
              </w:rPr>
            </w:pPr>
          </w:p>
        </w:tc>
      </w:tr>
      <w:tr>
        <w:trPr>
          <w:trHeight w:val="67"/>
        </w:trPr>
        <w:tc>
          <w:tcPr>
            <w:tcW w:w="5620" w:type="dxa"/>
            <w:vAlign w:val="bottom"/>
            <w:tcBorders>
              <w:left w:val="single" w:sz="8" w:color="auto"/>
              <w:right w:val="single" w:sz="8" w:color="auto"/>
            </w:tcBorders>
            <w:gridSpan w:val="5"/>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320" w:type="dxa"/>
            <w:vAlign w:val="bottom"/>
          </w:tcPr>
          <w:p>
            <w:pPr>
              <w:ind w:left="1400"/>
              <w:spacing w:after="0" w:line="67" w:lineRule="exact"/>
              <w:rPr>
                <w:sz w:val="20"/>
                <w:szCs w:val="20"/>
                <w:color w:val="auto"/>
              </w:rPr>
            </w:pPr>
            <w:r>
              <w:rPr>
                <w:rFonts w:ascii="Arial" w:cs="Arial" w:eastAsia="Arial" w:hAnsi="Arial"/>
                <w:sz w:val="6"/>
                <w:szCs w:val="6"/>
                <w:color w:val="auto"/>
              </w:rPr>
              <w:t>3</w:t>
            </w: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if such individual or legal entity has submitted prior to the acquisition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qu'inscrit au registre du commerce sauf si cette personne physique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of such Controlled Shares an orderly tender offer to all shareholders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ou morale a présenté avant l'acquisition de ces Actions Contrôlée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with a minimum price of the higher of (i) the volume weighted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une offre publique d'achat en bonne et due forme à tous les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average price of the last 60 trading days prior to the publication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actionnaires à un prix minimum équivalent au montant le plus élevé</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the tender offer or (ii) the highest price paid by such individual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entre (i) le cours moyen pondéré en fonction du volume des 60</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legal entity in the 12 months preceding to the publication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derniers jours de bourse précédant la publication de l'offre publique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tender offer. Those associated through capital, voting power, joint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d'achat et (ii) le plus haut prix payé par cette personne physique ou</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management or in any other way, or joining for the acquisition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morale dans les 12 mois précédant la publication de l'offre publique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shares, shall be regarded as one person. The registered shares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d'achat. Les personnes associées par le capital, les droits de vote,</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ind w:left="100"/>
              <w:spacing w:after="0" w:line="203" w:lineRule="exact"/>
              <w:rPr>
                <w:sz w:val="20"/>
                <w:szCs w:val="20"/>
                <w:color w:val="auto"/>
              </w:rPr>
            </w:pPr>
            <w:r>
              <w:rPr>
                <w:rFonts w:ascii="Arial" w:cs="Arial" w:eastAsia="Arial" w:hAnsi="Arial"/>
                <w:sz w:val="18"/>
                <w:szCs w:val="18"/>
                <w:color w:val="auto"/>
              </w:rPr>
              <w:t>exceeding the</w:t>
            </w: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rPr>
              <w:t>limit of 33</w:t>
            </w:r>
          </w:p>
        </w:tc>
        <w:tc>
          <w:tcPr>
            <w:tcW w:w="680" w:type="dxa"/>
            <w:vAlign w:val="bottom"/>
          </w:tcPr>
          <w:p>
            <w:pPr>
              <w:jc w:val="right"/>
              <w:spacing w:after="0" w:line="203"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w:t>
            </w:r>
          </w:p>
        </w:tc>
        <w:tc>
          <w:tcPr>
            <w:tcW w:w="2240" w:type="dxa"/>
            <w:vAlign w:val="bottom"/>
          </w:tcPr>
          <w:p>
            <w:pPr>
              <w:ind w:left="60"/>
              <w:spacing w:after="0" w:line="203" w:lineRule="exact"/>
              <w:rPr>
                <w:sz w:val="20"/>
                <w:szCs w:val="20"/>
                <w:color w:val="auto"/>
              </w:rPr>
            </w:pPr>
            <w:r>
              <w:rPr>
                <w:rFonts w:ascii="Arial" w:cs="Arial" w:eastAsia="Arial" w:hAnsi="Arial"/>
                <w:sz w:val="18"/>
                <w:szCs w:val="18"/>
                <w:color w:val="auto"/>
              </w:rPr>
              <w:t>and  not  benefiting  from</w:t>
            </w:r>
          </w:p>
        </w:tc>
        <w:tc>
          <w:tcPr>
            <w:tcW w:w="360" w:type="dxa"/>
            <w:vAlign w:val="bottom"/>
            <w:tcBorders>
              <w:right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5"/>
              </w:rPr>
              <w:t>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3" w:lineRule="exact"/>
              <w:rPr>
                <w:sz w:val="20"/>
                <w:szCs w:val="20"/>
                <w:color w:val="auto"/>
              </w:rPr>
            </w:pPr>
            <w:r>
              <w:rPr>
                <w:rFonts w:ascii="Arial" w:cs="Arial" w:eastAsia="Arial" w:hAnsi="Arial"/>
                <w:sz w:val="18"/>
                <w:szCs w:val="18"/>
                <w:color w:val="auto"/>
              </w:rPr>
              <w:t>une gestion commune ou de toute autre manière, ou qui se joignent</w:t>
            </w:r>
          </w:p>
        </w:tc>
        <w:tc>
          <w:tcPr>
            <w:tcW w:w="0" w:type="dxa"/>
            <w:vAlign w:val="bottom"/>
          </w:tcPr>
          <w:p>
            <w:pPr>
              <w:spacing w:after="0"/>
              <w:rPr>
                <w:sz w:val="1"/>
                <w:szCs w:val="1"/>
                <w:color w:val="auto"/>
              </w:rPr>
            </w:pPr>
          </w:p>
        </w:tc>
      </w:tr>
      <w:tr>
        <w:trPr>
          <w:trHeight w:val="202"/>
        </w:trPr>
        <w:tc>
          <w:tcPr>
            <w:tcW w:w="5620" w:type="dxa"/>
            <w:vAlign w:val="bottom"/>
            <w:tcBorders>
              <w:left w:val="single" w:sz="8" w:color="auto"/>
              <w:right w:val="single" w:sz="8" w:color="auto"/>
            </w:tcBorders>
            <w:gridSpan w:val="5"/>
            <w:vMerge w:val="restart"/>
          </w:tcPr>
          <w:p>
            <w:pPr>
              <w:ind w:left="100"/>
              <w:spacing w:after="0"/>
              <w:rPr>
                <w:sz w:val="20"/>
                <w:szCs w:val="20"/>
                <w:color w:val="auto"/>
              </w:rPr>
            </w:pPr>
            <w:r>
              <w:rPr>
                <w:rFonts w:ascii="Arial" w:cs="Arial" w:eastAsia="Arial" w:hAnsi="Arial"/>
                <w:sz w:val="18"/>
                <w:szCs w:val="18"/>
                <w:color w:val="auto"/>
              </w:rPr>
              <w:t>exemption regarding a tender offer shall be entered in the share</w:t>
            </w:r>
          </w:p>
        </w:tc>
        <w:tc>
          <w:tcPr>
            <w:tcW w:w="220" w:type="dxa"/>
            <w:vAlign w:val="bottom"/>
            <w:tcBorders>
              <w:right w:val="single" w:sz="8" w:color="auto"/>
            </w:tcBorders>
          </w:tcPr>
          <w:p>
            <w:pPr>
              <w:spacing w:after="0"/>
              <w:rPr>
                <w:sz w:val="17"/>
                <w:szCs w:val="17"/>
                <w:color w:val="auto"/>
              </w:rPr>
            </w:pP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w w:val="94"/>
              </w:rPr>
              <w:t>pour</w:t>
            </w:r>
          </w:p>
        </w:tc>
        <w:tc>
          <w:tcPr>
            <w:tcW w:w="2320" w:type="dxa"/>
            <w:vAlign w:val="bottom"/>
          </w:tcPr>
          <w:p>
            <w:pPr>
              <w:ind w:left="120"/>
              <w:spacing w:after="0" w:line="202" w:lineRule="exact"/>
              <w:rPr>
                <w:sz w:val="20"/>
                <w:szCs w:val="20"/>
                <w:color w:val="auto"/>
              </w:rPr>
            </w:pPr>
            <w:r>
              <w:rPr>
                <w:rFonts w:ascii="Arial" w:cs="Arial" w:eastAsia="Arial" w:hAnsi="Arial"/>
                <w:sz w:val="18"/>
                <w:szCs w:val="18"/>
                <w:color w:val="auto"/>
              </w:rPr>
              <w:t>une  acquisition  d'actions,</w:t>
            </w:r>
          </w:p>
        </w:tc>
        <w:tc>
          <w:tcPr>
            <w:tcW w:w="520" w:type="dxa"/>
            <w:vAlign w:val="bottom"/>
          </w:tcPr>
          <w:p>
            <w:pPr>
              <w:ind w:left="120"/>
              <w:spacing w:after="0" w:line="202" w:lineRule="exact"/>
              <w:rPr>
                <w:sz w:val="20"/>
                <w:szCs w:val="20"/>
                <w:color w:val="auto"/>
              </w:rPr>
            </w:pPr>
            <w:r>
              <w:rPr>
                <w:rFonts w:ascii="Arial" w:cs="Arial" w:eastAsia="Arial" w:hAnsi="Arial"/>
                <w:sz w:val="18"/>
                <w:szCs w:val="18"/>
                <w:color w:val="auto"/>
              </w:rPr>
              <w:t>sont</w:t>
            </w:r>
          </w:p>
        </w:tc>
        <w:tc>
          <w:tcPr>
            <w:tcW w:w="19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considérées  comme</w:t>
            </w:r>
          </w:p>
        </w:tc>
        <w:tc>
          <w:tcPr>
            <w:tcW w:w="400" w:type="dxa"/>
            <w:vAlign w:val="bottom"/>
            <w:tcBorders>
              <w:right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w w:val="93"/>
              </w:rPr>
              <w:t>une</w:t>
            </w:r>
          </w:p>
        </w:tc>
        <w:tc>
          <w:tcPr>
            <w:tcW w:w="0" w:type="dxa"/>
            <w:vAlign w:val="bottom"/>
          </w:tcPr>
          <w:p>
            <w:pPr>
              <w:spacing w:after="0"/>
              <w:rPr>
                <w:sz w:val="1"/>
                <w:szCs w:val="1"/>
                <w:color w:val="auto"/>
              </w:rPr>
            </w:pPr>
          </w:p>
        </w:tc>
      </w:tr>
      <w:tr>
        <w:trPr>
          <w:trHeight w:val="67"/>
        </w:trPr>
        <w:tc>
          <w:tcPr>
            <w:tcW w:w="5620" w:type="dxa"/>
            <w:vAlign w:val="bottom"/>
            <w:tcBorders>
              <w:left w:val="single" w:sz="8" w:color="auto"/>
              <w:right w:val="single" w:sz="8" w:color="auto"/>
            </w:tcBorders>
            <w:gridSpan w:val="5"/>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180" w:type="dxa"/>
            <w:vAlign w:val="bottom"/>
            <w:gridSpan w:val="5"/>
            <w:vMerge w:val="restart"/>
          </w:tcPr>
          <w:p>
            <w:pPr>
              <w:ind w:left="80"/>
              <w:spacing w:after="0" w:line="243" w:lineRule="exact"/>
              <w:rPr>
                <w:sz w:val="20"/>
                <w:szCs w:val="20"/>
                <w:color w:val="auto"/>
              </w:rPr>
            </w:pPr>
            <w:r>
              <w:rPr>
                <w:rFonts w:ascii="Arial" w:cs="Arial" w:eastAsia="Arial" w:hAnsi="Arial"/>
                <w:sz w:val="17"/>
                <w:szCs w:val="17"/>
                <w:color w:val="auto"/>
              </w:rPr>
              <w:t xml:space="preserve">personne. Les actions nominatives dépassant la limite de 33 </w:t>
            </w:r>
            <w:r>
              <w:rPr>
                <w:rFonts w:ascii="Arial" w:cs="Arial" w:eastAsia="Arial" w:hAnsi="Arial"/>
                <w:sz w:val="28"/>
                <w:szCs w:val="28"/>
                <w:color w:val="auto"/>
                <w:vertAlign w:val="superscript"/>
              </w:rPr>
              <w:t>1</w:t>
            </w:r>
            <w:r>
              <w:rPr>
                <w:rFonts w:ascii="Arial" w:cs="Arial" w:eastAsia="Arial" w:hAnsi="Arial"/>
                <w:sz w:val="17"/>
                <w:szCs w:val="17"/>
                <w:color w:val="auto"/>
              </w:rPr>
              <w:t>/</w:t>
            </w:r>
          </w:p>
        </w:tc>
        <w:tc>
          <w:tcPr>
            <w:tcW w:w="100" w:type="dxa"/>
            <w:vAlign w:val="bottom"/>
          </w:tcPr>
          <w:p>
            <w:pPr>
              <w:spacing w:after="0"/>
              <w:rPr>
                <w:sz w:val="5"/>
                <w:szCs w:val="5"/>
                <w:color w:val="auto"/>
              </w:rPr>
            </w:pPr>
          </w:p>
        </w:tc>
        <w:tc>
          <w:tcPr>
            <w:tcW w:w="3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260" w:type="dxa"/>
            <w:vAlign w:val="bottom"/>
            <w:tcBorders>
              <w:left w:val="single" w:sz="8" w:color="auto"/>
            </w:tcBorders>
            <w:gridSpan w:val="4"/>
            <w:vMerge w:val="restart"/>
          </w:tcPr>
          <w:p>
            <w:pPr>
              <w:ind w:left="100"/>
              <w:spacing w:after="0" w:line="202" w:lineRule="exact"/>
              <w:rPr>
                <w:sz w:val="20"/>
                <w:szCs w:val="20"/>
                <w:color w:val="auto"/>
              </w:rPr>
            </w:pPr>
            <w:r>
              <w:rPr>
                <w:rFonts w:ascii="Arial" w:cs="Arial" w:eastAsia="Arial" w:hAnsi="Arial"/>
                <w:sz w:val="18"/>
                <w:szCs w:val="18"/>
                <w:color w:val="auto"/>
              </w:rPr>
              <w:t>register as shares without voting rights.</w:t>
            </w:r>
          </w:p>
        </w:tc>
        <w:tc>
          <w:tcPr>
            <w:tcW w:w="36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80" w:type="dxa"/>
            <w:vAlign w:val="bottom"/>
            <w:gridSpan w:val="5"/>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3</w:t>
            </w:r>
          </w:p>
        </w:tc>
        <w:tc>
          <w:tcPr>
            <w:tcW w:w="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260" w:type="dxa"/>
            <w:vAlign w:val="bottom"/>
            <w:tcBorders>
              <w:left w:val="single" w:sz="8" w:color="auto"/>
            </w:tcBorders>
            <w:gridSpan w:val="4"/>
            <w:vMerge w:val="continue"/>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et ne bénéficiant pas de l'exemption relative à une offre publique</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d'achat sont inscrites dans le registre des actions comme des</w:t>
            </w:r>
          </w:p>
        </w:tc>
        <w:tc>
          <w:tcPr>
            <w:tcW w:w="0" w:type="dxa"/>
            <w:vAlign w:val="bottom"/>
          </w:tcPr>
          <w:p>
            <w:pPr>
              <w:spacing w:after="0"/>
              <w:rPr>
                <w:sz w:val="1"/>
                <w:szCs w:val="1"/>
                <w:color w:val="auto"/>
              </w:rPr>
            </w:pPr>
          </w:p>
        </w:tc>
      </w:tr>
      <w:tr>
        <w:trPr>
          <w:trHeight w:val="217"/>
        </w:trPr>
        <w:tc>
          <w:tcPr>
            <w:tcW w:w="142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760" w:type="dxa"/>
            <w:vAlign w:val="bottom"/>
            <w:gridSpan w:val="2"/>
          </w:tcPr>
          <w:p>
            <w:pPr>
              <w:ind w:left="80"/>
              <w:spacing w:after="0"/>
              <w:rPr>
                <w:sz w:val="20"/>
                <w:szCs w:val="20"/>
                <w:color w:val="auto"/>
              </w:rPr>
            </w:pPr>
            <w:r>
              <w:rPr>
                <w:rFonts w:ascii="Arial" w:cs="Arial" w:eastAsia="Arial" w:hAnsi="Arial"/>
                <w:sz w:val="18"/>
                <w:szCs w:val="18"/>
                <w:color w:val="auto"/>
              </w:rPr>
              <w:t>actions sans droit de vote.</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620" w:type="dxa"/>
            <w:vAlign w:val="bottom"/>
            <w:tcBorders>
              <w:left w:val="single" w:sz="8" w:color="auto"/>
              <w:bottom w:val="single" w:sz="8" w:color="auto"/>
              <w:right w:val="single" w:sz="8" w:color="auto"/>
            </w:tcBorders>
            <w:gridSpan w:val="5"/>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7"/>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62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For the purposes of this Article 4, "Controlled Shares" in reference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Aux  fins  du  présent  article  4,  Actions  Contrôlées  signifie  en</w:t>
            </w:r>
          </w:p>
        </w:tc>
        <w:tc>
          <w:tcPr>
            <w:tcW w:w="0" w:type="dxa"/>
            <w:vAlign w:val="bottom"/>
          </w:tcPr>
          <w:p>
            <w:pPr>
              <w:spacing w:after="0"/>
              <w:rPr>
                <w:sz w:val="1"/>
                <w:szCs w:val="1"/>
                <w:color w:val="auto"/>
              </w:rPr>
            </w:pPr>
          </w:p>
        </w:tc>
      </w:tr>
      <w:tr>
        <w:trPr>
          <w:trHeight w:val="217"/>
        </w:trPr>
        <w:tc>
          <w:tcPr>
            <w:tcW w:w="3020" w:type="dxa"/>
            <w:vAlign w:val="bottom"/>
            <w:tcBorders>
              <w:left w:val="single" w:sz="8" w:color="auto"/>
            </w:tcBorders>
            <w:gridSpan w:val="3"/>
          </w:tcPr>
          <w:p>
            <w:pPr>
              <w:ind w:left="100"/>
              <w:spacing w:after="0"/>
              <w:rPr>
                <w:sz w:val="20"/>
                <w:szCs w:val="20"/>
                <w:color w:val="auto"/>
              </w:rPr>
            </w:pPr>
            <w:r>
              <w:rPr>
                <w:rFonts w:ascii="Arial" w:cs="Arial" w:eastAsia="Arial" w:hAnsi="Arial"/>
                <w:sz w:val="18"/>
                <w:szCs w:val="18"/>
                <w:color w:val="auto"/>
              </w:rPr>
              <w:t>to any individual or entity means:</w:t>
            </w:r>
          </w:p>
        </w:tc>
        <w:tc>
          <w:tcPr>
            <w:tcW w:w="22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980" w:type="dxa"/>
            <w:vAlign w:val="bottom"/>
            <w:gridSpan w:val="4"/>
          </w:tcPr>
          <w:p>
            <w:pPr>
              <w:ind w:left="80"/>
              <w:spacing w:after="0"/>
              <w:rPr>
                <w:sz w:val="20"/>
                <w:szCs w:val="20"/>
                <w:color w:val="auto"/>
              </w:rPr>
            </w:pPr>
            <w:r>
              <w:rPr>
                <w:rFonts w:ascii="Arial" w:cs="Arial" w:eastAsia="Arial" w:hAnsi="Arial"/>
                <w:sz w:val="18"/>
                <w:szCs w:val="18"/>
                <w:color w:val="auto"/>
              </w:rPr>
              <w:t>référence à toute personne physique ou morale: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620" w:type="dxa"/>
            <w:vAlign w:val="bottom"/>
            <w:tcBorders>
              <w:left w:val="single" w:sz="8" w:color="auto"/>
              <w:bottom w:val="single" w:sz="8" w:color="auto"/>
              <w:right w:val="single" w:sz="8" w:color="auto"/>
            </w:tcBorders>
            <w:gridSpan w:val="5"/>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gridSpan w:val="6"/>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62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(a)  all shares of the Company directly, indirectly or constructively</w:t>
            </w:r>
          </w:p>
        </w:tc>
        <w:tc>
          <w:tcPr>
            <w:tcW w:w="220" w:type="dxa"/>
            <w:vAlign w:val="bottom"/>
            <w:tcBorders>
              <w:right w:val="single" w:sz="8" w:color="auto"/>
            </w:tcBorders>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(a)</w:t>
            </w:r>
          </w:p>
        </w:tc>
        <w:tc>
          <w:tcPr>
            <w:tcW w:w="5140" w:type="dxa"/>
            <w:vAlign w:val="bottom"/>
            <w:tcBorders>
              <w:right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toutes  actions  directement,  indirectement  ou  implicitement</w:t>
            </w:r>
          </w:p>
        </w:tc>
        <w:tc>
          <w:tcPr>
            <w:tcW w:w="0" w:type="dxa"/>
            <w:vAlign w:val="bottom"/>
          </w:tcPr>
          <w:p>
            <w:pPr>
              <w:spacing w:after="0"/>
              <w:rPr>
                <w:sz w:val="1"/>
                <w:szCs w:val="1"/>
                <w:color w:val="auto"/>
              </w:rPr>
            </w:pPr>
          </w:p>
        </w:tc>
      </w:tr>
      <w:tr>
        <w:trPr>
          <w:trHeight w:val="203"/>
        </w:trPr>
        <w:tc>
          <w:tcPr>
            <w:tcW w:w="5260" w:type="dxa"/>
            <w:vAlign w:val="bottom"/>
            <w:tcBorders>
              <w:left w:val="single" w:sz="8" w:color="auto"/>
            </w:tcBorders>
            <w:gridSpan w:val="4"/>
          </w:tcPr>
          <w:p>
            <w:pPr>
              <w:ind w:left="480"/>
              <w:spacing w:after="0" w:line="202" w:lineRule="exact"/>
              <w:rPr>
                <w:sz w:val="20"/>
                <w:szCs w:val="20"/>
                <w:color w:val="auto"/>
              </w:rPr>
            </w:pPr>
            <w:r>
              <w:rPr>
                <w:rFonts w:ascii="Arial" w:cs="Arial" w:eastAsia="Arial" w:hAnsi="Arial"/>
                <w:sz w:val="18"/>
                <w:szCs w:val="18"/>
                <w:color w:val="auto"/>
              </w:rPr>
              <w:t>owned by such individual or entity; provided that</w:t>
            </w:r>
          </w:p>
        </w:tc>
        <w:tc>
          <w:tcPr>
            <w:tcW w:w="3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tcBorders>
              <w:right w:val="single" w:sz="8" w:color="auto"/>
            </w:tcBorders>
            <w:gridSpan w:val="6"/>
          </w:tcPr>
          <w:p>
            <w:pPr>
              <w:jc w:val="right"/>
              <w:ind w:right="10"/>
              <w:spacing w:after="0" w:line="202" w:lineRule="exact"/>
              <w:rPr>
                <w:sz w:val="20"/>
                <w:szCs w:val="20"/>
                <w:color w:val="auto"/>
              </w:rPr>
            </w:pPr>
            <w:r>
              <w:rPr>
                <w:rFonts w:ascii="Arial" w:cs="Arial" w:eastAsia="Arial" w:hAnsi="Arial"/>
                <w:sz w:val="18"/>
                <w:szCs w:val="18"/>
                <w:color w:val="auto"/>
              </w:rPr>
              <w:t>détenues par cette personne physique ou morale, à condition</w:t>
            </w:r>
          </w:p>
        </w:tc>
        <w:tc>
          <w:tcPr>
            <w:tcW w:w="0" w:type="dxa"/>
            <w:vAlign w:val="bottom"/>
          </w:tcPr>
          <w:p>
            <w:pPr>
              <w:spacing w:after="0"/>
              <w:rPr>
                <w:sz w:val="1"/>
                <w:szCs w:val="1"/>
                <w:color w:val="auto"/>
              </w:rPr>
            </w:pPr>
          </w:p>
        </w:tc>
      </w:tr>
      <w:tr>
        <w:trPr>
          <w:trHeight w:val="217"/>
        </w:trPr>
        <w:tc>
          <w:tcPr>
            <w:tcW w:w="142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que</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42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(i)   shares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owned,</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w w:val="94"/>
              </w:rPr>
              <w:t>directly</w:t>
            </w:r>
          </w:p>
        </w:tc>
        <w:tc>
          <w:tcPr>
            <w:tcW w:w="2240" w:type="dxa"/>
            <w:vAlign w:val="bottom"/>
          </w:tcPr>
          <w:p>
            <w:pPr>
              <w:ind w:left="60"/>
              <w:spacing w:after="0"/>
              <w:rPr>
                <w:sz w:val="20"/>
                <w:szCs w:val="20"/>
                <w:color w:val="auto"/>
              </w:rPr>
            </w:pPr>
            <w:r>
              <w:rPr>
                <w:rFonts w:ascii="Arial" w:cs="Arial" w:eastAsia="Arial" w:hAnsi="Arial"/>
                <w:sz w:val="18"/>
                <w:szCs w:val="18"/>
                <w:color w:val="auto"/>
              </w:rPr>
              <w:t>or  indirectly,  by  or  for</w:t>
            </w:r>
          </w:p>
        </w:tc>
        <w:tc>
          <w:tcPr>
            <w:tcW w:w="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a</w:t>
            </w:r>
          </w:p>
        </w:tc>
        <w:tc>
          <w:tcPr>
            <w:tcW w:w="2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140" w:type="dxa"/>
            <w:vAlign w:val="bottom"/>
            <w:tcBorders>
              <w:right w:val="single" w:sz="8" w:color="auto"/>
            </w:tcBorders>
            <w:gridSpan w:val="6"/>
          </w:tcPr>
          <w:p>
            <w:pPr>
              <w:jc w:val="right"/>
              <w:spacing w:after="0"/>
              <w:rPr>
                <w:sz w:val="20"/>
                <w:szCs w:val="20"/>
                <w:color w:val="auto"/>
              </w:rPr>
            </w:pPr>
            <w:r>
              <w:rPr>
                <w:rFonts w:ascii="Arial" w:cs="Arial" w:eastAsia="Arial" w:hAnsi="Arial"/>
                <w:sz w:val="18"/>
                <w:szCs w:val="18"/>
                <w:color w:val="auto"/>
              </w:rPr>
              <w:t>(i)   les actions détenues, directement ou indirectement, par</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880"/>
              <w:spacing w:after="0" w:line="202" w:lineRule="exact"/>
              <w:rPr>
                <w:sz w:val="20"/>
                <w:szCs w:val="20"/>
                <w:color w:val="auto"/>
              </w:rPr>
            </w:pPr>
            <w:r>
              <w:rPr>
                <w:rFonts w:ascii="Arial" w:cs="Arial" w:eastAsia="Arial" w:hAnsi="Arial"/>
                <w:sz w:val="18"/>
                <w:szCs w:val="18"/>
                <w:color w:val="auto"/>
              </w:rPr>
              <w:t>partnership, or trust or estate will be considered as being</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tcBorders>
              <w:right w:val="single" w:sz="8" w:color="auto"/>
            </w:tcBorders>
            <w:gridSpan w:val="6"/>
          </w:tcPr>
          <w:p>
            <w:pPr>
              <w:jc w:val="right"/>
              <w:ind w:right="10"/>
              <w:spacing w:after="0" w:line="202" w:lineRule="exact"/>
              <w:rPr>
                <w:sz w:val="20"/>
                <w:szCs w:val="20"/>
                <w:color w:val="auto"/>
              </w:rPr>
            </w:pPr>
            <w:r>
              <w:rPr>
                <w:rFonts w:ascii="Arial" w:cs="Arial" w:eastAsia="Arial" w:hAnsi="Arial"/>
                <w:sz w:val="18"/>
                <w:szCs w:val="18"/>
                <w:color w:val="auto"/>
              </w:rPr>
              <w:t>ou pour un partenariat, une fiducie ou une communauté</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880"/>
              <w:spacing w:after="0" w:line="202" w:lineRule="exact"/>
              <w:rPr>
                <w:sz w:val="20"/>
                <w:szCs w:val="20"/>
                <w:color w:val="auto"/>
              </w:rPr>
            </w:pPr>
            <w:r>
              <w:rPr>
                <w:rFonts w:ascii="Arial" w:cs="Arial" w:eastAsia="Arial" w:hAnsi="Arial"/>
                <w:sz w:val="18"/>
                <w:szCs w:val="18"/>
                <w:color w:val="auto"/>
              </w:rPr>
              <w:t>owned proportionately by its partners, or beneficiaries;</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tcBorders>
              <w:right w:val="single" w:sz="8" w:color="auto"/>
            </w:tcBorders>
            <w:gridSpan w:val="6"/>
          </w:tcPr>
          <w:p>
            <w:pPr>
              <w:jc w:val="right"/>
              <w:ind w:right="10"/>
              <w:spacing w:after="0" w:line="202" w:lineRule="exact"/>
              <w:rPr>
                <w:sz w:val="20"/>
                <w:szCs w:val="20"/>
                <w:color w:val="auto"/>
              </w:rPr>
            </w:pPr>
            <w:r>
              <w:rPr>
                <w:rFonts w:ascii="Arial" w:cs="Arial" w:eastAsia="Arial" w:hAnsi="Arial"/>
                <w:sz w:val="18"/>
                <w:szCs w:val="18"/>
                <w:color w:val="auto"/>
              </w:rPr>
              <w:t>d'héritiers  sont  considérées  comme  étant  détenues</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ind w:left="880"/>
              <w:spacing w:after="0" w:line="202" w:lineRule="exact"/>
              <w:rPr>
                <w:sz w:val="20"/>
                <w:szCs w:val="20"/>
                <w:color w:val="auto"/>
              </w:rPr>
            </w:pPr>
            <w:r>
              <w:rPr>
                <w:rFonts w:ascii="Arial" w:cs="Arial" w:eastAsia="Arial" w:hAnsi="Arial"/>
                <w:sz w:val="18"/>
                <w:szCs w:val="18"/>
                <w:color w:val="auto"/>
              </w:rPr>
              <w:t>and</w:t>
            </w: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320" w:type="dxa"/>
            <w:vAlign w:val="bottom"/>
          </w:tcPr>
          <w:p>
            <w:pPr>
              <w:ind w:left="420"/>
              <w:spacing w:after="0" w:line="202" w:lineRule="exact"/>
              <w:rPr>
                <w:sz w:val="20"/>
                <w:szCs w:val="20"/>
                <w:color w:val="auto"/>
              </w:rPr>
            </w:pPr>
            <w:r>
              <w:rPr>
                <w:rFonts w:ascii="Arial" w:cs="Arial" w:eastAsia="Arial" w:hAnsi="Arial"/>
                <w:sz w:val="18"/>
                <w:szCs w:val="18"/>
                <w:color w:val="auto"/>
              </w:rPr>
              <w:t>proportionnellement</w:t>
            </w:r>
          </w:p>
        </w:tc>
        <w:tc>
          <w:tcPr>
            <w:tcW w:w="520" w:type="dxa"/>
            <w:vAlign w:val="bottom"/>
          </w:tcPr>
          <w:p>
            <w:pPr>
              <w:spacing w:after="0" w:line="202" w:lineRule="exact"/>
              <w:rPr>
                <w:sz w:val="20"/>
                <w:szCs w:val="20"/>
                <w:color w:val="auto"/>
              </w:rPr>
            </w:pPr>
            <w:r>
              <w:rPr>
                <w:rFonts w:ascii="Arial" w:cs="Arial" w:eastAsia="Arial" w:hAnsi="Arial"/>
                <w:sz w:val="18"/>
                <w:szCs w:val="18"/>
                <w:color w:val="auto"/>
              </w:rPr>
              <w:t>par</w:t>
            </w:r>
          </w:p>
        </w:tc>
        <w:tc>
          <w:tcPr>
            <w:tcW w:w="700" w:type="dxa"/>
            <w:vAlign w:val="bottom"/>
          </w:tcPr>
          <w:p>
            <w:pPr>
              <w:ind w:left="80"/>
              <w:spacing w:after="0" w:line="202" w:lineRule="exact"/>
              <w:rPr>
                <w:sz w:val="20"/>
                <w:szCs w:val="20"/>
                <w:color w:val="auto"/>
              </w:rPr>
            </w:pPr>
            <w:r>
              <w:rPr>
                <w:rFonts w:ascii="Arial" w:cs="Arial" w:eastAsia="Arial" w:hAnsi="Arial"/>
                <w:sz w:val="18"/>
                <w:szCs w:val="18"/>
                <w:color w:val="auto"/>
              </w:rPr>
              <w:t>leurs</w:t>
            </w:r>
          </w:p>
        </w:tc>
        <w:tc>
          <w:tcPr>
            <w:tcW w:w="1200" w:type="dxa"/>
            <w:vAlign w:val="bottom"/>
          </w:tcPr>
          <w:p>
            <w:pPr>
              <w:ind w:left="80"/>
              <w:spacing w:after="0" w:line="202" w:lineRule="exact"/>
              <w:rPr>
                <w:sz w:val="20"/>
                <w:szCs w:val="20"/>
                <w:color w:val="auto"/>
              </w:rPr>
            </w:pPr>
            <w:r>
              <w:rPr>
                <w:rFonts w:ascii="Arial" w:cs="Arial" w:eastAsia="Arial" w:hAnsi="Arial"/>
                <w:sz w:val="18"/>
                <w:szCs w:val="18"/>
                <w:color w:val="auto"/>
              </w:rPr>
              <w:t>partenaires</w:t>
            </w:r>
          </w:p>
        </w:tc>
        <w:tc>
          <w:tcPr>
            <w:tcW w:w="100" w:type="dxa"/>
            <w:vAlign w:val="bottom"/>
          </w:tcPr>
          <w:p>
            <w:pPr>
              <w:spacing w:after="0"/>
              <w:rPr>
                <w:sz w:val="17"/>
                <w:szCs w:val="17"/>
                <w:color w:val="auto"/>
              </w:rPr>
            </w:pPr>
          </w:p>
        </w:tc>
        <w:tc>
          <w:tcPr>
            <w:tcW w:w="30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89"/>
              </w:rPr>
              <w:t>ou</w:t>
            </w:r>
          </w:p>
        </w:tc>
        <w:tc>
          <w:tcPr>
            <w:tcW w:w="0" w:type="dxa"/>
            <w:vAlign w:val="bottom"/>
          </w:tcPr>
          <w:p>
            <w:pPr>
              <w:spacing w:after="0"/>
              <w:rPr>
                <w:sz w:val="1"/>
                <w:szCs w:val="1"/>
                <w:color w:val="auto"/>
              </w:rPr>
            </w:pPr>
          </w:p>
        </w:tc>
      </w:tr>
      <w:tr>
        <w:trPr>
          <w:trHeight w:val="217"/>
        </w:trPr>
        <w:tc>
          <w:tcPr>
            <w:tcW w:w="142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tcPr>
          <w:p>
            <w:pPr>
              <w:ind w:left="420"/>
              <w:spacing w:after="0"/>
              <w:rPr>
                <w:sz w:val="20"/>
                <w:szCs w:val="20"/>
                <w:color w:val="auto"/>
              </w:rPr>
            </w:pPr>
            <w:r>
              <w:rPr>
                <w:rFonts w:ascii="Arial" w:cs="Arial" w:eastAsia="Arial" w:hAnsi="Arial"/>
                <w:sz w:val="18"/>
                <w:szCs w:val="18"/>
                <w:color w:val="auto"/>
              </w:rPr>
              <w:t>bénéficiaires; et</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5620" w:type="dxa"/>
            <w:vAlign w:val="bottom"/>
            <w:tcBorders>
              <w:left w:val="single" w:sz="8" w:color="auto"/>
              <w:right w:val="single" w:sz="8" w:color="auto"/>
            </w:tcBorders>
            <w:gridSpan w:val="5"/>
          </w:tcPr>
          <w:p>
            <w:pPr>
              <w:jc w:val="right"/>
              <w:ind w:right="10"/>
              <w:spacing w:after="0"/>
              <w:rPr>
                <w:sz w:val="20"/>
                <w:szCs w:val="20"/>
                <w:color w:val="auto"/>
              </w:rPr>
            </w:pPr>
            <w:r>
              <w:rPr>
                <w:rFonts w:ascii="Arial" w:cs="Arial" w:eastAsia="Arial" w:hAnsi="Arial"/>
                <w:sz w:val="18"/>
                <w:szCs w:val="18"/>
                <w:color w:val="auto"/>
              </w:rPr>
              <w:t>(ii)  shares owned, directly or indirectly, by or for a corporation</w:t>
            </w:r>
          </w:p>
        </w:tc>
        <w:tc>
          <w:tcPr>
            <w:tcW w:w="2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140" w:type="dxa"/>
            <w:vAlign w:val="bottom"/>
            <w:tcBorders>
              <w:right w:val="single" w:sz="8" w:color="auto"/>
            </w:tcBorders>
            <w:gridSpan w:val="6"/>
          </w:tcPr>
          <w:p>
            <w:pPr>
              <w:jc w:val="right"/>
              <w:spacing w:after="0"/>
              <w:rPr>
                <w:sz w:val="20"/>
                <w:szCs w:val="20"/>
                <w:color w:val="auto"/>
              </w:rPr>
            </w:pPr>
            <w:r>
              <w:rPr>
                <w:rFonts w:ascii="Arial" w:cs="Arial" w:eastAsia="Arial" w:hAnsi="Arial"/>
                <w:sz w:val="18"/>
                <w:szCs w:val="18"/>
                <w:color w:val="auto"/>
              </w:rPr>
              <w:t>(ii)  les actions détenues, directement ou indirectement, par</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5"/>
          </w:tcPr>
          <w:p>
            <w:pPr>
              <w:ind w:left="880"/>
              <w:spacing w:after="0" w:line="202" w:lineRule="exact"/>
              <w:rPr>
                <w:sz w:val="20"/>
                <w:szCs w:val="20"/>
                <w:color w:val="auto"/>
              </w:rPr>
            </w:pPr>
            <w:r>
              <w:rPr>
                <w:rFonts w:ascii="Arial" w:cs="Arial" w:eastAsia="Arial" w:hAnsi="Arial"/>
                <w:sz w:val="18"/>
                <w:szCs w:val="18"/>
                <w:color w:val="auto"/>
              </w:rPr>
              <w:t>will be considered as being owned proportionately by any</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tcBorders>
              <w:right w:val="single" w:sz="8" w:color="auto"/>
            </w:tcBorders>
            <w:gridSpan w:val="6"/>
          </w:tcPr>
          <w:p>
            <w:pPr>
              <w:jc w:val="right"/>
              <w:ind w:right="10"/>
              <w:spacing w:after="0" w:line="202" w:lineRule="exact"/>
              <w:rPr>
                <w:sz w:val="20"/>
                <w:szCs w:val="20"/>
                <w:color w:val="auto"/>
              </w:rPr>
            </w:pPr>
            <w:r>
              <w:rPr>
                <w:rFonts w:ascii="Arial" w:cs="Arial" w:eastAsia="Arial" w:hAnsi="Arial"/>
                <w:sz w:val="18"/>
                <w:szCs w:val="18"/>
                <w:color w:val="auto"/>
              </w:rPr>
              <w:t>ou pour une société seront considérées comme étant</w:t>
            </w:r>
          </w:p>
        </w:tc>
        <w:tc>
          <w:tcPr>
            <w:tcW w:w="0" w:type="dxa"/>
            <w:vAlign w:val="bottom"/>
          </w:tcPr>
          <w:p>
            <w:pPr>
              <w:spacing w:after="0"/>
              <w:rPr>
                <w:sz w:val="1"/>
                <w:szCs w:val="1"/>
                <w:color w:val="auto"/>
              </w:rPr>
            </w:pPr>
          </w:p>
        </w:tc>
      </w:tr>
      <w:tr>
        <w:trPr>
          <w:trHeight w:val="203"/>
        </w:trPr>
        <w:tc>
          <w:tcPr>
            <w:tcW w:w="5260" w:type="dxa"/>
            <w:vAlign w:val="bottom"/>
            <w:tcBorders>
              <w:left w:val="single" w:sz="8" w:color="auto"/>
            </w:tcBorders>
            <w:gridSpan w:val="4"/>
          </w:tcPr>
          <w:p>
            <w:pPr>
              <w:ind w:left="880"/>
              <w:spacing w:after="0" w:line="202" w:lineRule="exact"/>
              <w:rPr>
                <w:sz w:val="20"/>
                <w:szCs w:val="20"/>
                <w:color w:val="auto"/>
              </w:rPr>
            </w:pPr>
            <w:r>
              <w:rPr>
                <w:rFonts w:ascii="Arial" w:cs="Arial" w:eastAsia="Arial" w:hAnsi="Arial"/>
                <w:sz w:val="18"/>
                <w:szCs w:val="18"/>
                <w:color w:val="auto"/>
              </w:rPr>
              <w:t>shareholder owning 50% or more of the</w:t>
            </w:r>
          </w:p>
        </w:tc>
        <w:tc>
          <w:tcPr>
            <w:tcW w:w="3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tcBorders>
              <w:right w:val="single" w:sz="8" w:color="auto"/>
            </w:tcBorders>
            <w:gridSpan w:val="6"/>
          </w:tcPr>
          <w:p>
            <w:pPr>
              <w:jc w:val="right"/>
              <w:ind w:right="10"/>
              <w:spacing w:after="0" w:line="202" w:lineRule="exact"/>
              <w:rPr>
                <w:sz w:val="20"/>
                <w:szCs w:val="20"/>
                <w:color w:val="auto"/>
              </w:rPr>
            </w:pPr>
            <w:r>
              <w:rPr>
                <w:rFonts w:ascii="Arial" w:cs="Arial" w:eastAsia="Arial" w:hAnsi="Arial"/>
                <w:sz w:val="18"/>
                <w:szCs w:val="18"/>
                <w:color w:val="auto"/>
              </w:rPr>
              <w:t>détenues  proportionnellement  par  tout  actionnaire</w:t>
            </w:r>
          </w:p>
        </w:tc>
        <w:tc>
          <w:tcPr>
            <w:tcW w:w="0" w:type="dxa"/>
            <w:vAlign w:val="bottom"/>
          </w:tcPr>
          <w:p>
            <w:pPr>
              <w:spacing w:after="0"/>
              <w:rPr>
                <w:sz w:val="1"/>
                <w:szCs w:val="1"/>
                <w:color w:val="auto"/>
              </w:rPr>
            </w:pPr>
          </w:p>
        </w:tc>
      </w:tr>
      <w:tr>
        <w:trPr>
          <w:trHeight w:val="217"/>
        </w:trPr>
        <w:tc>
          <w:tcPr>
            <w:tcW w:w="142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tcPr>
          <w:p>
            <w:pPr>
              <w:ind w:left="420"/>
              <w:spacing w:after="0"/>
              <w:rPr>
                <w:sz w:val="20"/>
                <w:szCs w:val="20"/>
                <w:color w:val="auto"/>
              </w:rPr>
            </w:pPr>
            <w:r>
              <w:rPr>
                <w:rFonts w:ascii="Arial" w:cs="Arial" w:eastAsia="Arial" w:hAnsi="Arial"/>
                <w:sz w:val="18"/>
                <w:szCs w:val="18"/>
                <w:color w:val="auto"/>
              </w:rPr>
              <w:t>détenant 50%</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420" w:type="dxa"/>
            <w:vAlign w:val="bottom"/>
            <w:tcBorders>
              <w:left w:val="single" w:sz="8" w:color="auto"/>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w:t>
            </w:r>
          </w:p>
        </w:tc>
        <w:tc>
          <w:tcPr>
            <w:tcW w:w="4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9" w:right="239" w:bottom="1440" w:gutter="0" w:footer="0" w:header="0"/>
        </w:sectPr>
      </w:pPr>
    </w:p>
    <w:bookmarkStart w:id="10" w:name="page11"/>
    <w:bookmarkEnd w:id="10"/>
    <w:p>
      <w:pPr>
        <w:ind w:left="74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845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845050"/>
                    </a:xfrm>
                    <a:prstGeom prst="rect">
                      <a:avLst/>
                    </a:prstGeom>
                    <a:noFill/>
                  </pic:spPr>
                </pic:pic>
              </a:graphicData>
            </a:graphic>
          </wp:anchor>
        </w:drawing>
        <w:t>outstanding voting shares of such corporation; and</w:t>
      </w:r>
    </w:p>
    <w:p>
      <w:pPr>
        <w:spacing w:after="0" w:line="200" w:lineRule="exact"/>
        <w:rPr>
          <w:sz w:val="20"/>
          <w:szCs w:val="20"/>
          <w:color w:val="auto"/>
        </w:rPr>
      </w:pPr>
    </w:p>
    <w:p>
      <w:pPr>
        <w:spacing w:after="0" w:line="214" w:lineRule="exact"/>
        <w:rPr>
          <w:sz w:val="20"/>
          <w:szCs w:val="20"/>
          <w:color w:val="auto"/>
        </w:rPr>
      </w:pPr>
    </w:p>
    <w:p>
      <w:pPr>
        <w:ind w:left="786" w:hanging="398"/>
        <w:spacing w:after="0" w:line="246" w:lineRule="auto"/>
        <w:tabs>
          <w:tab w:leader="none" w:pos="786" w:val="left"/>
        </w:tabs>
        <w:numPr>
          <w:ilvl w:val="1"/>
          <w:numId w:val="1"/>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399" w:lineRule="exact"/>
        <w:rPr>
          <w:rFonts w:ascii="Arial" w:cs="Arial" w:eastAsia="Arial" w:hAnsi="Arial"/>
          <w:sz w:val="18"/>
          <w:szCs w:val="18"/>
          <w:color w:val="auto"/>
        </w:rPr>
      </w:pPr>
    </w:p>
    <w:p>
      <w:pPr>
        <w:ind w:left="386" w:hanging="386"/>
        <w:spacing w:after="0" w:line="246" w:lineRule="auto"/>
        <w:tabs>
          <w:tab w:leader="none" w:pos="386"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shares of the Company directly, indirectly beneficially owned by such individual or entity; provided that</w:t>
      </w:r>
    </w:p>
    <w:p>
      <w:pPr>
        <w:spacing w:after="0" w:line="399" w:lineRule="exact"/>
        <w:rPr>
          <w:rFonts w:ascii="Arial" w:cs="Arial" w:eastAsia="Arial" w:hAnsi="Arial"/>
          <w:sz w:val="18"/>
          <w:szCs w:val="18"/>
          <w:color w:val="auto"/>
        </w:rPr>
      </w:pPr>
    </w:p>
    <w:p>
      <w:pPr>
        <w:jc w:val="both"/>
        <w:ind w:left="786" w:hanging="404"/>
        <w:spacing w:after="0" w:line="239" w:lineRule="auto"/>
        <w:tabs>
          <w:tab w:leader="none" w:pos="786" w:val="left"/>
        </w:tabs>
        <w:numPr>
          <w:ilvl w:val="1"/>
          <w:numId w:val="2"/>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201" w:lineRule="exact"/>
        <w:rPr>
          <w:rFonts w:ascii="Arial" w:cs="Arial" w:eastAsia="Arial" w:hAnsi="Arial"/>
          <w:sz w:val="18"/>
          <w:szCs w:val="18"/>
          <w:color w:val="auto"/>
        </w:rPr>
      </w:pPr>
    </w:p>
    <w:p>
      <w:pPr>
        <w:ind w:left="1166" w:hanging="400"/>
        <w:spacing w:after="0" w:line="246" w:lineRule="auto"/>
        <w:tabs>
          <w:tab w:leader="none" w:pos="1166" w:val="left"/>
        </w:tabs>
        <w:numPr>
          <w:ilvl w:val="3"/>
          <w:numId w:val="2"/>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196" w:lineRule="exact"/>
        <w:rPr>
          <w:rFonts w:ascii="Arial" w:cs="Arial" w:eastAsia="Arial" w:hAnsi="Arial"/>
          <w:sz w:val="18"/>
          <w:szCs w:val="18"/>
          <w:color w:val="auto"/>
        </w:rPr>
      </w:pPr>
    </w:p>
    <w:p>
      <w:pPr>
        <w:ind w:left="1166" w:hanging="400"/>
        <w:spacing w:after="0" w:line="246" w:lineRule="auto"/>
        <w:tabs>
          <w:tab w:leader="none" w:pos="1166" w:val="left"/>
        </w:tabs>
        <w:numPr>
          <w:ilvl w:val="3"/>
          <w:numId w:val="2"/>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196" w:lineRule="exact"/>
        <w:rPr>
          <w:rFonts w:ascii="Arial" w:cs="Arial" w:eastAsia="Arial" w:hAnsi="Arial"/>
          <w:sz w:val="18"/>
          <w:szCs w:val="18"/>
          <w:color w:val="auto"/>
        </w:rPr>
      </w:pPr>
    </w:p>
    <w:p>
      <w:pPr>
        <w:jc w:val="both"/>
        <w:ind w:left="786" w:hanging="404"/>
        <w:spacing w:after="0" w:line="252" w:lineRule="auto"/>
        <w:tabs>
          <w:tab w:leader="none" w:pos="786" w:val="left"/>
        </w:tabs>
        <w:numPr>
          <w:ilvl w:val="2"/>
          <w:numId w:val="2"/>
        </w:numPr>
        <w:rPr>
          <w:rFonts w:ascii="Arial" w:cs="Arial" w:eastAsia="Arial" w:hAnsi="Arial"/>
          <w:sz w:val="17"/>
          <w:szCs w:val="17"/>
          <w:color w:val="auto"/>
        </w:rPr>
      </w:pPr>
      <w:r>
        <w:rPr>
          <w:rFonts w:ascii="Arial" w:cs="Arial" w:eastAsia="Arial" w:hAnsi="Arial"/>
          <w:sz w:val="17"/>
          <w:szCs w:val="17"/>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194" w:lineRule="exact"/>
        <w:rPr>
          <w:rFonts w:ascii="Arial" w:cs="Arial" w:eastAsia="Arial" w:hAnsi="Arial"/>
          <w:sz w:val="17"/>
          <w:szCs w:val="17"/>
          <w:color w:val="auto"/>
        </w:rPr>
      </w:pPr>
    </w:p>
    <w:p>
      <w:pPr>
        <w:jc w:val="both"/>
        <w:ind w:left="786" w:hanging="404"/>
        <w:spacing w:after="0" w:line="238" w:lineRule="auto"/>
        <w:tabs>
          <w:tab w:leader="none" w:pos="786" w:val="left"/>
        </w:tabs>
        <w:numPr>
          <w:ilvl w:val="2"/>
          <w:numId w:val="3"/>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w:t>
      </w:r>
    </w:p>
    <w:p>
      <w:pPr>
        <w:spacing w:after="0" w:line="20" w:lineRule="exact"/>
        <w:rPr>
          <w:sz w:val="20"/>
          <w:szCs w:val="20"/>
          <w:color w:val="auto"/>
        </w:rPr>
      </w:pPr>
      <w:r>
        <w:rPr>
          <w:sz w:val="20"/>
          <w:szCs w:val="20"/>
          <w:color w:val="auto"/>
        </w:rPr>
        <w:br w:type="column"/>
      </w:r>
    </w:p>
    <w:p>
      <w:pPr>
        <w:ind w:left="746" w:right="20"/>
        <w:spacing w:after="0" w:line="246" w:lineRule="auto"/>
        <w:rPr>
          <w:sz w:val="20"/>
          <w:szCs w:val="20"/>
          <w:color w:val="auto"/>
        </w:rPr>
      </w:pPr>
      <w:r>
        <w:rPr>
          <w:rFonts w:ascii="Arial" w:cs="Arial" w:eastAsia="Arial" w:hAnsi="Arial"/>
          <w:sz w:val="18"/>
          <w:szCs w:val="18"/>
          <w:color w:val="auto"/>
        </w:rPr>
        <w:t>ou plus des actions avec droit de vote en circulation de cette société; et</w:t>
      </w:r>
    </w:p>
    <w:p>
      <w:pPr>
        <w:spacing w:after="0" w:line="197" w:lineRule="exact"/>
        <w:rPr>
          <w:sz w:val="20"/>
          <w:szCs w:val="20"/>
          <w:color w:val="auto"/>
        </w:rPr>
      </w:pPr>
    </w:p>
    <w:p>
      <w:pPr>
        <w:jc w:val="both"/>
        <w:ind w:left="786" w:hanging="403"/>
        <w:spacing w:after="0"/>
        <w:tabs>
          <w:tab w:leader="none" w:pos="786" w:val="left"/>
        </w:tabs>
        <w:numPr>
          <w:ilvl w:val="1"/>
          <w:numId w:val="4"/>
        </w:numPr>
        <w:rPr>
          <w:rFonts w:ascii="Arial" w:cs="Arial" w:eastAsia="Arial" w:hAnsi="Arial"/>
          <w:sz w:val="18"/>
          <w:szCs w:val="18"/>
          <w:color w:val="auto"/>
        </w:rPr>
      </w:pPr>
      <w:r>
        <w:rPr>
          <w:rFonts w:ascii="Arial" w:cs="Arial" w:eastAsia="Arial" w:hAnsi="Arial"/>
          <w:sz w:val="18"/>
          <w:szCs w:val="18"/>
          <w:color w:val="auto"/>
        </w:rPr>
        <w:t>les actions sujettes à des options, des bons de souscription ou autres droits semblables sont réputées être détenues; et</w:t>
      </w:r>
    </w:p>
    <w:p>
      <w:pPr>
        <w:spacing w:after="0" w:line="202" w:lineRule="exact"/>
        <w:rPr>
          <w:rFonts w:ascii="Arial" w:cs="Arial" w:eastAsia="Arial" w:hAnsi="Arial"/>
          <w:sz w:val="18"/>
          <w:szCs w:val="18"/>
          <w:color w:val="auto"/>
        </w:rPr>
      </w:pPr>
    </w:p>
    <w:p>
      <w:pPr>
        <w:jc w:val="both"/>
        <w:ind w:left="386" w:hanging="386"/>
        <w:spacing w:after="0"/>
        <w:tabs>
          <w:tab w:leader="none" w:pos="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toutes actions de la société détenues directement, indirectement ou à son profit par cette personne physique ou morale, à condition que</w:t>
      </w:r>
    </w:p>
    <w:p>
      <w:pPr>
        <w:spacing w:after="0" w:line="202" w:lineRule="exact"/>
        <w:rPr>
          <w:rFonts w:ascii="Arial" w:cs="Arial" w:eastAsia="Arial" w:hAnsi="Arial"/>
          <w:sz w:val="18"/>
          <w:szCs w:val="18"/>
          <w:color w:val="auto"/>
        </w:rPr>
      </w:pPr>
    </w:p>
    <w:p>
      <w:pPr>
        <w:jc w:val="both"/>
        <w:ind w:left="786" w:hanging="403"/>
        <w:spacing w:after="0" w:line="239" w:lineRule="auto"/>
        <w:tabs>
          <w:tab w:leader="none" w:pos="786" w:val="left"/>
        </w:tabs>
        <w:numPr>
          <w:ilvl w:val="1"/>
          <w:numId w:val="5"/>
        </w:numPr>
        <w:rPr>
          <w:rFonts w:ascii="Arial" w:cs="Arial" w:eastAsia="Arial" w:hAnsi="Arial"/>
          <w:sz w:val="18"/>
          <w:szCs w:val="18"/>
          <w:color w:val="auto"/>
        </w:rPr>
      </w:pPr>
      <w:r>
        <w:rPr>
          <w:rFonts w:ascii="Arial" w:cs="Arial" w:eastAsia="Arial" w:hAnsi="Arial"/>
          <w:sz w:val="18"/>
          <w:szCs w:val="18"/>
          <w:color w:val="auto"/>
        </w:rPr>
        <w:t>un bénéficiaire effectif d'un titre comprend toute personne qui, directement ou indirectement, par le biais d'un contrat, d'un accord, d'une entente, d'une relation, ou autrement, seul ou avec d'autres personnes a ou partage:</w:t>
      </w:r>
    </w:p>
    <w:p>
      <w:pPr>
        <w:spacing w:after="0" w:line="201" w:lineRule="exact"/>
        <w:rPr>
          <w:rFonts w:ascii="Arial" w:cs="Arial" w:eastAsia="Arial" w:hAnsi="Arial"/>
          <w:sz w:val="18"/>
          <w:szCs w:val="18"/>
          <w:color w:val="auto"/>
        </w:rPr>
      </w:pPr>
    </w:p>
    <w:p>
      <w:pPr>
        <w:ind w:left="1166" w:right="20" w:hanging="400"/>
        <w:spacing w:after="0" w:line="246" w:lineRule="auto"/>
        <w:tabs>
          <w:tab w:leader="none" w:pos="1166" w:val="left"/>
        </w:tabs>
        <w:numPr>
          <w:ilvl w:val="2"/>
          <w:numId w:val="5"/>
        </w:numPr>
        <w:rPr>
          <w:rFonts w:ascii="Arial" w:cs="Arial" w:eastAsia="Arial" w:hAnsi="Arial"/>
          <w:sz w:val="18"/>
          <w:szCs w:val="18"/>
          <w:color w:val="auto"/>
        </w:rPr>
      </w:pPr>
      <w:r>
        <w:rPr>
          <w:rFonts w:ascii="Arial" w:cs="Arial" w:eastAsia="Arial" w:hAnsi="Arial"/>
          <w:sz w:val="18"/>
          <w:szCs w:val="18"/>
          <w:color w:val="auto"/>
        </w:rPr>
        <w:t>le pouvoir de voter, y compris le pouvoir de voter ou de diriger le vote d'un tel titre; et/ou</w:t>
      </w:r>
    </w:p>
    <w:p>
      <w:pPr>
        <w:spacing w:after="0" w:line="196" w:lineRule="exact"/>
        <w:rPr>
          <w:rFonts w:ascii="Arial" w:cs="Arial" w:eastAsia="Arial" w:hAnsi="Arial"/>
          <w:sz w:val="18"/>
          <w:szCs w:val="18"/>
          <w:color w:val="auto"/>
        </w:rPr>
      </w:pPr>
    </w:p>
    <w:p>
      <w:pPr>
        <w:ind w:left="1166" w:right="20" w:hanging="400"/>
        <w:spacing w:after="0" w:line="246" w:lineRule="auto"/>
        <w:tabs>
          <w:tab w:leader="none" w:pos="1166" w:val="left"/>
        </w:tabs>
        <w:numPr>
          <w:ilvl w:val="2"/>
          <w:numId w:val="5"/>
        </w:numPr>
        <w:rPr>
          <w:rFonts w:ascii="Arial" w:cs="Arial" w:eastAsia="Arial" w:hAnsi="Arial"/>
          <w:sz w:val="18"/>
          <w:szCs w:val="18"/>
          <w:color w:val="auto"/>
        </w:rPr>
      </w:pPr>
      <w:r>
        <w:rPr>
          <w:rFonts w:ascii="Arial" w:cs="Arial" w:eastAsia="Arial" w:hAnsi="Arial"/>
          <w:sz w:val="18"/>
          <w:szCs w:val="18"/>
          <w:color w:val="auto"/>
        </w:rPr>
        <w:t>le pouvoir d'investir, y compris le pouvoir de disposer ou de diriger la disposition d'un tel titre.</w:t>
      </w:r>
    </w:p>
    <w:p>
      <w:pPr>
        <w:spacing w:after="0" w:line="197" w:lineRule="exact"/>
        <w:rPr>
          <w:sz w:val="20"/>
          <w:szCs w:val="20"/>
          <w:color w:val="auto"/>
        </w:rPr>
      </w:pPr>
    </w:p>
    <w:p>
      <w:pPr>
        <w:jc w:val="both"/>
        <w:ind w:left="786" w:hanging="403"/>
        <w:spacing w:after="0" w:line="236" w:lineRule="auto"/>
        <w:tabs>
          <w:tab w:leader="none" w:pos="786" w:val="left"/>
        </w:tabs>
        <w:numPr>
          <w:ilvl w:val="0"/>
          <w:numId w:val="6"/>
        </w:numPr>
        <w:rPr>
          <w:rFonts w:ascii="Arial" w:cs="Arial" w:eastAsia="Arial" w:hAnsi="Arial"/>
          <w:sz w:val="18"/>
          <w:szCs w:val="18"/>
          <w:color w:val="auto"/>
        </w:rPr>
      </w:pPr>
      <w:r>
        <w:rPr>
          <w:rFonts w:ascii="Arial" w:cs="Arial" w:eastAsia="Arial" w:hAnsi="Arial"/>
          <w:sz w:val="18"/>
          <w:szCs w:val="18"/>
          <w:color w:val="auto"/>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208" w:lineRule="exact"/>
        <w:rPr>
          <w:rFonts w:ascii="Arial" w:cs="Arial" w:eastAsia="Arial" w:hAnsi="Arial"/>
          <w:sz w:val="18"/>
          <w:szCs w:val="18"/>
          <w:color w:val="auto"/>
        </w:rPr>
      </w:pPr>
    </w:p>
    <w:p>
      <w:pPr>
        <w:jc w:val="both"/>
        <w:ind w:left="786" w:right="20" w:hanging="403"/>
        <w:spacing w:after="0" w:line="238" w:lineRule="auto"/>
        <w:tabs>
          <w:tab w:leader="none" w:pos="786"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w:t>
      </w:r>
    </w:p>
    <w:p>
      <w:pPr>
        <w:spacing w:after="0" w:line="200" w:lineRule="exact"/>
        <w:rPr>
          <w:sz w:val="20"/>
          <w:szCs w:val="20"/>
          <w:color w:val="auto"/>
        </w:rPr>
      </w:pPr>
    </w:p>
    <w:p>
      <w:pPr>
        <w:sectPr>
          <w:pgSz w:w="11900" w:h="16838" w:orient="portrait"/>
          <w:cols w:equalWidth="0" w:num="2">
            <w:col w:w="5426" w:space="394"/>
            <w:col w:w="5426"/>
          </w:cols>
          <w:pgMar w:left="334" w:top="719" w:right="319" w:bottom="1440" w:gutter="0" w:footer="0" w:header="0"/>
        </w:sectPr>
      </w:pPr>
    </w:p>
    <w:p>
      <w:pPr>
        <w:spacing w:after="0" w:line="16" w:lineRule="exact"/>
        <w:rPr>
          <w:sz w:val="20"/>
          <w:szCs w:val="20"/>
          <w:color w:val="auto"/>
        </w:rPr>
      </w:pPr>
    </w:p>
    <w:p>
      <w:pPr>
        <w:jc w:val="center"/>
        <w:ind w:right="54"/>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5080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6"/>
          </w:cols>
          <w:pgMar w:left="334" w:top="719" w:right="319" w:bottom="1440" w:gutter="0" w:footer="0" w:header="0"/>
          <w:type w:val="continuous"/>
        </w:sectPr>
      </w:pPr>
    </w:p>
    <w:bookmarkStart w:id="11" w:name="page12"/>
    <w:bookmarkEnd w:id="11"/>
    <w:tbl>
      <w:tblPr>
        <w:tblLayout w:type="fixed"/>
        <w:tblInd w:w="10" w:type="dxa"/>
        <w:tblCellMar>
          <w:top w:w="0" w:type="dxa"/>
          <w:left w:w="0" w:type="dxa"/>
          <w:bottom w:w="0" w:type="dxa"/>
          <w:right w:w="0" w:type="dxa"/>
        </w:tblCellMar>
      </w:tblPr>
      <w:tr>
        <w:trPr>
          <w:trHeight w:val="323"/>
        </w:trPr>
        <w:tc>
          <w:tcPr>
            <w:tcW w:w="562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conversion of a security; (C) pursuant to the power to</w:t>
            </w: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souscription; (B) par la conversion d'un titre; (C) en vertu</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revoke  a  trust,  discretionary  account,  or  similar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60"/>
              <w:spacing w:after="0" w:line="202" w:lineRule="exact"/>
              <w:rPr>
                <w:sz w:val="20"/>
                <w:szCs w:val="20"/>
                <w:color w:val="auto"/>
              </w:rPr>
            </w:pPr>
            <w:r>
              <w:rPr>
                <w:rFonts w:ascii="Arial" w:cs="Arial" w:eastAsia="Arial" w:hAnsi="Arial"/>
                <w:sz w:val="18"/>
                <w:szCs w:val="18"/>
                <w:color w:val="auto"/>
              </w:rPr>
              <w:t>du   pouvoir   de   révoquer   une   fiducie,   compte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arrangement; or (D) pursuant to the automatic termination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60"/>
              <w:spacing w:after="0" w:line="202" w:lineRule="exact"/>
              <w:rPr>
                <w:sz w:val="20"/>
                <w:szCs w:val="20"/>
                <w:color w:val="auto"/>
              </w:rPr>
            </w:pPr>
            <w:r>
              <w:rPr>
                <w:rFonts w:ascii="Arial" w:cs="Arial" w:eastAsia="Arial" w:hAnsi="Arial"/>
                <w:sz w:val="18"/>
                <w:szCs w:val="18"/>
                <w:color w:val="auto"/>
              </w:rPr>
              <w:t>discrétionnaire   ou   accord   semblable;   ou   (D)</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of a trust, discretionary account or similar arrangement.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60"/>
              <w:spacing w:after="0" w:line="202" w:lineRule="exact"/>
              <w:rPr>
                <w:sz w:val="20"/>
                <w:szCs w:val="20"/>
                <w:color w:val="auto"/>
              </w:rPr>
            </w:pPr>
            <w:r>
              <w:rPr>
                <w:rFonts w:ascii="Arial" w:cs="Arial" w:eastAsia="Arial" w:hAnsi="Arial"/>
                <w:sz w:val="18"/>
                <w:szCs w:val="18"/>
                <w:color w:val="auto"/>
              </w:rPr>
              <w:t>conformément à la résiliation automatique d'une fiducie,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The limit of 33 </w:t>
            </w:r>
            <w:r>
              <w:rPr>
                <w:rFonts w:ascii="Arial" w:cs="Arial" w:eastAsia="Arial" w:hAnsi="Arial"/>
                <w:sz w:val="30"/>
                <w:szCs w:val="30"/>
                <w:color w:val="auto"/>
                <w:vertAlign w:val="superscript"/>
              </w:rPr>
              <w:t>1</w:t>
            </w:r>
            <w:r>
              <w:rPr>
                <w:rFonts w:ascii="Arial" w:cs="Arial" w:eastAsia="Arial" w:hAnsi="Arial"/>
                <w:sz w:val="18"/>
                <w:szCs w:val="18"/>
                <w:color w:val="auto"/>
              </w:rPr>
              <w:t>/  % of the registered share capital also applies to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compte discrétionnaire ou accord semblable.</w:t>
            </w:r>
          </w:p>
        </w:tc>
        <w:tc>
          <w:tcPr>
            <w:tcW w:w="0" w:type="dxa"/>
            <w:vAlign w:val="bottom"/>
          </w:tcPr>
          <w:p>
            <w:pPr>
              <w:spacing w:after="0"/>
              <w:rPr>
                <w:sz w:val="1"/>
                <w:szCs w:val="1"/>
                <w:color w:val="auto"/>
              </w:rPr>
            </w:pPr>
          </w:p>
        </w:tc>
      </w:tr>
      <w:tr>
        <w:trPr>
          <w:trHeight w:val="189"/>
        </w:trPr>
        <w:tc>
          <w:tcPr>
            <w:tcW w:w="5620" w:type="dxa"/>
            <w:vAlign w:val="bottom"/>
            <w:tcBorders>
              <w:left w:val="single" w:sz="8" w:color="auto"/>
              <w:right w:val="single" w:sz="8" w:color="auto"/>
            </w:tcBorders>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5620" w:type="dxa"/>
            <w:vAlign w:val="bottom"/>
            <w:tcBorders>
              <w:left w:val="single" w:sz="8" w:color="auto"/>
              <w:right w:val="single" w:sz="8" w:color="auto"/>
            </w:tcBorders>
          </w:tcPr>
          <w:p>
            <w:pPr>
              <w:ind w:left="1460"/>
              <w:spacing w:after="0" w:line="67" w:lineRule="exact"/>
              <w:rPr>
                <w:sz w:val="20"/>
                <w:szCs w:val="20"/>
                <w:color w:val="auto"/>
              </w:rPr>
            </w:pPr>
            <w:r>
              <w:rPr>
                <w:rFonts w:ascii="Arial" w:cs="Arial" w:eastAsia="Arial" w:hAnsi="Arial"/>
                <w:sz w:val="6"/>
                <w:szCs w:val="6"/>
                <w:color w:val="auto"/>
              </w:rPr>
              <w:t>3</w:t>
            </w:r>
          </w:p>
        </w:tc>
        <w:tc>
          <w:tcPr>
            <w:tcW w:w="220" w:type="dxa"/>
            <w:vAlign w:val="bottom"/>
            <w:tcBorders>
              <w:right w:val="single" w:sz="8" w:color="auto"/>
            </w:tcBorders>
          </w:tcPr>
          <w:p>
            <w:pPr>
              <w:spacing w:after="0"/>
              <w:rPr>
                <w:sz w:val="5"/>
                <w:szCs w:val="5"/>
                <w:color w:val="auto"/>
              </w:rPr>
            </w:pPr>
          </w:p>
        </w:tc>
        <w:tc>
          <w:tcPr>
            <w:tcW w:w="5580" w:type="dxa"/>
            <w:vAlign w:val="bottom"/>
            <w:tcBorders>
              <w:right w:val="single" w:sz="8" w:color="auto"/>
            </w:tcBorders>
            <w:vMerge w:val="restart"/>
          </w:tcPr>
          <w:p>
            <w:pPr>
              <w:ind w:left="80"/>
              <w:spacing w:after="0" w:line="269" w:lineRule="exact"/>
              <w:rPr>
                <w:sz w:val="20"/>
                <w:szCs w:val="20"/>
                <w:color w:val="auto"/>
              </w:rPr>
            </w:pPr>
            <w:r>
              <w:rPr>
                <w:rFonts w:ascii="Arial" w:cs="Arial" w:eastAsia="Arial" w:hAnsi="Arial"/>
                <w:sz w:val="18"/>
                <w:szCs w:val="18"/>
                <w:color w:val="auto"/>
              </w:rPr>
              <w:t xml:space="preserve">La  limite de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du  capital-actions  nominatif  s'applique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subscription  for,  or  acquisition  of,  registered  shares  by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exercising option or convertible rights arising from registered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également à la souscription ou l'acquisition d'actions nominatives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bearer securities or any other securities issued by the Company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 l'exercice d'options ou de droits convertibles découlant de titres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third  parties,  as  well  as  by  means  of  exercising  purchased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nominatifs ou au porteur ou d'autres titres émis par la société ou</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preemptive rights arising from either registered or bearer shares.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 des tiers, ainsi que par le biais de l'exercice de droits de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15"/>
                <w:szCs w:val="15"/>
                <w:color w:val="auto"/>
              </w:rPr>
              <w:t xml:space="preserve">The registered shares exceeding the limit 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shall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souscription préférentiels achetés découlant d'actions nominatives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entered in the share register as shares without voting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5"/>
                <w:szCs w:val="15"/>
                <w:color w:val="auto"/>
              </w:rPr>
              <w:t xml:space="preserve">ou au porteur. Les actions nominatives dépassant la limite de 33 </w:t>
            </w:r>
            <w:r>
              <w:rPr>
                <w:rFonts w:ascii="Arial" w:cs="Arial" w:eastAsia="Arial" w:hAnsi="Arial"/>
                <w:sz w:val="23"/>
                <w:szCs w:val="23"/>
                <w:color w:val="auto"/>
                <w:vertAlign w:val="superscript"/>
              </w:rPr>
              <w:t>1</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7"/>
        </w:trPr>
        <w:tc>
          <w:tcPr>
            <w:tcW w:w="5620" w:type="dxa"/>
            <w:vAlign w:val="bottom"/>
            <w:tcBorders>
              <w:left w:val="single" w:sz="8" w:color="auto"/>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580" w:type="dxa"/>
            <w:vAlign w:val="bottom"/>
            <w:tcBorders>
              <w:right w:val="single" w:sz="8" w:color="auto"/>
            </w:tcBorders>
          </w:tcPr>
          <w:p>
            <w:pPr>
              <w:ind w:left="5400"/>
              <w:spacing w:after="0" w:line="67" w:lineRule="exact"/>
              <w:rPr>
                <w:sz w:val="20"/>
                <w:szCs w:val="20"/>
                <w:color w:val="auto"/>
              </w:rPr>
            </w:pPr>
            <w:r>
              <w:rPr>
                <w:rFonts w:ascii="Arial" w:cs="Arial" w:eastAsia="Arial" w:hAnsi="Arial"/>
                <w:sz w:val="6"/>
                <w:szCs w:val="6"/>
                <w:color w:val="auto"/>
              </w:rPr>
              <w:t>3</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 sont inscrites dans le registre des actions comme des actions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 Board of Directors may in special cases approve exceptions to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sans droit de vote.</w:t>
            </w:r>
          </w:p>
        </w:tc>
        <w:tc>
          <w:tcPr>
            <w:tcW w:w="0" w:type="dxa"/>
            <w:vAlign w:val="bottom"/>
          </w:tcPr>
          <w:p>
            <w:pPr>
              <w:spacing w:after="0"/>
              <w:rPr>
                <w:sz w:val="1"/>
                <w:szCs w:val="1"/>
                <w:color w:val="auto"/>
              </w:rPr>
            </w:pPr>
          </w:p>
        </w:tc>
      </w:tr>
      <w:tr>
        <w:trPr>
          <w:trHeight w:val="188"/>
        </w:trPr>
        <w:tc>
          <w:tcPr>
            <w:tcW w:w="5620" w:type="dxa"/>
            <w:vAlign w:val="bottom"/>
            <w:tcBorders>
              <w:left w:val="single" w:sz="8" w:color="auto"/>
              <w:right w:val="single" w:sz="8" w:color="auto"/>
            </w:tcBorders>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above  regulations.  The  Board  of  Directors  is  in  addition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 conseil d'administration peut dans des cas particuliers approuver</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authorized, after due consultation with the person concerned,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des exceptions aux règles précitées. Il est en outre autorisé, après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delete with retroactive effect entries in the share register which were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consultation avec la personne concernée, de supprimer avec effet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effected on the basis of false information.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rétroactif  des  inscriptions  du  registre  des  actions  qui  ont  été</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effectuées sur la base de fausses informations.</w:t>
            </w:r>
          </w:p>
        </w:tc>
        <w:tc>
          <w:tcPr>
            <w:tcW w:w="0" w:type="dxa"/>
            <w:vAlign w:val="bottom"/>
          </w:tcPr>
          <w:p>
            <w:pPr>
              <w:spacing w:after="0"/>
              <w:rPr>
                <w:sz w:val="1"/>
                <w:szCs w:val="1"/>
                <w:color w:val="auto"/>
              </w:rPr>
            </w:pP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5  Share Certificates and Intermediated Securities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5  Certificats d'actions et titres intermédiés</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may issue registered shares in the form of single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société peut émettre des actions nominatives sous forme de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certificates, global certificates and uncertificated securities. Under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certificats  individuels,  de  certificats  globaux  et  de  titres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conditions set forth by statutory law, the Company may convert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dématérialisés. Dans les conditions prévues par la loi, la société</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its registered shares from one form into another form at any time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peut convertir ses actions nominatives d'une forme en une autre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 without the approval of the shareholders.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forme, à tout moment et sans l'approbation des actionnaires.</w:t>
            </w:r>
          </w:p>
        </w:tc>
        <w:tc>
          <w:tcPr>
            <w:tcW w:w="0" w:type="dxa"/>
            <w:vAlign w:val="bottom"/>
          </w:tcPr>
          <w:p>
            <w:pPr>
              <w:spacing w:after="0"/>
              <w:rPr>
                <w:sz w:val="1"/>
                <w:szCs w:val="1"/>
                <w:color w:val="auto"/>
              </w:rPr>
            </w:pP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shareholder has no right to demand a conversion of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L'actionnaire n'a pas le droit d'exiger une conversion d'actions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registered shares. Each shareholder may, however, at any time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nominatives. Chaque actionnaire peut toutefois, à tout moment,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request a written confirmation from the Company of the registered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demander  une  confirmation  écrite  de  la  société  du  nombres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shares held by such shareholder, as reflected in the share register.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d'actions  nominatives  détenues  par  cet  actionnaire  telles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qu'inscrites au registre du commerce.</w:t>
            </w:r>
          </w:p>
        </w:tc>
        <w:tc>
          <w:tcPr>
            <w:tcW w:w="0" w:type="dxa"/>
            <w:vAlign w:val="bottom"/>
          </w:tcPr>
          <w:p>
            <w:pPr>
              <w:spacing w:after="0"/>
              <w:rPr>
                <w:sz w:val="1"/>
                <w:szCs w:val="1"/>
                <w:color w:val="auto"/>
              </w:rPr>
            </w:pP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transfer of intermediated securities and the pledging of these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transfert des titres intermédiés et la mise en gage de ces titres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intermediated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intermédiés suivent les</w:t>
            </w:r>
          </w:p>
        </w:tc>
        <w:tc>
          <w:tcPr>
            <w:tcW w:w="0" w:type="dxa"/>
            <w:vAlign w:val="bottom"/>
          </w:tcPr>
          <w:p>
            <w:pPr>
              <w:spacing w:after="0"/>
              <w:rPr>
                <w:sz w:val="1"/>
                <w:szCs w:val="1"/>
                <w:color w:val="auto"/>
              </w:rPr>
            </w:pPr>
          </w:p>
        </w:tc>
      </w:tr>
      <w:tr>
        <w:trPr>
          <w:trHeight w:val="95"/>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9</w:t>
            </w: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9" w:right="2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rPr>
              <w:t>securities shall be based on the provisions of the Swiss Federal</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dispositions de la Loi fédérale sur les titres intermédiés. Le transfert</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Intermediated Securities Act. Transfer of propriety as collateral by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 propriété à titre de sûreté par cession écrite n'est pas autorisé.</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means of written assignment are not permitted.</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6  Exercise of Shareholders Rights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6  Exercice des droits des actionnaires</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shares are indivisible and the Company recognizes only one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actions sont indivisibles et la société ne reconnaît qu'un seul</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single representative per share.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représentant par action.</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right to vote and the other rights pertaining to a registered</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droit de vote et les autres droits relatifs à une action nominative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share may only be exercised by a shareholder, a usufructuary or a</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ne peut être exercé que par un actionnaire, un usufruitier ou un</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nominee who is registered with the right to vote in the share register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candidat qui est inscrit avec le droit de vote dans le registre des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and by persons who are entitled by law to the voting rights of a</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actions et par des personnes autorisées par la loi à exercer les</w:t>
            </w:r>
          </w:p>
        </w:tc>
      </w:tr>
      <w:tr>
        <w:trPr>
          <w:trHeight w:val="217"/>
        </w:trPr>
        <w:tc>
          <w:tcPr>
            <w:tcW w:w="6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5"/>
              </w:rPr>
              <w:t>share.</w:t>
            </w:r>
          </w:p>
        </w:tc>
        <w:tc>
          <w:tcPr>
            <w:tcW w:w="49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droits de vote d'une action.</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20" w:type="dxa"/>
            <w:vAlign w:val="bottom"/>
            <w:tcBorders>
              <w:bottom w:val="single" w:sz="8" w:color="auto"/>
              <w:right w:val="single" w:sz="8" w:color="auto"/>
            </w:tcBorders>
          </w:tcPr>
          <w:p>
            <w:pPr>
              <w:spacing w:after="0"/>
              <w:rPr>
                <w:sz w:val="8"/>
                <w:szCs w:val="8"/>
                <w:color w:val="auto"/>
              </w:rPr>
            </w:pPr>
          </w:p>
        </w:tc>
      </w:tr>
      <w:tr>
        <w:trPr>
          <w:trHeight w:val="318"/>
        </w:trPr>
        <w:tc>
          <w:tcPr>
            <w:tcW w:w="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III.</w:t>
            </w:r>
          </w:p>
        </w:tc>
        <w:tc>
          <w:tcPr>
            <w:tcW w:w="4960" w:type="dxa"/>
            <w:vAlign w:val="bottom"/>
          </w:tcPr>
          <w:p>
            <w:pPr>
              <w:ind w:left="140"/>
              <w:spacing w:after="0"/>
              <w:rPr>
                <w:sz w:val="20"/>
                <w:szCs w:val="20"/>
                <w:color w:val="auto"/>
              </w:rPr>
            </w:pPr>
            <w:r>
              <w:rPr>
                <w:rFonts w:ascii="Arial" w:cs="Arial" w:eastAsia="Arial" w:hAnsi="Arial"/>
                <w:sz w:val="18"/>
                <w:szCs w:val="18"/>
                <w:b w:val="1"/>
                <w:bCs w:val="1"/>
                <w:color w:val="auto"/>
              </w:rPr>
              <w:t>CORPORATE STRUCTURE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rPr>
              <w:t>III.</w:t>
            </w:r>
          </w:p>
        </w:tc>
        <w:tc>
          <w:tcPr>
            <w:tcW w:w="50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STRUCTURE DE LA SOCIÉTÉ</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20" w:type="dxa"/>
            <w:vAlign w:val="bottom"/>
            <w:tcBorders>
              <w:bottom w:val="single" w:sz="8" w:color="auto"/>
              <w:right w:val="single" w:sz="8" w:color="auto"/>
            </w:tcBorders>
          </w:tcPr>
          <w:p>
            <w:pPr>
              <w:spacing w:after="0"/>
              <w:rPr>
                <w:sz w:val="8"/>
                <w:szCs w:val="8"/>
                <w:color w:val="auto"/>
              </w:rPr>
            </w:pPr>
          </w:p>
        </w:tc>
      </w:tr>
      <w:tr>
        <w:trPr>
          <w:trHeight w:val="318"/>
        </w:trPr>
        <w:tc>
          <w:tcPr>
            <w:tcW w:w="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7</w:t>
            </w:r>
          </w:p>
        </w:tc>
        <w:tc>
          <w:tcPr>
            <w:tcW w:w="4960" w:type="dxa"/>
            <w:vAlign w:val="bottom"/>
          </w:tcPr>
          <w:p>
            <w:pPr>
              <w:ind w:left="140"/>
              <w:spacing w:after="0"/>
              <w:rPr>
                <w:sz w:val="20"/>
                <w:szCs w:val="20"/>
                <w:color w:val="auto"/>
              </w:rPr>
            </w:pPr>
            <w:r>
              <w:rPr>
                <w:rFonts w:ascii="Arial" w:cs="Arial" w:eastAsia="Arial" w:hAnsi="Arial"/>
                <w:sz w:val="18"/>
                <w:szCs w:val="18"/>
                <w:b w:val="1"/>
                <w:bCs w:val="1"/>
                <w:color w:val="auto"/>
              </w:rPr>
              <w:t>Organization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w w:val="99"/>
              </w:rPr>
              <w:t>Art. 7</w:t>
            </w:r>
          </w:p>
        </w:tc>
        <w:tc>
          <w:tcPr>
            <w:tcW w:w="50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Organisation</w:t>
            </w:r>
          </w:p>
        </w:tc>
      </w:tr>
      <w:tr>
        <w:trPr>
          <w:trHeight w:val="405"/>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corporate bodies are: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organes de la société sont:</w:t>
            </w:r>
          </w:p>
        </w:tc>
      </w:tr>
      <w:tr>
        <w:trPr>
          <w:trHeight w:val="405"/>
        </w:trPr>
        <w:tc>
          <w:tcPr>
            <w:tcW w:w="6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4960" w:type="dxa"/>
            <w:vAlign w:val="bottom"/>
          </w:tcPr>
          <w:p>
            <w:pPr>
              <w:ind w:left="20"/>
              <w:spacing w:after="0"/>
              <w:rPr>
                <w:sz w:val="20"/>
                <w:szCs w:val="20"/>
                <w:color w:val="auto"/>
              </w:rPr>
            </w:pPr>
            <w:r>
              <w:rPr>
                <w:rFonts w:ascii="Arial" w:cs="Arial" w:eastAsia="Arial" w:hAnsi="Arial"/>
                <w:sz w:val="18"/>
                <w:szCs w:val="18"/>
                <w:color w:val="auto"/>
              </w:rPr>
              <w:t>the General Meeting;</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L'assemblé générale;</w:t>
            </w:r>
          </w:p>
        </w:tc>
      </w:tr>
      <w:tr>
        <w:trPr>
          <w:trHeight w:val="405"/>
        </w:trPr>
        <w:tc>
          <w:tcPr>
            <w:tcW w:w="6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4960" w:type="dxa"/>
            <w:vAlign w:val="bottom"/>
          </w:tcPr>
          <w:p>
            <w:pPr>
              <w:ind w:left="20"/>
              <w:spacing w:after="0"/>
              <w:rPr>
                <w:sz w:val="20"/>
                <w:szCs w:val="20"/>
                <w:color w:val="auto"/>
              </w:rPr>
            </w:pPr>
            <w:r>
              <w:rPr>
                <w:rFonts w:ascii="Arial" w:cs="Arial" w:eastAsia="Arial" w:hAnsi="Arial"/>
                <w:sz w:val="18"/>
                <w:szCs w:val="18"/>
                <w:color w:val="auto"/>
              </w:rPr>
              <w:t>the Board of Directors;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B.</w:t>
            </w:r>
          </w:p>
        </w:tc>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 conseil d'administration;</w:t>
            </w:r>
          </w:p>
        </w:tc>
      </w:tr>
      <w:tr>
        <w:trPr>
          <w:trHeight w:val="405"/>
        </w:trPr>
        <w:tc>
          <w:tcPr>
            <w:tcW w:w="6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4960" w:type="dxa"/>
            <w:vAlign w:val="bottom"/>
          </w:tcPr>
          <w:p>
            <w:pPr>
              <w:ind w:left="20"/>
              <w:spacing w:after="0"/>
              <w:rPr>
                <w:sz w:val="20"/>
                <w:szCs w:val="20"/>
                <w:color w:val="auto"/>
              </w:rPr>
            </w:pPr>
            <w:r>
              <w:rPr>
                <w:rFonts w:ascii="Arial" w:cs="Arial" w:eastAsia="Arial" w:hAnsi="Arial"/>
                <w:sz w:val="18"/>
                <w:szCs w:val="18"/>
                <w:color w:val="auto"/>
              </w:rPr>
              <w:t>the Auditors.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C.</w:t>
            </w:r>
          </w:p>
        </w:tc>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l'organe de révision.</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20" w:type="dxa"/>
            <w:vAlign w:val="bottom"/>
            <w:tcBorders>
              <w:bottom w:val="single" w:sz="8" w:color="auto"/>
              <w:right w:val="single" w:sz="8" w:color="auto"/>
            </w:tcBorders>
          </w:tcPr>
          <w:p>
            <w:pPr>
              <w:spacing w:after="0"/>
              <w:rPr>
                <w:sz w:val="8"/>
                <w:szCs w:val="8"/>
                <w:color w:val="auto"/>
              </w:rPr>
            </w:pPr>
          </w:p>
        </w:tc>
      </w:tr>
      <w:tr>
        <w:trPr>
          <w:trHeight w:val="318"/>
        </w:trPr>
        <w:tc>
          <w:tcPr>
            <w:tcW w:w="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IV.</w:t>
            </w:r>
          </w:p>
        </w:tc>
        <w:tc>
          <w:tcPr>
            <w:tcW w:w="4960" w:type="dxa"/>
            <w:vAlign w:val="bottom"/>
          </w:tcPr>
          <w:p>
            <w:pPr>
              <w:ind w:left="140"/>
              <w:spacing w:after="0"/>
              <w:rPr>
                <w:sz w:val="20"/>
                <w:szCs w:val="20"/>
                <w:color w:val="auto"/>
              </w:rPr>
            </w:pPr>
            <w:r>
              <w:rPr>
                <w:rFonts w:ascii="Arial" w:cs="Arial" w:eastAsia="Arial" w:hAnsi="Arial"/>
                <w:sz w:val="18"/>
                <w:szCs w:val="18"/>
                <w:b w:val="1"/>
                <w:bCs w:val="1"/>
                <w:color w:val="auto"/>
              </w:rPr>
              <w:t>THE GENERAL MEETING</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rPr>
              <w:t>IV.</w:t>
            </w:r>
          </w:p>
        </w:tc>
        <w:tc>
          <w:tcPr>
            <w:tcW w:w="50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L'ASSEMBLÉE GÉNÉRALE</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20" w:type="dxa"/>
            <w:vAlign w:val="bottom"/>
            <w:tcBorders>
              <w:bottom w:val="single" w:sz="8" w:color="auto"/>
              <w:right w:val="single" w:sz="8" w:color="auto"/>
            </w:tcBorders>
          </w:tcPr>
          <w:p>
            <w:pPr>
              <w:spacing w:after="0"/>
              <w:rPr>
                <w:sz w:val="8"/>
                <w:szCs w:val="8"/>
                <w:color w:val="auto"/>
              </w:rPr>
            </w:pPr>
          </w:p>
        </w:tc>
      </w:tr>
      <w:tr>
        <w:trPr>
          <w:trHeight w:val="318"/>
        </w:trPr>
        <w:tc>
          <w:tcPr>
            <w:tcW w:w="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8</w:t>
            </w:r>
          </w:p>
        </w:tc>
        <w:tc>
          <w:tcPr>
            <w:tcW w:w="4960" w:type="dxa"/>
            <w:vAlign w:val="bottom"/>
          </w:tcPr>
          <w:p>
            <w:pPr>
              <w:ind w:left="140"/>
              <w:spacing w:after="0"/>
              <w:rPr>
                <w:sz w:val="20"/>
                <w:szCs w:val="20"/>
                <w:color w:val="auto"/>
              </w:rPr>
            </w:pPr>
            <w:r>
              <w:rPr>
                <w:rFonts w:ascii="Arial" w:cs="Arial" w:eastAsia="Arial" w:hAnsi="Arial"/>
                <w:sz w:val="18"/>
                <w:szCs w:val="18"/>
                <w:b w:val="1"/>
                <w:bCs w:val="1"/>
                <w:color w:val="auto"/>
              </w:rPr>
              <w:t>Powers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w w:val="99"/>
              </w:rPr>
              <w:t>Art. 8</w:t>
            </w:r>
          </w:p>
        </w:tc>
        <w:tc>
          <w:tcPr>
            <w:tcW w:w="50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Pouvoirs</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General Meeting is the supreme body of the Company. It has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des actionnaires est le pouvoir suprême de</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following non delegable powers: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Elle a les droits intransmissibles suivants:</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a)   to adopt and amend the Articles of Association (Articles 651a,</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   adapter et modifier les statuts (articles 651a, 652g, 653g et</w:t>
            </w:r>
          </w:p>
        </w:tc>
      </w:tr>
      <w:tr>
        <w:trPr>
          <w:trHeight w:val="217"/>
        </w:trPr>
        <w:tc>
          <w:tcPr>
            <w:tcW w:w="5560" w:type="dxa"/>
            <w:vAlign w:val="bottom"/>
            <w:tcBorders>
              <w:left w:val="single" w:sz="8" w:color="auto"/>
            </w:tcBorders>
            <w:gridSpan w:val="2"/>
          </w:tcPr>
          <w:p>
            <w:pPr>
              <w:ind w:left="480"/>
              <w:spacing w:after="0"/>
              <w:rPr>
                <w:sz w:val="20"/>
                <w:szCs w:val="20"/>
                <w:color w:val="auto"/>
              </w:rPr>
            </w:pPr>
            <w:r>
              <w:rPr>
                <w:rFonts w:ascii="Arial" w:cs="Arial" w:eastAsia="Arial" w:hAnsi="Arial"/>
                <w:sz w:val="18"/>
                <w:szCs w:val="18"/>
                <w:color w:val="auto"/>
              </w:rPr>
              <w:t>652g, 653g und 653i CO remain reserved);</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color w:val="auto"/>
              </w:rPr>
              <w:t>653i CO sont réservés);</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20" w:type="dxa"/>
            <w:vAlign w:val="bottom"/>
            <w:tcBorders>
              <w:bottom w:val="single" w:sz="8" w:color="auto"/>
              <w:right w:val="single" w:sz="8" w:color="auto"/>
            </w:tcBorders>
          </w:tcPr>
          <w:p>
            <w:pPr>
              <w:spacing w:after="0"/>
              <w:rPr>
                <w:sz w:val="8"/>
                <w:szCs w:val="8"/>
                <w:color w:val="auto"/>
              </w:rPr>
            </w:pPr>
          </w:p>
        </w:tc>
      </w:tr>
      <w:tr>
        <w:trPr>
          <w:trHeight w:val="304"/>
        </w:trPr>
        <w:tc>
          <w:tcPr>
            <w:tcW w:w="6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10</w:t>
            </w:r>
          </w:p>
        </w:tc>
        <w:tc>
          <w:tcPr>
            <w:tcW w:w="5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2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 elect and remove the members of the Board of Directors, the</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nommer et révoquer les membres du conseil d'administration,</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Chairman of the Board of Directors, the members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le  président  du  conseil  d'administration,  les  membres  du</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Compensation Committee, the Auditors and the Independent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comité de rémunération, l'organe de révision et le mandataire</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Proxy;</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indépendant;</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3"/>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200" w:type="dxa"/>
            <w:vAlign w:val="bottom"/>
          </w:tcPr>
          <w:p>
            <w:pPr>
              <w:ind w:left="120"/>
              <w:spacing w:after="0"/>
              <w:rPr>
                <w:sz w:val="20"/>
                <w:szCs w:val="20"/>
                <w:color w:val="auto"/>
              </w:rPr>
            </w:pPr>
            <w:r>
              <w:rPr>
                <w:rFonts w:ascii="Arial" w:cs="Arial" w:eastAsia="Arial" w:hAnsi="Arial"/>
                <w:sz w:val="18"/>
                <w:szCs w:val="18"/>
                <w:color w:val="auto"/>
              </w:rPr>
              <w:t>to approve the management report and the annual accounts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approuver le rapport de gestion et les comptes annuels et</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and to determine the allocation of profits, in particular with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déterminer la répartition des bénéfices, en particulier en ce qui</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regard to dividends and bonus payments;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concerne les dividendes et les bonus;</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3"/>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200" w:type="dxa"/>
            <w:vAlign w:val="bottom"/>
          </w:tcPr>
          <w:p>
            <w:pPr>
              <w:ind w:left="120"/>
              <w:spacing w:after="0"/>
              <w:rPr>
                <w:sz w:val="20"/>
                <w:szCs w:val="20"/>
                <w:color w:val="auto"/>
              </w:rPr>
            </w:pPr>
            <w:r>
              <w:rPr>
                <w:rFonts w:ascii="Arial" w:cs="Arial" w:eastAsia="Arial" w:hAnsi="Arial"/>
                <w:sz w:val="18"/>
                <w:szCs w:val="18"/>
                <w:color w:val="auto"/>
              </w:rPr>
              <w:t>to discharge the members of the Board of Directors and of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donner décharge aux membres du conseil d'administration et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Executive Committee;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 comité exécutif;</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3"/>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200" w:type="dxa"/>
            <w:vAlign w:val="bottom"/>
          </w:tcPr>
          <w:p>
            <w:pPr>
              <w:ind w:left="120"/>
              <w:spacing w:after="0"/>
              <w:rPr>
                <w:sz w:val="20"/>
                <w:szCs w:val="20"/>
                <w:color w:val="auto"/>
              </w:rPr>
            </w:pPr>
            <w:r>
              <w:rPr>
                <w:rFonts w:ascii="Arial" w:cs="Arial" w:eastAsia="Arial" w:hAnsi="Arial"/>
                <w:sz w:val="18"/>
                <w:szCs w:val="18"/>
                <w:color w:val="auto"/>
              </w:rPr>
              <w:t>to  approve  the  total  compensation  paid  to  the  Board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e)</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approuver  la  rémunération  totale  versée  au  conseil</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Directors and the Executive Committee as per Articles 32 and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d'administration  et  au  comité  exécutif  conformément  aux</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33 below;</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l'articles 32 et 33 ci-dessous;</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3"/>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200" w:type="dxa"/>
            <w:vAlign w:val="bottom"/>
          </w:tcPr>
          <w:p>
            <w:pPr>
              <w:ind w:left="120"/>
              <w:spacing w:after="0"/>
              <w:rPr>
                <w:sz w:val="20"/>
                <w:szCs w:val="20"/>
                <w:color w:val="auto"/>
              </w:rPr>
            </w:pPr>
            <w:r>
              <w:rPr>
                <w:rFonts w:ascii="Arial" w:cs="Arial" w:eastAsia="Arial" w:hAnsi="Arial"/>
                <w:sz w:val="18"/>
                <w:szCs w:val="18"/>
                <w:color w:val="auto"/>
              </w:rPr>
              <w:t>to pass resolutions concerning all matters which are reserved</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f)</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prendre les décisions sur toutes les affaires qui sont attribuées</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to the authority of the General Meeting by law or by the Articles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à l'assemblée générale par la loi ou les statuts.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of Association.</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9  Ordinary General Meeting</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9  Assemblée générale ordinaire</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Ordinary General Meeting shall be held annually within six</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ordinaire aura lieu chaque année dans les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months after the close of the business year at such time and at such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six mois qui suivent la clôture de l'exercice à la date et à l'endroit,</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location, which may be within or outside Switzerland, as determined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qui peut être en ou hors de la Suisse, tel que déterminé par le</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by the Board of Directors.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conseil d'administration.</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10 Extraordinary General Meeting</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10 Assemblée générale extraordinaire</w:t>
            </w:r>
          </w:p>
        </w:tc>
      </w:tr>
      <w:tr>
        <w:trPr>
          <w:trHeight w:val="37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Extraordinary General Meetings may be called by resolution of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assemblées   générales   extraordinaires   peuvent   être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General Meeting, the Auditors or the Board of Directors, or by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convoquées par décision de l'assemblée générale, l'organe de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shareholders with voting powers, provided they represent at least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révision ou le conseil d'administration, ou par des actionnaires avec</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10% of the share capital and who submit (a)(1) a request signed by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droit de vote, à condition qu'ils représentent au moins 10% du</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such shareholder(s) that specifies the item(s) to be included on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capital-actions et qu'ils soumettent (a) (1) une demande signée par</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agenda, (2) the respective proposals of the shareholders and (3)</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le(s)dit(s) actionnaire(s) qui spécifie les objets à faire figurer sur</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evidence of the required shareholdings recorded in the share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l'ordre du jour, (2) les propositions respectives de ces actionnaires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register and (b) such other information as would be required to be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et (3) la preuve des participations requises inscrites dans le registre</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included in a proxy</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 actions et (b)</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4"/>
        </w:trPr>
        <w:tc>
          <w:tcPr>
            <w:tcW w:w="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11</w:t>
            </w: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statement pursuant to the rules of the country where the Company's</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les autres informations qui doivent être mentionnées dans une</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shares are primarily listed.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déclaration (proxy statement) conformément aux règles du pays où</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actions de la société sont principalement cotées.</w:t>
            </w:r>
          </w:p>
        </w:tc>
        <w:tc>
          <w:tcPr>
            <w:tcW w:w="0" w:type="dxa"/>
            <w:vAlign w:val="bottom"/>
          </w:tcPr>
          <w:p>
            <w:pPr>
              <w:spacing w:after="0"/>
              <w:rPr>
                <w:sz w:val="1"/>
                <w:szCs w:val="1"/>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11 Notice and Agenda of Shareholders' Meetings</w:t>
            </w:r>
          </w:p>
        </w:tc>
        <w:tc>
          <w:tcPr>
            <w:tcW w:w="60" w:type="dxa"/>
            <w:vAlign w:val="bottom"/>
            <w:tcBorders>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11 Convocations et ordres du jour des assemblées</w:t>
            </w:r>
          </w:p>
        </w:tc>
        <w:tc>
          <w:tcPr>
            <w:tcW w:w="0" w:type="dxa"/>
            <w:vAlign w:val="bottom"/>
          </w:tcPr>
          <w:p>
            <w:pPr>
              <w:spacing w:after="0"/>
              <w:rPr>
                <w:sz w:val="1"/>
                <w:szCs w:val="1"/>
                <w:color w:val="auto"/>
              </w:rPr>
            </w:pPr>
          </w:p>
        </w:tc>
      </w:tr>
      <w:tr>
        <w:trPr>
          <w:trHeight w:val="239"/>
        </w:trPr>
        <w:tc>
          <w:tcPr>
            <w:tcW w:w="5560" w:type="dxa"/>
            <w:vAlign w:val="bottom"/>
            <w:tcBorders>
              <w:left w:val="single" w:sz="8" w:color="auto"/>
            </w:tcBorders>
            <w:vMerge w:val="restart"/>
          </w:tcPr>
          <w:p>
            <w:pPr>
              <w:ind w:left="100"/>
              <w:spacing w:after="0"/>
              <w:rPr>
                <w:sz w:val="20"/>
                <w:szCs w:val="20"/>
                <w:color w:val="auto"/>
              </w:rPr>
            </w:pPr>
            <w:r>
              <w:rPr>
                <w:rFonts w:ascii="Arial" w:cs="Arial" w:eastAsia="Arial" w:hAnsi="Arial"/>
                <w:sz w:val="18"/>
                <w:szCs w:val="18"/>
                <w:color w:val="auto"/>
              </w:rPr>
              <w:t>Notice of a General Meeting of Shareholders shall be given by the</w:t>
            </w:r>
          </w:p>
        </w:tc>
        <w:tc>
          <w:tcPr>
            <w:tcW w:w="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720"/>
              <w:spacing w:after="0"/>
              <w:rPr>
                <w:sz w:val="20"/>
                <w:szCs w:val="20"/>
                <w:color w:val="auto"/>
              </w:rPr>
            </w:pPr>
            <w:r>
              <w:rPr>
                <w:rFonts w:ascii="Arial" w:cs="Arial" w:eastAsia="Arial" w:hAnsi="Arial"/>
                <w:sz w:val="18"/>
                <w:szCs w:val="18"/>
                <w:b w:val="1"/>
                <w:bCs w:val="1"/>
                <w:color w:val="auto"/>
              </w:rPr>
              <w:t>générales</w:t>
            </w:r>
          </w:p>
        </w:tc>
        <w:tc>
          <w:tcPr>
            <w:tcW w:w="0" w:type="dxa"/>
            <w:vAlign w:val="bottom"/>
          </w:tcPr>
          <w:p>
            <w:pPr>
              <w:spacing w:after="0"/>
              <w:rPr>
                <w:sz w:val="1"/>
                <w:szCs w:val="1"/>
                <w:color w:val="auto"/>
              </w:rPr>
            </w:pPr>
          </w:p>
        </w:tc>
      </w:tr>
      <w:tr>
        <w:trPr>
          <w:trHeight w:val="188"/>
        </w:trPr>
        <w:tc>
          <w:tcPr>
            <w:tcW w:w="5560" w:type="dxa"/>
            <w:vAlign w:val="bottom"/>
            <w:tcBorders>
              <w:left w:val="single" w:sz="8" w:color="auto"/>
            </w:tcBorders>
            <w:vMerge w:val="continue"/>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of Directors or, if necessary, by the Auditor, not later than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est convoquée par le conseil d'administration</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twenty calendar days prior to the date of the General Meeting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ou, si nécessaire, par l'organe de révision, au moins 20 jours avant</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Notice of the General Meeting of Shareholders shall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tenue de l'assemblée générale des actionnaires. La convocation</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be given by way of a one-time announcement in the official means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à l'assemblée générale des actionnaires doit être faite au moyen</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of publication of the Company pursuant to Article 46 of these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d'une seule publication conformément à l'article 46 de ces statuts.</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Articles of Association. The notice period shall be deemed to have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période de préavis sera réputée avoir été respectée si la</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been observed if notice of the General Meeting of Shareholders 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convocation à l'assemblée générale des actionnaires est publiée</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published in such official means of publication, it being understood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conformément à l'article 46 de ces statuts, étant entendu que la</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the date of publication shall not be computed in the notice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date de publication ne doit pas être calculée dans la période de</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 Shareholders of record may in addition be informed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préavis. Les actionnaires inscrits peuvent en outre être informés de</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of Shareholders by ordinary mail or e-mail.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des actionnaires par courrier ordinaire ou par</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notice of a General Meeting of Shareholders shall specify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convocation à l'assemblée générale des actionnaires doit</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items on the agenda and the proposals of the Board of Directors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préciser les objets de l'ordre du jour et les propositions du conseil</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and the shareholder(s) who requested that a General Meeting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et l'/les actionnaire(s) qui a/ont demandé que</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be held or an item be included on the agenda, and, in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des actionnaires ait lieu ou qu'un objet soit</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event of elections, the name(s) of the candidate(s) that has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inscrit à l'ordre du jour, et, dans le cas d'élections, le/les nom(s)</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have been put on the ballot for election.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du/des candidat(s) qui a ou ont été mis sur le bulletin de vote pour</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l'élection.</w:t>
            </w:r>
          </w:p>
        </w:tc>
        <w:tc>
          <w:tcPr>
            <w:tcW w:w="0" w:type="dxa"/>
            <w:vAlign w:val="bottom"/>
          </w:tcPr>
          <w:p>
            <w:pPr>
              <w:spacing w:after="0"/>
              <w:rPr>
                <w:sz w:val="1"/>
                <w:szCs w:val="1"/>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state the matters on the agenda.</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conseil d'administration doit indiquer les objets de l'ordre du jour.</w:t>
            </w:r>
          </w:p>
        </w:tc>
        <w:tc>
          <w:tcPr>
            <w:tcW w:w="0" w:type="dxa"/>
            <w:vAlign w:val="bottom"/>
          </w:tcPr>
          <w:p>
            <w:pPr>
              <w:spacing w:after="0"/>
              <w:rPr>
                <w:sz w:val="1"/>
                <w:szCs w:val="1"/>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Shareholders who represent an aggregate of at least 10 percent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actionnaires qui représentent un total d'au moins 10 pour cent</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share capital or together representing shares with a nominal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  capital-actions  ou  qui  représentent  ensemble  une  valeur</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value of 1 million Swiss francs may demand that an item be placed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nominale de CHF 1 million d'actions peuvent exiger qu'un objet soit</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on the agenda of a General Meeting of Shareholders. A request for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inscrit à l'ordre du jour d'une assemblée générale des actionnaires.</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inclusion of an item on the agenda must be requested in writing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Une demande d'inscription d'un objet à l'ordre du jour doit être faite</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delivered to or mailed and received at the registered office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 écrit et remise ou envoyée et reçue au siège de la société au</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Company at least 120 calendar days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moins 120 jours avant le premier</w:t>
            </w:r>
          </w:p>
        </w:tc>
        <w:tc>
          <w:tcPr>
            <w:tcW w:w="0" w:type="dxa"/>
            <w:vAlign w:val="bottom"/>
          </w:tcPr>
          <w:p>
            <w:pPr>
              <w:spacing w:after="0"/>
              <w:rPr>
                <w:sz w:val="1"/>
                <w:szCs w:val="1"/>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12</w:t>
            </w: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9" w:right="2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before the first anniversary of the date that the Company's proxy</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anniversaire de la date à laquelle la déclaration (proxy statement)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statement was released to shareholders in connection with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la  Société  a  été  communiquée  aux  actionnaires  lors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previous  year's  ordinary  General  Meeting  of  Shareholders.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ordinaire  des  actionnaires  de  l'année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However, if no ordinary General Meeting of Shareholders was held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précédente. Toutefois, si aucune assemblée générale ordinaire des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 the previous year or if the date of the ordinary General Meeting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actionnaires n'a eu lieu l'année précédente ou si la date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has been changed by more than 30 calendar days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ordinaire des actionnaires a été modifiée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from the date contemplated at the time of the previous year's proxy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plus de 30 jours calendaires à compter de la date prévue au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statement, request for inclusion of an item on the agenda must be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moment de la déclaration (proxy statement) de l'année précédente,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requested not fewer than the later of (i) 150 calendar days prior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une demande d'inscription d'un objet à l'ordre du jour doit être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date of the contemplated annual General Meeting or (ii) the date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demandée au moins à la date la plus tardive entre (i) 150 jours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which  is  ten  calendar  days  after  the  date  of  the  first  public</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calendaires  avant  la  date  de  l'assemblée  générale  ordinaire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announcement or other notification to the shareholders of the date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envisagée ou (ii) la date qui est dix jours calendaires plus tard que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contemplated annual General Meeting. To be timely for an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date de la première annonce publique ou autre notification aux</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extraordinary  General  Meeting,  a  shareholder's  notice  to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actionnaires  de  la  date  envisagée  de  l'assemblée  générale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Secretary must be delivered to or mailed and received at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ordinaire. Pour être dans les délais pour une assemblée générale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registered office of the Company not fewer than the later of (i) 120</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extraordinaire, l'avis d'un actionnaire au secrétaire doit être livré ou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calendar days before the date of the extraordinary General Meeting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envoyé et reçu au siège de la société au moins à la date la plus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of Shareholders or (ii) the date which is ten calendar days after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tardive entre (i) 120 jours calendaires avant la date de l'assemblée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date of the first public announcement or other notification to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générale extraordinaire des actionnaires ou (ii) la date qui est dix</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of the date of the contemplated extraordinary General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jours calendaires plus tard que la date de la première annonce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of Shareholders.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publique ou autre notification aux actionnaires de la date envisagée</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 l'assemblée générale extraordinaire des actionnaires.</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Each request for inclusion of an item on the agenda must include (i)</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Chaque demande d'inscription d'un objet à l'ordre du jour doit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 brief description of the business desired to be brought before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inclure (i) une brève description de l'affaire qui sera soumise à</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and the reasons for conducting such business at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l'assemblée et les raisons pour lesquelles cette affaire est soumise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(ii)  the  name  and  address,  as  they  appear  on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à l'assemblée; (ii) le nom et l'adresse, tels qu'ils apparaissent dans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register of shareholders, of the shareholder proposing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le registre des actionnaires de la société, de l'/des actionnaire(s)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such business; (iii) the number of shares of the Company which are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proposant un tel objet; (iii) le nombre d'actions de la société</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beneficially owned by such shareholder; (iv) the dates upon which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effectivement détenues par (un) tel(s) actionnaire(s); (iv) les dates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shareholder acquired such shares; (v) documentary support for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auxquelles l'/les actionnaire(s) a/ont acquis ces actions; (v) l'appui</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any claim of beneficial ownership; (vi) any material interest of such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documentaire pour toute revendication de propriété effective;</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shareholder in such business; and (vii) a</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13</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statement in support of the matter and, for proposals sought to be</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(vi) un intérêt important de cet/ces actionnaire(s) par rapport à cet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included in the Company's proxy statement, any other information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objet; et (vii) une déclaration à l'appui de cet objet et, pour les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required by Securities and Exchange Commission Rule "14a-8".</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propositions  devant  être  incluses  dans  la  déclaration  (proxy</w:t>
            </w:r>
          </w:p>
        </w:tc>
      </w:tr>
      <w:tr>
        <w:trPr>
          <w:trHeight w:val="203"/>
        </w:trPr>
        <w:tc>
          <w:tcPr>
            <w:tcW w:w="556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statement) de la société, toute autre information requise par la</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Securities and Exchange Commission règle "14a-8".</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In addition, if the shareholder intends to solicit proxies from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En outre, si un actionnaire a l'intention de solliciter des procurations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of the Company, such shareholder shall notify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des actionnaires de la société, cet actionnaire doit en informer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of this intent in accordance with Securities and Exchange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société  conformément  aux  dispositions  de  la  Securities  and</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Commission Rule "14a-4" and/or Rule "14a-8".</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Exchange Commission règle "14a-4" et "14a-8".</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No resolution may be passed at a General Meeting of Shareholders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Aucune  décision  ne  peut  être  adoptée  lors  d'une  assemblée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concerning an item in relation to which due notice was not given.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générale des actionnaires si un objet n'a pas été inscrit à l'ordre du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Proposals made during a General Meeting of Shareholders to (i)</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jour dans le délai de préavis. Les propositions faites au cours d'une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convene a extraordinary General Meeting or (ii) initiate a special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assemblée  générale  des  actionnaires  pour  (i)  convoquer  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investigation in accordance with article 697a of the Swiss Code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assemblée  générale  extraordinaire  ou  (ii)  instituer  un  contrôle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Obligations are not subject to the due notice requirement set forth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spécial au sens de l'article 697a CO ne sont pas soumises à</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herein.</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l'obligation d'inscription prévue dans ces statuts.</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No advance notice is required to propose motions on duly notified</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Aucun préavis n'est nécessaire pour proposer des motions sur les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agenda items and to debate items without passing resolutions.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objets inscrits à l'ordre du jour ou débattre desdits objets sans</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prendre de décisions.</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1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12 Documentation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12 Documents</w:t>
            </w:r>
          </w:p>
        </w:tc>
      </w:tr>
      <w:tr>
        <w:trPr>
          <w:trHeight w:val="391"/>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annual business report, the compensation report and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rapport de gestion annuel, le rapport de rémunération et 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Auditor's  report  must  be  submitted  for  examination  by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rapport du réviseur doivent être présentés aux actionnaires pour</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at the registered office of the Company at least 20</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examen au siège de la société au moins 20 jours avant la date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days prior to the date of the Ordinary General Meeting. Each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ordinaire. Chaque actionnaire peut demander</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 may request that a copy of this documentation be sent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une  copie  de  ces  documents  qui  doivent  lui  être  envoyés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to him promptly by e-mail. Such right shall be included in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promptement  par  e-mail.  Ce  droit  doit  être  mentionné  dans</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invitation to the General Meeting.</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l'invitation à l'assemblée générale.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14</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871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87108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b w:val="1"/>
                <w:bCs w:val="1"/>
                <w:color w:val="auto"/>
              </w:rPr>
              <w:t>Art. 13 Meeting of All Shareholders</w:t>
            </w:r>
          </w:p>
        </w:tc>
        <w:tc>
          <w:tcPr>
            <w:tcW w:w="5620" w:type="dxa"/>
            <w:vAlign w:val="bottom"/>
          </w:tcPr>
          <w:p>
            <w:pPr>
              <w:ind w:left="200"/>
              <w:spacing w:after="0"/>
              <w:rPr>
                <w:sz w:val="20"/>
                <w:szCs w:val="20"/>
                <w:color w:val="auto"/>
              </w:rPr>
            </w:pPr>
            <w:r>
              <w:rPr>
                <w:rFonts w:ascii="Arial" w:cs="Arial" w:eastAsia="Arial" w:hAnsi="Arial"/>
                <w:sz w:val="18"/>
                <w:szCs w:val="18"/>
                <w:b w:val="1"/>
                <w:bCs w:val="1"/>
                <w:color w:val="auto"/>
              </w:rPr>
              <w:t>Art. 13 Assemblée universelle</w:t>
            </w:r>
          </w:p>
        </w:tc>
      </w:tr>
      <w:tr>
        <w:trPr>
          <w:trHeight w:val="391"/>
        </w:trPr>
        <w:tc>
          <w:tcPr>
            <w:tcW w:w="5620" w:type="dxa"/>
            <w:vAlign w:val="bottom"/>
          </w:tcPr>
          <w:p>
            <w:pPr>
              <w:spacing w:after="0"/>
              <w:rPr>
                <w:sz w:val="20"/>
                <w:szCs w:val="20"/>
                <w:color w:val="auto"/>
              </w:rPr>
            </w:pPr>
            <w:r>
              <w:rPr>
                <w:rFonts w:ascii="Arial" w:cs="Arial" w:eastAsia="Arial" w:hAnsi="Arial"/>
                <w:sz w:val="18"/>
                <w:szCs w:val="18"/>
                <w:color w:val="auto"/>
              </w:rPr>
              <w:t>Shareholders or their proxies representing all shares issued may</w:t>
            </w:r>
          </w:p>
        </w:tc>
        <w:tc>
          <w:tcPr>
            <w:tcW w:w="5620" w:type="dxa"/>
            <w:vAlign w:val="bottom"/>
          </w:tcPr>
          <w:p>
            <w:pPr>
              <w:ind w:left="200"/>
              <w:spacing w:after="0"/>
              <w:rPr>
                <w:sz w:val="20"/>
                <w:szCs w:val="20"/>
                <w:color w:val="auto"/>
              </w:rPr>
            </w:pPr>
            <w:r>
              <w:rPr>
                <w:rFonts w:ascii="Arial" w:cs="Arial" w:eastAsia="Arial" w:hAnsi="Arial"/>
                <w:sz w:val="18"/>
                <w:szCs w:val="18"/>
                <w:color w:val="auto"/>
              </w:rPr>
              <w:t>Les propriétaires ou les représentants de la totalité des actions</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hold a General Meeting without observing the formalities required</w:t>
            </w:r>
          </w:p>
        </w:tc>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peuvent, s'il n'y a pas d'opposition, tenir une assemblée générale</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for calling a meeting, unless objection is raised. At such a meeting,</w:t>
            </w:r>
          </w:p>
        </w:tc>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sans observer les formes prévues pour sa convocation. Aussi</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discussions may be held and resolutions passed on all matters</w:t>
            </w:r>
          </w:p>
        </w:tc>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longtemps que les propriétaires ou les représentants de la totalité</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within the scope of the powers of a General Meeting for so long as</w:t>
            </w:r>
          </w:p>
        </w:tc>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des actions sont présents, cette assemblée a le droit de délibérer et</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the shareholders or proxies representing all shares issued are</w:t>
            </w:r>
          </w:p>
        </w:tc>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de statuer valablement sur tous les objets qui sont du ressort de</w:t>
            </w: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present.</w:t>
            </w:r>
          </w:p>
        </w:tc>
        <w:tc>
          <w:tcPr>
            <w:tcW w:w="5620" w:type="dxa"/>
            <w:vAlign w:val="bottom"/>
          </w:tcPr>
          <w:p>
            <w:pPr>
              <w:ind w:left="200"/>
              <w:spacing w:after="0"/>
              <w:rPr>
                <w:sz w:val="20"/>
                <w:szCs w:val="20"/>
                <w:color w:val="auto"/>
              </w:rPr>
            </w:pPr>
            <w:r>
              <w:rPr>
                <w:rFonts w:ascii="Arial" w:cs="Arial" w:eastAsia="Arial" w:hAnsi="Arial"/>
                <w:sz w:val="18"/>
                <w:szCs w:val="18"/>
                <w:color w:val="auto"/>
              </w:rPr>
              <w:t>l'assemblée générale.</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tcPr>
          <w:p>
            <w:pPr>
              <w:ind w:left="100"/>
              <w:spacing w:after="0"/>
              <w:rPr>
                <w:sz w:val="20"/>
                <w:szCs w:val="20"/>
                <w:color w:val="auto"/>
              </w:rPr>
            </w:pPr>
            <w:r>
              <w:rPr>
                <w:rFonts w:ascii="Arial" w:cs="Arial" w:eastAsia="Arial" w:hAnsi="Arial"/>
                <w:sz w:val="18"/>
                <w:szCs w:val="18"/>
                <w:b w:val="1"/>
                <w:bCs w:val="1"/>
                <w:color w:val="auto"/>
              </w:rPr>
              <w:t>Art. 14 Chairman and Scrutineers</w:t>
            </w:r>
          </w:p>
        </w:tc>
        <w:tc>
          <w:tcPr>
            <w:tcW w:w="5700" w:type="dxa"/>
            <w:vAlign w:val="bottom"/>
          </w:tcPr>
          <w:p>
            <w:pPr>
              <w:ind w:left="200"/>
              <w:spacing w:after="0"/>
              <w:rPr>
                <w:sz w:val="20"/>
                <w:szCs w:val="20"/>
                <w:color w:val="auto"/>
              </w:rPr>
            </w:pPr>
            <w:r>
              <w:rPr>
                <w:rFonts w:ascii="Arial" w:cs="Arial" w:eastAsia="Arial" w:hAnsi="Arial"/>
                <w:sz w:val="18"/>
                <w:szCs w:val="18"/>
                <w:b w:val="1"/>
                <w:bCs w:val="1"/>
                <w:color w:val="auto"/>
              </w:rPr>
              <w:t>Art. 14 Président et scrutateurs</w:t>
            </w:r>
          </w:p>
        </w:tc>
      </w:tr>
      <w:tr>
        <w:trPr>
          <w:trHeight w:val="391"/>
        </w:trPr>
        <w:tc>
          <w:tcPr>
            <w:tcW w:w="5720" w:type="dxa"/>
            <w:vAlign w:val="bottom"/>
          </w:tcPr>
          <w:p>
            <w:pPr>
              <w:ind w:left="100"/>
              <w:spacing w:after="0"/>
              <w:rPr>
                <w:sz w:val="20"/>
                <w:szCs w:val="20"/>
                <w:color w:val="auto"/>
              </w:rPr>
            </w:pPr>
            <w:r>
              <w:rPr>
                <w:rFonts w:ascii="Arial" w:cs="Arial" w:eastAsia="Arial" w:hAnsi="Arial"/>
                <w:sz w:val="18"/>
                <w:szCs w:val="18"/>
                <w:color w:val="auto"/>
              </w:rPr>
              <w:t>The Chairman of the Board of Directors shall preside over the</w:t>
            </w:r>
          </w:p>
        </w:tc>
        <w:tc>
          <w:tcPr>
            <w:tcW w:w="5700" w:type="dxa"/>
            <w:vAlign w:val="bottom"/>
          </w:tcPr>
          <w:p>
            <w:pPr>
              <w:ind w:left="200"/>
              <w:spacing w:after="0"/>
              <w:rPr>
                <w:sz w:val="20"/>
                <w:szCs w:val="20"/>
                <w:color w:val="auto"/>
              </w:rPr>
            </w:pPr>
            <w:r>
              <w:rPr>
                <w:rFonts w:ascii="Arial" w:cs="Arial" w:eastAsia="Arial" w:hAnsi="Arial"/>
                <w:sz w:val="18"/>
                <w:szCs w:val="18"/>
                <w:color w:val="auto"/>
              </w:rPr>
              <w:t>L'assemblée générale est présidée par le président du conseil</w:t>
            </w: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General Meeting. In his absence, a member of the Board of</w:t>
            </w: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d'administration. En cas d'empêchement, un autre membre du</w:t>
            </w: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Directors or another Chairman of the Meeting designated by the</w:t>
            </w: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conseil  d'administration  ou  un  président  ad  hoc  nommé  par</w:t>
            </w:r>
          </w:p>
        </w:tc>
      </w:tr>
      <w:tr>
        <w:trPr>
          <w:trHeight w:val="217"/>
        </w:trPr>
        <w:tc>
          <w:tcPr>
            <w:tcW w:w="5720" w:type="dxa"/>
            <w:vAlign w:val="bottom"/>
          </w:tcPr>
          <w:p>
            <w:pPr>
              <w:ind w:left="100"/>
              <w:spacing w:after="0"/>
              <w:rPr>
                <w:sz w:val="20"/>
                <w:szCs w:val="20"/>
                <w:color w:val="auto"/>
              </w:rPr>
            </w:pPr>
            <w:r>
              <w:rPr>
                <w:rFonts w:ascii="Arial" w:cs="Arial" w:eastAsia="Arial" w:hAnsi="Arial"/>
                <w:sz w:val="18"/>
                <w:szCs w:val="18"/>
                <w:color w:val="auto"/>
              </w:rPr>
              <w:t>General Meeting shall preside.</w:t>
            </w:r>
          </w:p>
        </w:tc>
        <w:tc>
          <w:tcPr>
            <w:tcW w:w="5700" w:type="dxa"/>
            <w:vAlign w:val="bottom"/>
          </w:tcPr>
          <w:p>
            <w:pPr>
              <w:ind w:left="200"/>
              <w:spacing w:after="0"/>
              <w:rPr>
                <w:sz w:val="20"/>
                <w:szCs w:val="20"/>
                <w:color w:val="auto"/>
              </w:rPr>
            </w:pPr>
            <w:r>
              <w:rPr>
                <w:rFonts w:ascii="Arial" w:cs="Arial" w:eastAsia="Arial" w:hAnsi="Arial"/>
                <w:sz w:val="18"/>
                <w:szCs w:val="18"/>
                <w:color w:val="auto"/>
              </w:rPr>
              <w:t>l'assemblée générale préside celle-ci.</w:t>
            </w:r>
          </w:p>
        </w:tc>
      </w:tr>
      <w:tr>
        <w:trPr>
          <w:trHeight w:val="95"/>
        </w:trPr>
        <w:tc>
          <w:tcPr>
            <w:tcW w:w="5720" w:type="dxa"/>
            <w:vAlign w:val="bottom"/>
            <w:tcBorders>
              <w:bottom w:val="single" w:sz="8" w:color="auto"/>
            </w:tcBorders>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303"/>
        </w:trPr>
        <w:tc>
          <w:tcPr>
            <w:tcW w:w="5720" w:type="dxa"/>
            <w:vAlign w:val="bottom"/>
          </w:tcPr>
          <w:p>
            <w:pPr>
              <w:ind w:left="100"/>
              <w:spacing w:after="0"/>
              <w:rPr>
                <w:sz w:val="20"/>
                <w:szCs w:val="20"/>
                <w:color w:val="auto"/>
              </w:rPr>
            </w:pPr>
            <w:r>
              <w:rPr>
                <w:rFonts w:ascii="Arial" w:cs="Arial" w:eastAsia="Arial" w:hAnsi="Arial"/>
                <w:sz w:val="18"/>
                <w:szCs w:val="18"/>
                <w:color w:val="auto"/>
              </w:rPr>
              <w:t>The Chairman of the Meeting shall designate a Secretary and the</w:t>
            </w:r>
          </w:p>
        </w:tc>
        <w:tc>
          <w:tcPr>
            <w:tcW w:w="5700" w:type="dxa"/>
            <w:vAlign w:val="bottom"/>
          </w:tcPr>
          <w:p>
            <w:pPr>
              <w:ind w:left="200"/>
              <w:spacing w:after="0"/>
              <w:rPr>
                <w:sz w:val="20"/>
                <w:szCs w:val="20"/>
                <w:color w:val="auto"/>
              </w:rPr>
            </w:pPr>
            <w:r>
              <w:rPr>
                <w:rFonts w:ascii="Arial" w:cs="Arial" w:eastAsia="Arial" w:hAnsi="Arial"/>
                <w:sz w:val="18"/>
                <w:szCs w:val="18"/>
                <w:color w:val="auto"/>
              </w:rPr>
              <w:t>Le président de l'assemblée générale désigne un secrétaire et les</w:t>
            </w:r>
          </w:p>
        </w:tc>
      </w:tr>
      <w:tr>
        <w:trPr>
          <w:trHeight w:val="217"/>
        </w:trPr>
        <w:tc>
          <w:tcPr>
            <w:tcW w:w="5720" w:type="dxa"/>
            <w:vAlign w:val="bottom"/>
          </w:tcPr>
          <w:p>
            <w:pPr>
              <w:ind w:left="100"/>
              <w:spacing w:after="0"/>
              <w:rPr>
                <w:sz w:val="20"/>
                <w:szCs w:val="20"/>
                <w:color w:val="auto"/>
              </w:rPr>
            </w:pPr>
            <w:r>
              <w:rPr>
                <w:rFonts w:ascii="Arial" w:cs="Arial" w:eastAsia="Arial" w:hAnsi="Arial"/>
                <w:sz w:val="18"/>
                <w:szCs w:val="18"/>
                <w:color w:val="auto"/>
              </w:rPr>
              <w:t>scrutineers who need not be shareholders.</w:t>
            </w:r>
          </w:p>
        </w:tc>
        <w:tc>
          <w:tcPr>
            <w:tcW w:w="5700" w:type="dxa"/>
            <w:vAlign w:val="bottom"/>
          </w:tcPr>
          <w:p>
            <w:pPr>
              <w:ind w:left="200"/>
              <w:spacing w:after="0"/>
              <w:rPr>
                <w:sz w:val="20"/>
                <w:szCs w:val="20"/>
                <w:color w:val="auto"/>
              </w:rPr>
            </w:pPr>
            <w:r>
              <w:rPr>
                <w:rFonts w:ascii="Arial" w:cs="Arial" w:eastAsia="Arial" w:hAnsi="Arial"/>
                <w:sz w:val="18"/>
                <w:szCs w:val="18"/>
                <w:color w:val="auto"/>
              </w:rPr>
              <w:t>scrutateurs qui ne doivent pas nécessairement être actionnaires.</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ind w:left="100"/>
              <w:spacing w:after="0"/>
              <w:rPr>
                <w:sz w:val="20"/>
                <w:szCs w:val="20"/>
                <w:color w:val="auto"/>
              </w:rPr>
            </w:pPr>
            <w:r>
              <w:rPr>
                <w:rFonts w:ascii="Arial" w:cs="Arial" w:eastAsia="Arial" w:hAnsi="Arial"/>
                <w:sz w:val="18"/>
                <w:szCs w:val="18"/>
                <w:b w:val="1"/>
                <w:bCs w:val="1"/>
                <w:color w:val="auto"/>
              </w:rPr>
              <w:t>Art. 15 Minutes</w:t>
            </w:r>
          </w:p>
        </w:tc>
        <w:tc>
          <w:tcPr>
            <w:tcW w:w="5860" w:type="dxa"/>
            <w:vAlign w:val="bottom"/>
          </w:tcPr>
          <w:p>
            <w:pPr>
              <w:ind w:left="360"/>
              <w:spacing w:after="0"/>
              <w:rPr>
                <w:sz w:val="20"/>
                <w:szCs w:val="20"/>
                <w:color w:val="auto"/>
              </w:rPr>
            </w:pPr>
            <w:r>
              <w:rPr>
                <w:rFonts w:ascii="Arial" w:cs="Arial" w:eastAsia="Arial" w:hAnsi="Arial"/>
                <w:sz w:val="18"/>
                <w:szCs w:val="18"/>
                <w:b w:val="1"/>
                <w:bCs w:val="1"/>
                <w:color w:val="auto"/>
              </w:rPr>
              <w:t>Art. 15 Procès-verbal</w:t>
            </w:r>
          </w:p>
        </w:tc>
      </w:tr>
      <w:tr>
        <w:trPr>
          <w:trHeight w:val="391"/>
        </w:trPr>
        <w:tc>
          <w:tcPr>
            <w:tcW w:w="5560" w:type="dxa"/>
            <w:vAlign w:val="bottom"/>
          </w:tcPr>
          <w:p>
            <w:pPr>
              <w:ind w:left="100"/>
              <w:spacing w:after="0"/>
              <w:rPr>
                <w:sz w:val="20"/>
                <w:szCs w:val="20"/>
                <w:color w:val="auto"/>
              </w:rPr>
            </w:pPr>
            <w:r>
              <w:rPr>
                <w:rFonts w:ascii="Arial" w:cs="Arial" w:eastAsia="Arial" w:hAnsi="Arial"/>
                <w:sz w:val="18"/>
                <w:szCs w:val="18"/>
                <w:color w:val="auto"/>
              </w:rPr>
              <w:t>The Board of Directors is responsible for the keeping of the minutes</w:t>
            </w:r>
          </w:p>
        </w:tc>
        <w:tc>
          <w:tcPr>
            <w:tcW w:w="5860" w:type="dxa"/>
            <w:vAlign w:val="bottom"/>
          </w:tcPr>
          <w:p>
            <w:pPr>
              <w:ind w:left="360"/>
              <w:spacing w:after="0"/>
              <w:rPr>
                <w:sz w:val="20"/>
                <w:szCs w:val="20"/>
                <w:color w:val="auto"/>
              </w:rPr>
            </w:pPr>
            <w:r>
              <w:rPr>
                <w:rFonts w:ascii="Arial" w:cs="Arial" w:eastAsia="Arial" w:hAnsi="Arial"/>
                <w:sz w:val="18"/>
                <w:szCs w:val="18"/>
                <w:color w:val="auto"/>
              </w:rPr>
              <w:t>Le conseil d'administration est responsable de la tenue du procès-</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of the Meeting, which shall state the number, kind, nominal value of</w:t>
            </w:r>
          </w:p>
        </w:tc>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verbal de l'assemblée, qui doit indiquer le nombre, le type, la valeur</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shares represented by the shareholders, by the corporate bodies</w:t>
            </w:r>
          </w:p>
        </w:tc>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nominale des actions représentées par les actionnaires, par les</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and by the independent proxy and gives information on resolutions</w:t>
            </w:r>
          </w:p>
        </w:tc>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organes sociaux et par le représentant indépendant et donne des</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passed, elections, requests for information and information as well</w:t>
            </w:r>
          </w:p>
        </w:tc>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informations  sur  les  décisions  adoptées,  les  élections,  les</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as declarations given by the shareholders. The minutes shall be</w:t>
            </w:r>
          </w:p>
        </w:tc>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demandes de renseignements et les informations ainsi que les</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signed by the Chairman and the Secretary.</w:t>
            </w:r>
          </w:p>
        </w:tc>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déclarations faites par les actionnaires. Le procès-verbal est signé</w:t>
            </w:r>
          </w:p>
        </w:tc>
      </w:tr>
      <w:tr>
        <w:trPr>
          <w:trHeight w:val="217"/>
        </w:trPr>
        <w:tc>
          <w:tcPr>
            <w:tcW w:w="5560" w:type="dxa"/>
            <w:vAlign w:val="bottom"/>
          </w:tcPr>
          <w:p>
            <w:pPr>
              <w:spacing w:after="0"/>
              <w:rPr>
                <w:sz w:val="18"/>
                <w:szCs w:val="18"/>
                <w:color w:val="auto"/>
              </w:rPr>
            </w:pPr>
          </w:p>
        </w:tc>
        <w:tc>
          <w:tcPr>
            <w:tcW w:w="5860" w:type="dxa"/>
            <w:vAlign w:val="bottom"/>
          </w:tcPr>
          <w:p>
            <w:pPr>
              <w:ind w:left="360"/>
              <w:spacing w:after="0"/>
              <w:rPr>
                <w:sz w:val="20"/>
                <w:szCs w:val="20"/>
                <w:color w:val="auto"/>
              </w:rPr>
            </w:pPr>
            <w:r>
              <w:rPr>
                <w:rFonts w:ascii="Arial" w:cs="Arial" w:eastAsia="Arial" w:hAnsi="Arial"/>
                <w:sz w:val="18"/>
                <w:szCs w:val="18"/>
                <w:color w:val="auto"/>
              </w:rPr>
              <w:t>par le président et le secrétaire.</w:t>
            </w:r>
          </w:p>
        </w:tc>
      </w:tr>
      <w:tr>
        <w:trPr>
          <w:trHeight w:val="95"/>
        </w:trPr>
        <w:tc>
          <w:tcPr>
            <w:tcW w:w="5560" w:type="dxa"/>
            <w:vAlign w:val="bottom"/>
            <w:tcBorders>
              <w:bottom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r>
      <w:tr>
        <w:trPr>
          <w:trHeight w:val="318"/>
        </w:trPr>
        <w:tc>
          <w:tcPr>
            <w:tcW w:w="5560" w:type="dxa"/>
            <w:vAlign w:val="bottom"/>
          </w:tcPr>
          <w:p>
            <w:pPr>
              <w:ind w:left="100"/>
              <w:spacing w:after="0"/>
              <w:rPr>
                <w:sz w:val="20"/>
                <w:szCs w:val="20"/>
                <w:color w:val="auto"/>
              </w:rPr>
            </w:pPr>
            <w:r>
              <w:rPr>
                <w:rFonts w:ascii="Arial" w:cs="Arial" w:eastAsia="Arial" w:hAnsi="Arial"/>
                <w:sz w:val="18"/>
                <w:szCs w:val="18"/>
                <w:color w:val="auto"/>
              </w:rPr>
              <w:t>The shareholders are entitled to inspect the minutes.</w:t>
            </w:r>
          </w:p>
        </w:tc>
        <w:tc>
          <w:tcPr>
            <w:tcW w:w="5860" w:type="dxa"/>
            <w:vAlign w:val="bottom"/>
          </w:tcPr>
          <w:p>
            <w:pPr>
              <w:ind w:left="360"/>
              <w:spacing w:after="0"/>
              <w:rPr>
                <w:sz w:val="20"/>
                <w:szCs w:val="20"/>
                <w:color w:val="auto"/>
              </w:rPr>
            </w:pPr>
            <w:r>
              <w:rPr>
                <w:rFonts w:ascii="Arial" w:cs="Arial" w:eastAsia="Arial" w:hAnsi="Arial"/>
                <w:sz w:val="18"/>
                <w:szCs w:val="18"/>
                <w:color w:val="auto"/>
              </w:rPr>
              <w:t>Les actionnaires ont le droit d'examiner le procès-verbal.</w:t>
            </w:r>
          </w:p>
        </w:tc>
      </w:tr>
      <w:tr>
        <w:trPr>
          <w:trHeight w:val="95"/>
        </w:trPr>
        <w:tc>
          <w:tcPr>
            <w:tcW w:w="5560" w:type="dxa"/>
            <w:vAlign w:val="bottom"/>
            <w:tcBorders>
              <w:bottom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r>
      <w:tr>
        <w:trPr>
          <w:trHeight w:val="318"/>
        </w:trPr>
        <w:tc>
          <w:tcPr>
            <w:tcW w:w="5560" w:type="dxa"/>
            <w:vAlign w:val="bottom"/>
          </w:tcPr>
          <w:p>
            <w:pPr>
              <w:ind w:left="100"/>
              <w:spacing w:after="0"/>
              <w:rPr>
                <w:sz w:val="20"/>
                <w:szCs w:val="20"/>
                <w:color w:val="auto"/>
              </w:rPr>
            </w:pPr>
            <w:r>
              <w:rPr>
                <w:rFonts w:ascii="Arial" w:cs="Arial" w:eastAsia="Arial" w:hAnsi="Arial"/>
                <w:sz w:val="18"/>
                <w:szCs w:val="18"/>
                <w:b w:val="1"/>
                <w:bCs w:val="1"/>
                <w:color w:val="auto"/>
              </w:rPr>
              <w:t>Art. 16 Right to Vote</w:t>
            </w:r>
          </w:p>
        </w:tc>
        <w:tc>
          <w:tcPr>
            <w:tcW w:w="5860" w:type="dxa"/>
            <w:vAlign w:val="bottom"/>
          </w:tcPr>
          <w:p>
            <w:pPr>
              <w:ind w:left="360"/>
              <w:spacing w:after="0"/>
              <w:rPr>
                <w:sz w:val="20"/>
                <w:szCs w:val="20"/>
                <w:color w:val="auto"/>
              </w:rPr>
            </w:pPr>
            <w:r>
              <w:rPr>
                <w:rFonts w:ascii="Arial" w:cs="Arial" w:eastAsia="Arial" w:hAnsi="Arial"/>
                <w:sz w:val="18"/>
                <w:szCs w:val="18"/>
                <w:b w:val="1"/>
                <w:bCs w:val="1"/>
                <w:color w:val="auto"/>
              </w:rPr>
              <w:t>Art. 16 Droit de vote</w:t>
            </w:r>
          </w:p>
        </w:tc>
      </w:tr>
      <w:tr>
        <w:trPr>
          <w:trHeight w:val="405"/>
        </w:trPr>
        <w:tc>
          <w:tcPr>
            <w:tcW w:w="5560" w:type="dxa"/>
            <w:vAlign w:val="bottom"/>
          </w:tcPr>
          <w:p>
            <w:pPr>
              <w:ind w:left="100"/>
              <w:spacing w:after="0"/>
              <w:rPr>
                <w:sz w:val="20"/>
                <w:szCs w:val="20"/>
                <w:color w:val="auto"/>
              </w:rPr>
            </w:pPr>
            <w:r>
              <w:rPr>
                <w:rFonts w:ascii="Arial" w:cs="Arial" w:eastAsia="Arial" w:hAnsi="Arial"/>
                <w:sz w:val="18"/>
                <w:szCs w:val="18"/>
                <w:color w:val="auto"/>
              </w:rPr>
              <w:t>Each share entitles to one vote.</w:t>
            </w:r>
          </w:p>
        </w:tc>
        <w:tc>
          <w:tcPr>
            <w:tcW w:w="5860" w:type="dxa"/>
            <w:vAlign w:val="bottom"/>
          </w:tcPr>
          <w:p>
            <w:pPr>
              <w:ind w:left="360"/>
              <w:spacing w:after="0"/>
              <w:rPr>
                <w:sz w:val="20"/>
                <w:szCs w:val="20"/>
                <w:color w:val="auto"/>
              </w:rPr>
            </w:pPr>
            <w:r>
              <w:rPr>
                <w:rFonts w:ascii="Arial" w:cs="Arial" w:eastAsia="Arial" w:hAnsi="Arial"/>
                <w:sz w:val="18"/>
                <w:szCs w:val="18"/>
                <w:color w:val="auto"/>
              </w:rPr>
              <w:t>Chaque action donne droit à une voix.</w:t>
            </w:r>
          </w:p>
        </w:tc>
      </w:tr>
      <w:tr>
        <w:trPr>
          <w:trHeight w:val="95"/>
        </w:trPr>
        <w:tc>
          <w:tcPr>
            <w:tcW w:w="5560" w:type="dxa"/>
            <w:vAlign w:val="bottom"/>
            <w:tcBorders>
              <w:bottom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697" w:right="2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Each shareholder may be represented at a General Meeting by any</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Chaque  actionnaire  peut  se  faire  représenter  à  l'assemblée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who is so authorized by a written proxy. A proxy need not be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générale par toute personne qui est autorisée par une procuration</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 shareholder.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écrite.  Le  représentant  ne  doit  pas  nécessairement  être  un</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actionnaire.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Each shareholder may be represented by the Independent Proxy.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Chaque actionnaire peut se faire représenter par le représentant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requirements regarding proxies and instructions are determined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indépendant. Les exigences en matière de procurations et les</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by the Board of Directors.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instructions sont déterminées par le conseil d'administration.</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17 Resolutions and Elections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17 Décisions and élections</w:t>
            </w:r>
          </w:p>
        </w:tc>
      </w:tr>
      <w:tr>
        <w:trPr>
          <w:trHeight w:val="391"/>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All voting and elections are held openly or electronically. A written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Tous  votes  et  élections  sont  tenus  ouvertement  ou  par  voie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voting or election shall be held if instructed so by the Chairman or if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électronique.  Sur  instruction  du  président  ou  de  l'assemblée</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decided by the General Meeting.</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générale, un vote ou une élection doit être tenu par écrit.</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General Meeting shall pass its resolutions and carry out its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Sous réserve des dispositions impératives de la loi ou des statuts,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elections with the simple majority of the votes cast regardless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l'assemblée générale prend ses décisions et procède aux élections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abstentions and empty or invalid votes, unless statutory law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à la majorité simple des voix émises. En cas de partage égal des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articles of association state otherwise. In the event of tie votes,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voix,  la  requête  sera  refusée.  Le  président  n'a  pas  voix</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request shall be refused. The Chairman shall not have a casting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prépondérante.</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vote.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760" w:type="dxa"/>
            <w:vAlign w:val="bottom"/>
            <w:tcBorders>
              <w:right w:val="single" w:sz="8" w:color="auto"/>
            </w:tcBorders>
          </w:tcPr>
          <w:p>
            <w:pPr>
              <w:spacing w:after="0"/>
              <w:rPr>
                <w:sz w:val="18"/>
                <w:szCs w:val="18"/>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 resolution of the General Meeting passed by at least two thirds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Une décision de l'assemblée générale recueillant au moins les deux</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represented share votes and the absolute majority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tiers des voix attribuées aux actions représentées et la majorité</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represented shares par value is required for: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absolue des valeurs nominales représentées est nécessaire pour:</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   The cases listed in art. 704 para. 1 CO, i.e.: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   les cas énumérés dans l'art. 704 al. 1 CO, i.e.:</w:t>
            </w:r>
          </w:p>
        </w:tc>
      </w:tr>
      <w:tr>
        <w:trPr>
          <w:trHeight w:val="419"/>
        </w:trPr>
        <w:tc>
          <w:tcPr>
            <w:tcW w:w="556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(i)   the change of the company purpose;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(i)</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 modification du but social;</w:t>
            </w:r>
          </w:p>
        </w:tc>
      </w:tr>
      <w:tr>
        <w:trPr>
          <w:trHeight w:val="419"/>
        </w:trPr>
        <w:tc>
          <w:tcPr>
            <w:tcW w:w="556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(ii)  the creation of shares with privileged voting rights;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(ii)</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l'introduction d'actions à droit de vote privilégié;</w:t>
            </w:r>
          </w:p>
        </w:tc>
      </w:tr>
      <w:tr>
        <w:trPr>
          <w:trHeight w:val="404"/>
        </w:trPr>
        <w:tc>
          <w:tcPr>
            <w:tcW w:w="556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(iii)  the restriction of the transferability of registered shares;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(iii)</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  restriction  de  la  transmissibilité  des   actions</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nominatives;</w:t>
            </w:r>
          </w:p>
        </w:tc>
      </w:tr>
      <w:tr>
        <w:trPr>
          <w:trHeight w:val="404"/>
        </w:trPr>
        <w:tc>
          <w:tcPr>
            <w:tcW w:w="556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(iv)  an increase of capital, authorized or subject to a condition;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(iv) l'augmentation  autorisée  ou  conditionnelle  du  capital-</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actions;</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76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16</w:t>
            </w:r>
          </w:p>
        </w:tc>
        <w:tc>
          <w:tcPr>
            <w:tcW w:w="8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60" w:type="dxa"/>
            <w:vAlign w:val="bottom"/>
            <w:tcBorders>
              <w:top w:val="single" w:sz="8" w:color="auto"/>
              <w:left w:val="single" w:sz="8" w:color="auto"/>
            </w:tcBorders>
          </w:tcPr>
          <w:p>
            <w:pPr>
              <w:spacing w:after="0"/>
              <w:rPr>
                <w:sz w:val="24"/>
                <w:szCs w:val="24"/>
                <w:color w:val="auto"/>
              </w:rPr>
            </w:pPr>
          </w:p>
        </w:tc>
        <w:tc>
          <w:tcPr>
            <w:tcW w:w="4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(v)</w:t>
            </w:r>
          </w:p>
        </w:tc>
        <w:tc>
          <w:tcPr>
            <w:tcW w:w="47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an increase of capital out of equity, against contribution</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   l'augmentation du capital-actions au moyen des fonds</w:t>
            </w:r>
          </w:p>
        </w:tc>
      </w:tr>
      <w:tr>
        <w:trPr>
          <w:trHeight w:val="203"/>
        </w:trPr>
        <w:tc>
          <w:tcPr>
            <w:tcW w:w="36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in kind, or for the purpose of acquisition of assets and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640"/>
              <w:spacing w:after="0" w:line="202" w:lineRule="exact"/>
              <w:rPr>
                <w:sz w:val="20"/>
                <w:szCs w:val="20"/>
                <w:color w:val="auto"/>
              </w:rPr>
            </w:pPr>
            <w:r>
              <w:rPr>
                <w:rFonts w:ascii="Arial" w:cs="Arial" w:eastAsia="Arial" w:hAnsi="Arial"/>
                <w:sz w:val="18"/>
                <w:szCs w:val="18"/>
                <w:color w:val="auto"/>
              </w:rPr>
              <w:t>propres, contre apport en nature ou en vue d'une reprise</w:t>
            </w:r>
          </w:p>
        </w:tc>
      </w:tr>
      <w:tr>
        <w:trPr>
          <w:trHeight w:val="217"/>
        </w:trPr>
        <w:tc>
          <w:tcPr>
            <w:tcW w:w="36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the granting of special benefits;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de biens et l'octroi d'avantages particuliers;</w:t>
            </w:r>
          </w:p>
        </w:tc>
      </w:tr>
      <w:tr>
        <w:trPr>
          <w:trHeight w:val="404"/>
        </w:trPr>
        <w:tc>
          <w:tcPr>
            <w:tcW w:w="360" w:type="dxa"/>
            <w:vAlign w:val="bottom"/>
            <w:tcBorders>
              <w:left w:val="single" w:sz="8" w:color="auto"/>
            </w:tcBorders>
          </w:tcPr>
          <w:p>
            <w:pPr>
              <w:spacing w:after="0"/>
              <w:rPr>
                <w:sz w:val="24"/>
                <w:szCs w:val="24"/>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(vi)   the limitation or withdrawal of subscription rights;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(vi)  la limitation ou la suppression du droit de souscription</w:t>
            </w:r>
          </w:p>
        </w:tc>
      </w:tr>
      <w:tr>
        <w:trPr>
          <w:trHeight w:val="217"/>
        </w:trPr>
        <w:tc>
          <w:tcPr>
            <w:tcW w:w="36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préférentiel;</w:t>
            </w:r>
          </w:p>
        </w:tc>
      </w:tr>
      <w:tr>
        <w:trPr>
          <w:trHeight w:val="419"/>
        </w:trPr>
        <w:tc>
          <w:tcPr>
            <w:tcW w:w="360" w:type="dxa"/>
            <w:vAlign w:val="bottom"/>
            <w:tcBorders>
              <w:left w:val="single" w:sz="8" w:color="auto"/>
            </w:tcBorders>
          </w:tcPr>
          <w:p>
            <w:pPr>
              <w:spacing w:after="0"/>
              <w:rPr>
                <w:sz w:val="24"/>
                <w:szCs w:val="24"/>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(vii)   the change of the domicile of the Company; and</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(vii)  le transfert du siège de la société; et</w:t>
            </w:r>
          </w:p>
        </w:tc>
      </w:tr>
      <w:tr>
        <w:trPr>
          <w:trHeight w:val="419"/>
        </w:trPr>
        <w:tc>
          <w:tcPr>
            <w:tcW w:w="360" w:type="dxa"/>
            <w:vAlign w:val="bottom"/>
            <w:tcBorders>
              <w:left w:val="single" w:sz="8" w:color="auto"/>
            </w:tcBorders>
          </w:tcPr>
          <w:p>
            <w:pPr>
              <w:spacing w:after="0"/>
              <w:rPr>
                <w:sz w:val="24"/>
                <w:szCs w:val="24"/>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(viii)  the liquidation of the Company;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(viii) la dissolution de la société;</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the merger, de-merger or conversion of the Company (subject</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 fusion, la scission ou la conversion de la société (sous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to mandatory law);</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réserve des dispositions impératives);</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the alleviating or withdrawal of restrictions upon the transfer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l'atténuation ou la suppression des restrictions sur le transfert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registered shares;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des actions nominatives;</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the conversion of registered shares into bearer shares and vice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 conversion d'actions nominatives en actions au porteur et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versa; and</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vice versa; et</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the amendment or elimination of the provisions of Article 4 and</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e)</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 modification ou la suppression des dispositions des articles</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29 of the Articles of Association as well as those contained in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4 et 29 des statuts ainsi que ceux contenues dans le présent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this Article 17.</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article 17.</w:t>
            </w:r>
          </w:p>
        </w:tc>
      </w:tr>
      <w:tr>
        <w:trPr>
          <w:trHeight w:val="95"/>
        </w:trPr>
        <w:tc>
          <w:tcPr>
            <w:tcW w:w="5560" w:type="dxa"/>
            <w:vAlign w:val="bottom"/>
            <w:tcBorders>
              <w:left w:val="single" w:sz="8" w:color="auto"/>
              <w:bottom w:val="single" w:sz="8" w:color="auto"/>
            </w:tcBorders>
            <w:gridSpan w:val="3"/>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Art. 18 Votes on Compensation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18 Votes sur la rémunération</w:t>
            </w:r>
          </w:p>
        </w:tc>
      </w:tr>
      <w:tr>
        <w:trPr>
          <w:trHeight w:val="391"/>
        </w:trPr>
        <w:tc>
          <w:tcPr>
            <w:tcW w:w="5560" w:type="dxa"/>
            <w:vAlign w:val="bottom"/>
            <w:tcBorders>
              <w:left w:val="single" w:sz="8" w:color="auto"/>
            </w:tcBorders>
            <w:gridSpan w:val="3"/>
          </w:tcPr>
          <w:p>
            <w:pPr>
              <w:ind w:left="100"/>
              <w:spacing w:after="0"/>
              <w:rPr>
                <w:sz w:val="20"/>
                <w:szCs w:val="20"/>
                <w:color w:val="auto"/>
              </w:rPr>
            </w:pPr>
            <w:r>
              <w:rPr>
                <w:rFonts w:ascii="Arial" w:cs="Arial" w:eastAsia="Arial" w:hAnsi="Arial"/>
                <w:sz w:val="18"/>
                <w:szCs w:val="18"/>
                <w:color w:val="auto"/>
              </w:rPr>
              <w:t>Each year, the General Meeting separately approves the total</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Chaque année, l'assemblée générale approuve séparément les</w:t>
            </w:r>
          </w:p>
        </w:tc>
      </w:tr>
      <w:tr>
        <w:trPr>
          <w:trHeight w:val="203"/>
        </w:trPr>
        <w:tc>
          <w:tcPr>
            <w:tcW w:w="5560" w:type="dxa"/>
            <w:vAlign w:val="bottom"/>
            <w:tcBorders>
              <w:lef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maximum amounts proposed by the Board of Directors pursuant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montants totaux maximaux proposés par le conseil d'administration</w:t>
            </w:r>
          </w:p>
        </w:tc>
      </w:tr>
      <w:tr>
        <w:trPr>
          <w:trHeight w:val="217"/>
        </w:trPr>
        <w:tc>
          <w:tcPr>
            <w:tcW w:w="5560" w:type="dxa"/>
            <w:vAlign w:val="bottom"/>
            <w:tcBorders>
              <w:left w:val="single" w:sz="8" w:color="auto"/>
            </w:tcBorders>
            <w:gridSpan w:val="3"/>
          </w:tcPr>
          <w:p>
            <w:pPr>
              <w:ind w:left="100"/>
              <w:spacing w:after="0"/>
              <w:rPr>
                <w:sz w:val="20"/>
                <w:szCs w:val="20"/>
                <w:color w:val="auto"/>
              </w:rPr>
            </w:pPr>
            <w:r>
              <w:rPr>
                <w:rFonts w:ascii="Arial" w:cs="Arial" w:eastAsia="Arial" w:hAnsi="Arial"/>
                <w:sz w:val="18"/>
                <w:szCs w:val="18"/>
                <w:color w:val="auto"/>
              </w:rPr>
              <w:t>Articles 32 and 33 of the Articles of Association for: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conformément aux articles 32 et 33 des statuts pour:</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the non-performance-related compensation of the Board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  rémunération  non  liée  à  la  performance  du  conseil</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Directors for the next term of office;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d'administration pour le prochain mandat;</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a possible additional compensation of the Board of Directors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une  éventuelle  rémunération  supplémentaire  du  conseil</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for the preceding business year;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d'administration pour l'exercice précédent;</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the non-performance-related compensation of the Executive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 rémunération non liée à la performance du comité exécutif</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Committee for the 12-month period starting on 1 July following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pour la période de 12 mois commençant le 1er juillet après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the Ordinary General Meeting;</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chaque assemblée générale ordinaire;</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4"/>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17</w:t>
            </w: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d)   the variable compensation for the Executive Committee for the</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   la rémunération variable pour le comité exécutif pour l'année</w:t>
            </w:r>
          </w:p>
        </w:tc>
      </w:tr>
      <w:tr>
        <w:trPr>
          <w:trHeight w:val="217"/>
        </w:trPr>
        <w:tc>
          <w:tcPr>
            <w:tcW w:w="556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current year;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en cours;</w:t>
            </w:r>
          </w:p>
        </w:tc>
      </w:tr>
      <w:tr>
        <w:trPr>
          <w:trHeight w:val="404"/>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   the grant of options or shares in the Company to the Board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   l'octroi  d'options  ou  d'actions  de  la  société  au  conseil</w:t>
            </w:r>
          </w:p>
        </w:tc>
      </w:tr>
      <w:tr>
        <w:trPr>
          <w:trHeight w:val="217"/>
        </w:trPr>
        <w:tc>
          <w:tcPr>
            <w:tcW w:w="556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Directors and the Executive Committee.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d'administration et au comité exécutif.</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respective total compensation amounts include social security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montants totaux de rémunération respectifs comprennent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and  occupational  pension  contributions  for  the  benefit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sécurité sociale et les cotisations de retraite professionnelle au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of the Board of Directors, the Executive Committee and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profit des membres du conseil d'administration, du comité exécutif</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Company.</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et de la société.</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If the General Meeting refuses to approve a respective motion by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Si l'assemblée générale refuse d'approuver une motion soumise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Board of Directors, the Board of Directors may either submit a</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 le conseil d'administration, le conseil d'administration peut, soit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new motion at the same meeting or determine a maximum total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présenter une nouvelle motion à la même séance ou déterminer</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 or several maximum partial remunerations, subject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une  rémunération  maximale  totale  ou  plusieurs  rémunérations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relevant principles of the compensation, or submit a new motion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maximales partielles, sous réserve des principes concernant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to the next General Meeting for approval. The Company may pay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rémunération, soit soumettre une nouvelle motion à la prochaine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remunerations within the framework of the maximum total or partial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assemblée générale pour approbation. La société peut verser des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 and subject to the approval by the General Meeting.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rémunérations dans le cadre de la rémunération maximale totale ou</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partielle et sous réserve de l'approbation par l'assemblée générale.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1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19 Independent Proxy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19 Représentant indépendant</w:t>
            </w:r>
          </w:p>
        </w:tc>
      </w:tr>
      <w:tr>
        <w:trPr>
          <w:trHeight w:val="391"/>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Independent Proxy shall be elected by the Ordinary General</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représentant indépendant est élu par l'assemblée générale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for a term of one year until the end of the next Ordinary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ordinaire pour une durée d'un an jusqu'à la fin de la prochaine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Re-election is permitted. The Independent Proxy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informs the Company about number, type, par value and category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représentant indépendant informe la société sur le nombre, le type,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represented shares. The Chairman of the Board discloses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valeur nominale et la catégorie des actions représentées. 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information  to  the  General  Meeting.  The  other  duties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président du conseil d'administration communique ces informations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Independent Proxy are determined by the applicable statutory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à  l'assemblée  générale.  Les  autres  fonctions  du  représentant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provisions.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indépendant  sont  déterminées  par  les  dispositions  statutaires</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applicables.</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18</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62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b w:val="1"/>
                <w:bCs w:val="1"/>
                <w:color w:val="auto"/>
              </w:rPr>
              <w:t>V.</w:t>
            </w:r>
          </w:p>
        </w:tc>
        <w:tc>
          <w:tcPr>
            <w:tcW w:w="49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BOARD OF DIRECTORS</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V.</w:t>
            </w:r>
          </w:p>
        </w:tc>
        <w:tc>
          <w:tcPr>
            <w:tcW w:w="5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CONSEIL D'ADMINISTRATION</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20 Number of Members, Term of Office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20 Nombre de membres, durée de la fonction</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shall consist of at least 3 and not more than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se compose d'au minimum 3 et au</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9 members. The chairman and the members of the Board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maximum 9 membres. Le président et les membres du conseil</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Directors are individually elected by the General Meeting for a term</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sont  élus  individuellement  par  l'assemblée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of one year until the end of the next Ordinary General Meeting,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générale pour un mandat d'un an jusqu'à la fin de la prochaine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provided that he/she does not resign or is not replaced during his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assemblée générale ordinaire, à condition qu'il/elle ne démissionne</w:t>
            </w:r>
          </w:p>
        </w:tc>
      </w:tr>
      <w:tr>
        <w:trPr>
          <w:trHeight w:val="217"/>
        </w:trPr>
        <w:tc>
          <w:tcPr>
            <w:tcW w:w="6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term.</w:t>
            </w:r>
          </w:p>
        </w:tc>
        <w:tc>
          <w:tcPr>
            <w:tcW w:w="49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pas ou ne soit pas remplacé(e) durant son mandat.</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members of the Board of Directors may be re-elected without</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membres du conseil d'administration peuvent être réélus sans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limitation. The maximum age limit of members of the Board shall be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limitation. La limite d’âge des membres du conseil d'administration</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75 years. When a member of the Board of Directors reaches this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est fixée à 75 ans. Lorsqu'un membre du conseil d'administration</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age limit during his term of office, such term shall automatically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atteint cette limite d'âge durant son mandat, ledit mandat sera</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extend  to  the  next  ordinary  shareholders'  meeting.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automatiquement  prolongé  jusqu'à  la  prochaine  assemblée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shareholders' meeting may resolve to grant an exception to the age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générale ordinaire. L'assemblée générale des actionnaires peut</w:t>
            </w:r>
          </w:p>
        </w:tc>
      </w:tr>
      <w:tr>
        <w:trPr>
          <w:trHeight w:val="217"/>
        </w:trPr>
        <w:tc>
          <w:tcPr>
            <w:tcW w:w="6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limit.</w:t>
            </w:r>
          </w:p>
        </w:tc>
        <w:tc>
          <w:tcPr>
            <w:tcW w:w="49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décider d'accorder une dérogation à la limite d'âge.</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21 Constitution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21 Constitution</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Subject to the powers of the General Meeting, the Board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Sous réserve des pouvoirs de l'assemblée générale, le conseil</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Directors determines its own organization. It appoints a Secretary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détermine sa propre organisation. Il nomme un</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who needs not be a member of the Board of Directors.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secrétaire qui ne doit pas nécessairement être un membre du</w:t>
            </w:r>
          </w:p>
        </w:tc>
      </w:tr>
      <w:tr>
        <w:trPr>
          <w:trHeight w:val="217"/>
        </w:trPr>
        <w:tc>
          <w:tcPr>
            <w:tcW w:w="620" w:type="dxa"/>
            <w:vAlign w:val="bottom"/>
            <w:tcBorders>
              <w:left w:val="single" w:sz="8" w:color="auto"/>
            </w:tcBorders>
          </w:tcPr>
          <w:p>
            <w:pPr>
              <w:spacing w:after="0"/>
              <w:rPr>
                <w:sz w:val="18"/>
                <w:szCs w:val="18"/>
                <w:color w:val="auto"/>
              </w:rPr>
            </w:pPr>
          </w:p>
        </w:tc>
        <w:tc>
          <w:tcPr>
            <w:tcW w:w="49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conseil d'administration.</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22 Function, Organization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22 Fonction, organisation</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It is the Board of Director's duty to lead the Company and to</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exerce la direction de la société et en</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supervise the management. The Board of Director represents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supervise la gestion. Le conseil d'administration représente la</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Company and may take decisions on all affairs which are not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société et peut prendre les décisions sur toutes les affaires qui ne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assigned to any other body of the Company by law, the Articles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sont pas attribuées à un autre organe de la société par la loi, les</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Association or the organizational regulations.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statuts ou le règlement d'organisation.</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shall enact the organizational regulations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édicte le règlement d'organisation et</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and arrange for the appropriate contractual relationships.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s'occupe des relations contractuelles appropriées.</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23 Powers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23 Pouvoirs</w:t>
            </w:r>
          </w:p>
        </w:tc>
      </w:tr>
      <w:tr>
        <w:trPr>
          <w:trHeight w:val="405"/>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has the following</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a les attributions</w:t>
            </w:r>
          </w:p>
        </w:tc>
      </w:tr>
      <w:tr>
        <w:trPr>
          <w:trHeight w:val="95"/>
        </w:trPr>
        <w:tc>
          <w:tcPr>
            <w:tcW w:w="620" w:type="dxa"/>
            <w:vAlign w:val="bottom"/>
            <w:tcBorders>
              <w:left w:val="single" w:sz="8" w:color="auto"/>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304"/>
        </w:trPr>
        <w:tc>
          <w:tcPr>
            <w:tcW w:w="6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19</w:t>
            </w:r>
          </w:p>
        </w:tc>
        <w:tc>
          <w:tcPr>
            <w:tcW w:w="4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2" w:right="2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56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rPr>
              <w:t>non-delegable and inalienable duties:</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intransmissibles et inaliénables suivantes:</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200" w:type="dxa"/>
            <w:vAlign w:val="bottom"/>
          </w:tcPr>
          <w:p>
            <w:pPr>
              <w:ind w:left="120"/>
              <w:spacing w:after="0"/>
              <w:rPr>
                <w:sz w:val="20"/>
                <w:szCs w:val="20"/>
                <w:color w:val="auto"/>
              </w:rPr>
            </w:pPr>
            <w:r>
              <w:rPr>
                <w:rFonts w:ascii="Arial" w:cs="Arial" w:eastAsia="Arial" w:hAnsi="Arial"/>
                <w:sz w:val="18"/>
                <w:szCs w:val="18"/>
                <w:color w:val="auto"/>
              </w:rPr>
              <w:t>the overall management of the company and the issuing of all</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exercer  la  haute  direction  de  la  société  et  établir  les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necessary directives;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instructions nécessaires;</w:t>
            </w:r>
          </w:p>
        </w:tc>
      </w:tr>
      <w:tr>
        <w:trPr>
          <w:trHeight w:val="419"/>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200" w:type="dxa"/>
            <w:vAlign w:val="bottom"/>
          </w:tcPr>
          <w:p>
            <w:pPr>
              <w:ind w:left="120"/>
              <w:spacing w:after="0"/>
              <w:rPr>
                <w:sz w:val="20"/>
                <w:szCs w:val="20"/>
                <w:color w:val="auto"/>
              </w:rPr>
            </w:pPr>
            <w:r>
              <w:rPr>
                <w:rFonts w:ascii="Arial" w:cs="Arial" w:eastAsia="Arial" w:hAnsi="Arial"/>
                <w:sz w:val="18"/>
                <w:szCs w:val="18"/>
                <w:color w:val="auto"/>
              </w:rPr>
              <w:t>determination of the company's organisation;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fixer l'organisation;</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200" w:type="dxa"/>
            <w:vAlign w:val="bottom"/>
          </w:tcPr>
          <w:p>
            <w:pPr>
              <w:ind w:left="120"/>
              <w:spacing w:after="0"/>
              <w:rPr>
                <w:sz w:val="20"/>
                <w:szCs w:val="20"/>
                <w:color w:val="auto"/>
              </w:rPr>
            </w:pPr>
            <w:r>
              <w:rPr>
                <w:rFonts w:ascii="Arial" w:cs="Arial" w:eastAsia="Arial" w:hAnsi="Arial"/>
                <w:sz w:val="18"/>
                <w:szCs w:val="18"/>
                <w:color w:val="auto"/>
              </w:rPr>
              <w:t>the  organisation  of  the  accounting,  financial  control  and</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fixer les principes de la comptabilité et du contrôle financier</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financial planning systems as required for management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ainsi  que  le  plan  financier  pour  autant  que  celui-ci  soit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company;</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nécessaire à la gestion de la société;</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200" w:type="dxa"/>
            <w:vAlign w:val="bottom"/>
          </w:tcPr>
          <w:p>
            <w:pPr>
              <w:ind w:left="120"/>
              <w:spacing w:after="0"/>
              <w:rPr>
                <w:sz w:val="20"/>
                <w:szCs w:val="20"/>
                <w:color w:val="auto"/>
              </w:rPr>
            </w:pPr>
            <w:r>
              <w:rPr>
                <w:rFonts w:ascii="Arial" w:cs="Arial" w:eastAsia="Arial" w:hAnsi="Arial"/>
                <w:sz w:val="18"/>
                <w:szCs w:val="18"/>
                <w:color w:val="auto"/>
              </w:rPr>
              <w:t>the  appointment  and  dismissal  of  persons  entrusted  with</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nommer et révoquer les personnes chargées de la gestion et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managing and representing the company;</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 la représentation;</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200" w:type="dxa"/>
            <w:vAlign w:val="bottom"/>
          </w:tcPr>
          <w:p>
            <w:pPr>
              <w:ind w:left="120"/>
              <w:spacing w:after="0"/>
              <w:rPr>
                <w:sz w:val="20"/>
                <w:szCs w:val="20"/>
                <w:color w:val="auto"/>
              </w:rPr>
            </w:pPr>
            <w:r>
              <w:rPr>
                <w:rFonts w:ascii="Arial" w:cs="Arial" w:eastAsia="Arial" w:hAnsi="Arial"/>
                <w:sz w:val="18"/>
                <w:szCs w:val="18"/>
                <w:color w:val="auto"/>
              </w:rPr>
              <w:t>overall supervision of the persons entrusted with managing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e)</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exercer la haute surveillance sur les personnes chargées de la</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company, in particular with regard to compliance with the law,</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gestion pour s'assurer notamment qu'elles observent la loi, les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articles of association, operational regulations and directives;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statuts, les règlements et les instructions données;</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200" w:type="dxa"/>
            <w:vAlign w:val="bottom"/>
          </w:tcPr>
          <w:p>
            <w:pPr>
              <w:ind w:left="120"/>
              <w:spacing w:after="0"/>
              <w:rPr>
                <w:sz w:val="20"/>
                <w:szCs w:val="20"/>
                <w:color w:val="auto"/>
              </w:rPr>
            </w:pPr>
            <w:r>
              <w:rPr>
                <w:rFonts w:ascii="Arial" w:cs="Arial" w:eastAsia="Arial" w:hAnsi="Arial"/>
                <w:sz w:val="18"/>
                <w:szCs w:val="18"/>
                <w:color w:val="auto"/>
              </w:rPr>
              <w:t>compilation of the annual report, preparation for the general</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f)</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établir le rapport de gestion, préparer l'assemblée générale et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meeting and implementation of its resolutions;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exécuter ses décisions;</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g)</w:t>
            </w:r>
          </w:p>
        </w:tc>
        <w:tc>
          <w:tcPr>
            <w:tcW w:w="5200" w:type="dxa"/>
            <w:vAlign w:val="bottom"/>
          </w:tcPr>
          <w:p>
            <w:pPr>
              <w:ind w:left="120"/>
              <w:spacing w:after="0"/>
              <w:rPr>
                <w:sz w:val="20"/>
                <w:szCs w:val="20"/>
                <w:color w:val="auto"/>
              </w:rPr>
            </w:pPr>
            <w:r>
              <w:rPr>
                <w:rFonts w:ascii="Arial" w:cs="Arial" w:eastAsia="Arial" w:hAnsi="Arial"/>
                <w:sz w:val="18"/>
                <w:szCs w:val="18"/>
                <w:color w:val="auto"/>
              </w:rPr>
              <w:t>the preparation of the compensation report and to request</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g)</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 préparation du rapport de rémunération et de demander</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approval by the General Meeting regarding compensation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l'approbation par l'assemblée générale en ce qui concerne la</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the Board of Directors and the Executive Committee; and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rémunération du conseil d'administration et du comité exécutif;</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et</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h)</w:t>
            </w:r>
          </w:p>
        </w:tc>
        <w:tc>
          <w:tcPr>
            <w:tcW w:w="5200" w:type="dxa"/>
            <w:vAlign w:val="bottom"/>
          </w:tcPr>
          <w:p>
            <w:pPr>
              <w:ind w:left="120"/>
              <w:spacing w:after="0"/>
              <w:rPr>
                <w:sz w:val="20"/>
                <w:szCs w:val="20"/>
                <w:color w:val="auto"/>
              </w:rPr>
            </w:pPr>
            <w:r>
              <w:rPr>
                <w:rFonts w:ascii="Arial" w:cs="Arial" w:eastAsia="Arial" w:hAnsi="Arial"/>
                <w:sz w:val="18"/>
                <w:szCs w:val="18"/>
                <w:color w:val="auto"/>
              </w:rPr>
              <w:t>notification of the court in the event that the company is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h)</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informer le juge en cas de surendettement.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overindebted.</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may assign responsibility for preparing and</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peut  déléguer  à  un  ou  plusieurs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implementing  its  resolutions  or  monitoring  transactions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membres,  regroupés  en  comités,  la  charge  de  préparer  et</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committees or individual members. It must ensure appropriate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d'exécuter ses décisions ou de surveiller certaines affaires. Il veille</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reporting to its members.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à ce que ses membres soient convenablement informés.</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24 Representation of the Company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24 Représentation de la société</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shall assign the persons with signatory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nomme  les  personnes  pouvant</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power for the company and the kind of signatory power.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représenter la société ainsi que le mode de signature.</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4"/>
        </w:trPr>
        <w:tc>
          <w:tcPr>
            <w:tcW w:w="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20</w:t>
            </w: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888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88823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b w:val="1"/>
                <w:bCs w:val="1"/>
                <w:color w:val="auto"/>
              </w:rPr>
              <w:t>Art. 25 Delegation</w:t>
            </w:r>
          </w:p>
        </w:tc>
        <w:tc>
          <w:tcPr>
            <w:tcW w:w="5620" w:type="dxa"/>
            <w:vAlign w:val="bottom"/>
          </w:tcPr>
          <w:p>
            <w:pPr>
              <w:ind w:left="200"/>
              <w:spacing w:after="0"/>
              <w:rPr>
                <w:sz w:val="20"/>
                <w:szCs w:val="20"/>
                <w:color w:val="auto"/>
              </w:rPr>
            </w:pPr>
            <w:r>
              <w:rPr>
                <w:rFonts w:ascii="Arial" w:cs="Arial" w:eastAsia="Arial" w:hAnsi="Arial"/>
                <w:sz w:val="18"/>
                <w:szCs w:val="18"/>
                <w:b w:val="1"/>
                <w:bCs w:val="1"/>
                <w:color w:val="auto"/>
              </w:rPr>
              <w:t>Art. 25 Délégation</w:t>
            </w:r>
          </w:p>
        </w:tc>
      </w:tr>
      <w:tr>
        <w:trPr>
          <w:trHeight w:val="391"/>
        </w:trPr>
        <w:tc>
          <w:tcPr>
            <w:tcW w:w="5620" w:type="dxa"/>
            <w:vAlign w:val="bottom"/>
          </w:tcPr>
          <w:p>
            <w:pPr>
              <w:spacing w:after="0"/>
              <w:rPr>
                <w:sz w:val="20"/>
                <w:szCs w:val="20"/>
                <w:color w:val="auto"/>
              </w:rPr>
            </w:pPr>
            <w:r>
              <w:rPr>
                <w:rFonts w:ascii="Arial" w:cs="Arial" w:eastAsia="Arial" w:hAnsi="Arial"/>
                <w:sz w:val="18"/>
                <w:szCs w:val="18"/>
                <w:color w:val="auto"/>
              </w:rPr>
              <w:t>Moreover, the Board of Directors is authorized to delegate, in part or</w:t>
            </w:r>
          </w:p>
        </w:tc>
        <w:tc>
          <w:tcPr>
            <w:tcW w:w="5620" w:type="dxa"/>
            <w:vAlign w:val="bottom"/>
          </w:tcPr>
          <w:p>
            <w:pPr>
              <w:ind w:left="200"/>
              <w:spacing w:after="0"/>
              <w:rPr>
                <w:sz w:val="20"/>
                <w:szCs w:val="20"/>
                <w:color w:val="auto"/>
              </w:rPr>
            </w:pPr>
            <w:r>
              <w:rPr>
                <w:rFonts w:ascii="Arial" w:cs="Arial" w:eastAsia="Arial" w:hAnsi="Arial"/>
                <w:sz w:val="18"/>
                <w:szCs w:val="18"/>
                <w:color w:val="auto"/>
              </w:rPr>
              <w:t>En outre, le conseil d'administration peut, dans les limites de la loi,</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entirely, the management and the representation of the Company,</w:t>
            </w:r>
          </w:p>
        </w:tc>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déléguer, en partie ou entièrement, la gestion et la représentation</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within the limits of the law, to one or more individual directors</w:t>
            </w:r>
          </w:p>
        </w:tc>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de la société à un ou plusieurs administrateurs (délégués) ou à des</w:t>
            </w: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(Delegates) or to third parties pursuant to organizational regulations.</w:t>
            </w:r>
          </w:p>
        </w:tc>
        <w:tc>
          <w:tcPr>
            <w:tcW w:w="5620" w:type="dxa"/>
            <w:vAlign w:val="bottom"/>
          </w:tcPr>
          <w:p>
            <w:pPr>
              <w:ind w:left="200"/>
              <w:spacing w:after="0"/>
              <w:rPr>
                <w:sz w:val="20"/>
                <w:szCs w:val="20"/>
                <w:color w:val="auto"/>
              </w:rPr>
            </w:pPr>
            <w:r>
              <w:rPr>
                <w:rFonts w:ascii="Arial" w:cs="Arial" w:eastAsia="Arial" w:hAnsi="Arial"/>
                <w:sz w:val="18"/>
                <w:szCs w:val="18"/>
                <w:color w:val="auto"/>
              </w:rPr>
              <w:t>tiers conformément au règlement d'organisation.</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tcPr>
          <w:p>
            <w:pPr>
              <w:ind w:left="100"/>
              <w:spacing w:after="0"/>
              <w:rPr>
                <w:sz w:val="20"/>
                <w:szCs w:val="20"/>
                <w:color w:val="auto"/>
              </w:rPr>
            </w:pPr>
            <w:r>
              <w:rPr>
                <w:rFonts w:ascii="Arial" w:cs="Arial" w:eastAsia="Arial" w:hAnsi="Arial"/>
                <w:sz w:val="18"/>
                <w:szCs w:val="18"/>
                <w:b w:val="1"/>
                <w:bCs w:val="1"/>
                <w:color w:val="auto"/>
              </w:rPr>
              <w:t>Art. 26 Meetings, Resolutions and Minutes</w:t>
            </w:r>
          </w:p>
        </w:tc>
        <w:tc>
          <w:tcPr>
            <w:tcW w:w="5700" w:type="dxa"/>
            <w:vAlign w:val="bottom"/>
          </w:tcPr>
          <w:p>
            <w:pPr>
              <w:ind w:left="200"/>
              <w:spacing w:after="0"/>
              <w:rPr>
                <w:sz w:val="20"/>
                <w:szCs w:val="20"/>
                <w:color w:val="auto"/>
              </w:rPr>
            </w:pPr>
            <w:r>
              <w:rPr>
                <w:rFonts w:ascii="Arial" w:cs="Arial" w:eastAsia="Arial" w:hAnsi="Arial"/>
                <w:sz w:val="18"/>
                <w:szCs w:val="18"/>
                <w:b w:val="1"/>
                <w:bCs w:val="1"/>
                <w:color w:val="auto"/>
              </w:rPr>
              <w:t>Art. 26 Réunions, décisions et procès-verbal</w:t>
            </w:r>
          </w:p>
        </w:tc>
      </w:tr>
      <w:tr>
        <w:trPr>
          <w:trHeight w:val="391"/>
        </w:trPr>
        <w:tc>
          <w:tcPr>
            <w:tcW w:w="5720" w:type="dxa"/>
            <w:vAlign w:val="bottom"/>
          </w:tcPr>
          <w:p>
            <w:pPr>
              <w:ind w:left="100"/>
              <w:spacing w:after="0"/>
              <w:rPr>
                <w:sz w:val="20"/>
                <w:szCs w:val="20"/>
                <w:color w:val="auto"/>
              </w:rPr>
            </w:pPr>
            <w:r>
              <w:rPr>
                <w:rFonts w:ascii="Arial" w:cs="Arial" w:eastAsia="Arial" w:hAnsi="Arial"/>
                <w:sz w:val="18"/>
                <w:szCs w:val="18"/>
                <w:color w:val="auto"/>
              </w:rPr>
              <w:t>The organization of the meetings, the presence quorum and the</w:t>
            </w:r>
          </w:p>
        </w:tc>
        <w:tc>
          <w:tcPr>
            <w:tcW w:w="5700" w:type="dxa"/>
            <w:vAlign w:val="bottom"/>
          </w:tcPr>
          <w:p>
            <w:pPr>
              <w:ind w:left="200"/>
              <w:spacing w:after="0"/>
              <w:rPr>
                <w:sz w:val="20"/>
                <w:szCs w:val="20"/>
                <w:color w:val="auto"/>
              </w:rPr>
            </w:pPr>
            <w:r>
              <w:rPr>
                <w:rFonts w:ascii="Arial" w:cs="Arial" w:eastAsia="Arial" w:hAnsi="Arial"/>
                <w:sz w:val="18"/>
                <w:szCs w:val="18"/>
                <w:color w:val="auto"/>
              </w:rPr>
              <w:t>L'organisation des réunions, le quorum de présence et l'adoption de</w:t>
            </w: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passing of resolutions of the Board of Directors is determined by the</w:t>
            </w: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décisions du conseil d'administration sont prévus dans le règlement</w:t>
            </w: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organizational regulations. No presence quorum is required for the</w:t>
            </w: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d'organisation. Aucun quorum de présence n'est nécessaire pour</w:t>
            </w:r>
          </w:p>
        </w:tc>
      </w:tr>
      <w:tr>
        <w:trPr>
          <w:trHeight w:val="217"/>
        </w:trPr>
        <w:tc>
          <w:tcPr>
            <w:tcW w:w="5720" w:type="dxa"/>
            <w:vAlign w:val="bottom"/>
          </w:tcPr>
          <w:p>
            <w:pPr>
              <w:ind w:left="100"/>
              <w:spacing w:after="0"/>
              <w:rPr>
                <w:sz w:val="20"/>
                <w:szCs w:val="20"/>
                <w:color w:val="auto"/>
              </w:rPr>
            </w:pPr>
            <w:r>
              <w:rPr>
                <w:rFonts w:ascii="Arial" w:cs="Arial" w:eastAsia="Arial" w:hAnsi="Arial"/>
                <w:sz w:val="18"/>
                <w:szCs w:val="18"/>
                <w:color w:val="auto"/>
              </w:rPr>
              <w:t>approval of the capital increase.</w:t>
            </w:r>
          </w:p>
        </w:tc>
        <w:tc>
          <w:tcPr>
            <w:tcW w:w="5700" w:type="dxa"/>
            <w:vAlign w:val="bottom"/>
          </w:tcPr>
          <w:p>
            <w:pPr>
              <w:ind w:left="200"/>
              <w:spacing w:after="0"/>
              <w:rPr>
                <w:sz w:val="20"/>
                <w:szCs w:val="20"/>
                <w:color w:val="auto"/>
              </w:rPr>
            </w:pPr>
            <w:r>
              <w:rPr>
                <w:rFonts w:ascii="Arial" w:cs="Arial" w:eastAsia="Arial" w:hAnsi="Arial"/>
                <w:sz w:val="18"/>
                <w:szCs w:val="18"/>
                <w:color w:val="auto"/>
              </w:rPr>
              <w:t>l'approbation d'un rapport d'augmentation de capital.</w:t>
            </w:r>
          </w:p>
        </w:tc>
      </w:tr>
      <w:tr>
        <w:trPr>
          <w:trHeight w:val="95"/>
        </w:trPr>
        <w:tc>
          <w:tcPr>
            <w:tcW w:w="5720" w:type="dxa"/>
            <w:vAlign w:val="bottom"/>
            <w:tcBorders>
              <w:bottom w:val="single" w:sz="8" w:color="auto"/>
            </w:tcBorders>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303"/>
        </w:trPr>
        <w:tc>
          <w:tcPr>
            <w:tcW w:w="5720" w:type="dxa"/>
            <w:vAlign w:val="bottom"/>
          </w:tcPr>
          <w:p>
            <w:pPr>
              <w:ind w:left="100"/>
              <w:spacing w:after="0"/>
              <w:rPr>
                <w:sz w:val="20"/>
                <w:szCs w:val="20"/>
                <w:color w:val="auto"/>
              </w:rPr>
            </w:pPr>
            <w:r>
              <w:rPr>
                <w:rFonts w:ascii="Arial" w:cs="Arial" w:eastAsia="Arial" w:hAnsi="Arial"/>
                <w:sz w:val="18"/>
                <w:szCs w:val="18"/>
                <w:color w:val="auto"/>
              </w:rPr>
              <w:t>Resolutions may be passed via telephone or videoconference.</w:t>
            </w:r>
          </w:p>
        </w:tc>
        <w:tc>
          <w:tcPr>
            <w:tcW w:w="5700" w:type="dxa"/>
            <w:vAlign w:val="bottom"/>
          </w:tcPr>
          <w:p>
            <w:pPr>
              <w:ind w:left="200"/>
              <w:spacing w:after="0"/>
              <w:rPr>
                <w:sz w:val="20"/>
                <w:szCs w:val="20"/>
                <w:color w:val="auto"/>
              </w:rPr>
            </w:pPr>
            <w:r>
              <w:rPr>
                <w:rFonts w:ascii="Arial" w:cs="Arial" w:eastAsia="Arial" w:hAnsi="Arial"/>
                <w:sz w:val="18"/>
                <w:szCs w:val="18"/>
                <w:color w:val="222222"/>
              </w:rPr>
              <w:t>Les décisions peuvent être prises par téléphone ou par</w:t>
            </w: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Resolutions may also be passed by way of circulation, provided that</w:t>
            </w: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222222"/>
              </w:rPr>
              <w:t>vidéoconférence. Les décisions peuvent également être prises par</w:t>
            </w: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no member requests oral deliberation.</w:t>
            </w: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222222"/>
              </w:rPr>
              <w:t>voie de circulation, à condition qu'aucun membre ne demande une</w:t>
            </w:r>
          </w:p>
        </w:tc>
      </w:tr>
      <w:tr>
        <w:trPr>
          <w:trHeight w:val="217"/>
        </w:trPr>
        <w:tc>
          <w:tcPr>
            <w:tcW w:w="57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222222"/>
              </w:rPr>
              <w:t>délibération orale.</w:t>
            </w:r>
          </w:p>
        </w:tc>
      </w:tr>
      <w:tr>
        <w:trPr>
          <w:trHeight w:val="95"/>
        </w:trPr>
        <w:tc>
          <w:tcPr>
            <w:tcW w:w="5720" w:type="dxa"/>
            <w:vAlign w:val="bottom"/>
            <w:tcBorders>
              <w:bottom w:val="single" w:sz="8" w:color="auto"/>
            </w:tcBorders>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303"/>
        </w:trPr>
        <w:tc>
          <w:tcPr>
            <w:tcW w:w="5720" w:type="dxa"/>
            <w:vAlign w:val="bottom"/>
          </w:tcPr>
          <w:p>
            <w:pPr>
              <w:ind w:left="100"/>
              <w:spacing w:after="0"/>
              <w:rPr>
                <w:sz w:val="20"/>
                <w:szCs w:val="20"/>
                <w:color w:val="auto"/>
              </w:rPr>
            </w:pPr>
            <w:r>
              <w:rPr>
                <w:rFonts w:ascii="Arial" w:cs="Arial" w:eastAsia="Arial" w:hAnsi="Arial"/>
                <w:sz w:val="18"/>
                <w:szCs w:val="18"/>
                <w:color w:val="auto"/>
              </w:rPr>
              <w:t>Minutes are kept of the board's discussions and resolutions and</w:t>
            </w:r>
          </w:p>
        </w:tc>
        <w:tc>
          <w:tcPr>
            <w:tcW w:w="5700" w:type="dxa"/>
            <w:vAlign w:val="bottom"/>
          </w:tcPr>
          <w:p>
            <w:pPr>
              <w:ind w:left="200"/>
              <w:spacing w:after="0"/>
              <w:rPr>
                <w:sz w:val="20"/>
                <w:szCs w:val="20"/>
                <w:color w:val="auto"/>
              </w:rPr>
            </w:pPr>
            <w:r>
              <w:rPr>
                <w:rFonts w:ascii="Arial" w:cs="Arial" w:eastAsia="Arial" w:hAnsi="Arial"/>
                <w:sz w:val="18"/>
                <w:szCs w:val="18"/>
                <w:color w:val="auto"/>
              </w:rPr>
              <w:t>Les délibérations et les décisions du conseil d'administration sont</w:t>
            </w: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signed by the chairman and the minute-taker.</w:t>
            </w: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consignées dans un procès-verbal signé par le président et le</w:t>
            </w:r>
          </w:p>
        </w:tc>
      </w:tr>
      <w:tr>
        <w:trPr>
          <w:trHeight w:val="217"/>
        </w:trPr>
        <w:tc>
          <w:tcPr>
            <w:tcW w:w="57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rédacteur du procès-verbal.</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ind w:left="100"/>
              <w:spacing w:after="0"/>
              <w:rPr>
                <w:sz w:val="20"/>
                <w:szCs w:val="20"/>
                <w:color w:val="auto"/>
              </w:rPr>
            </w:pPr>
            <w:r>
              <w:rPr>
                <w:rFonts w:ascii="Arial" w:cs="Arial" w:eastAsia="Arial" w:hAnsi="Arial"/>
                <w:sz w:val="18"/>
                <w:szCs w:val="18"/>
                <w:b w:val="1"/>
                <w:bCs w:val="1"/>
                <w:color w:val="auto"/>
              </w:rPr>
              <w:t>Art. 27 Right to information and inspection</w:t>
            </w:r>
          </w:p>
        </w:tc>
        <w:tc>
          <w:tcPr>
            <w:tcW w:w="5860" w:type="dxa"/>
            <w:vAlign w:val="bottom"/>
          </w:tcPr>
          <w:p>
            <w:pPr>
              <w:ind w:left="360"/>
              <w:spacing w:after="0"/>
              <w:rPr>
                <w:sz w:val="20"/>
                <w:szCs w:val="20"/>
                <w:color w:val="auto"/>
              </w:rPr>
            </w:pPr>
            <w:r>
              <w:rPr>
                <w:rFonts w:ascii="Arial" w:cs="Arial" w:eastAsia="Arial" w:hAnsi="Arial"/>
                <w:sz w:val="18"/>
                <w:szCs w:val="18"/>
                <w:b w:val="1"/>
                <w:bCs w:val="1"/>
                <w:color w:val="auto"/>
              </w:rPr>
              <w:t>Art. 27 Droit aux renseignements et à la consultation</w:t>
            </w:r>
          </w:p>
        </w:tc>
      </w:tr>
      <w:tr>
        <w:trPr>
          <w:trHeight w:val="391"/>
        </w:trPr>
        <w:tc>
          <w:tcPr>
            <w:tcW w:w="5560" w:type="dxa"/>
            <w:vAlign w:val="bottom"/>
          </w:tcPr>
          <w:p>
            <w:pPr>
              <w:ind w:left="100"/>
              <w:spacing w:after="0"/>
              <w:rPr>
                <w:sz w:val="20"/>
                <w:szCs w:val="20"/>
                <w:color w:val="auto"/>
              </w:rPr>
            </w:pPr>
            <w:r>
              <w:rPr>
                <w:rFonts w:ascii="Arial" w:cs="Arial" w:eastAsia="Arial" w:hAnsi="Arial"/>
                <w:sz w:val="18"/>
                <w:szCs w:val="18"/>
                <w:color w:val="auto"/>
              </w:rPr>
              <w:t>Any member of the board of directors may request information on</w:t>
            </w:r>
          </w:p>
        </w:tc>
        <w:tc>
          <w:tcPr>
            <w:tcW w:w="5860" w:type="dxa"/>
            <w:vAlign w:val="bottom"/>
          </w:tcPr>
          <w:p>
            <w:pPr>
              <w:ind w:left="360"/>
              <w:spacing w:after="0"/>
              <w:rPr>
                <w:sz w:val="20"/>
                <w:szCs w:val="20"/>
                <w:color w:val="auto"/>
              </w:rPr>
            </w:pPr>
            <w:r>
              <w:rPr>
                <w:rFonts w:ascii="Arial" w:cs="Arial" w:eastAsia="Arial" w:hAnsi="Arial"/>
                <w:sz w:val="18"/>
                <w:szCs w:val="18"/>
                <w:color w:val="auto"/>
              </w:rPr>
              <w:t>Chaque membre du conseil d'administration a le droit d'obtenir des</w:t>
            </w:r>
          </w:p>
        </w:tc>
      </w:tr>
      <w:tr>
        <w:trPr>
          <w:trHeight w:val="217"/>
        </w:trPr>
        <w:tc>
          <w:tcPr>
            <w:tcW w:w="5560" w:type="dxa"/>
            <w:vAlign w:val="bottom"/>
          </w:tcPr>
          <w:p>
            <w:pPr>
              <w:ind w:left="100"/>
              <w:spacing w:after="0"/>
              <w:rPr>
                <w:sz w:val="20"/>
                <w:szCs w:val="20"/>
                <w:color w:val="auto"/>
              </w:rPr>
            </w:pPr>
            <w:r>
              <w:rPr>
                <w:rFonts w:ascii="Arial" w:cs="Arial" w:eastAsia="Arial" w:hAnsi="Arial"/>
                <w:sz w:val="18"/>
                <w:szCs w:val="18"/>
                <w:color w:val="auto"/>
              </w:rPr>
              <w:t>any company business.</w:t>
            </w:r>
          </w:p>
        </w:tc>
        <w:tc>
          <w:tcPr>
            <w:tcW w:w="5860" w:type="dxa"/>
            <w:vAlign w:val="bottom"/>
          </w:tcPr>
          <w:p>
            <w:pPr>
              <w:ind w:left="360"/>
              <w:spacing w:after="0"/>
              <w:rPr>
                <w:sz w:val="20"/>
                <w:szCs w:val="20"/>
                <w:color w:val="auto"/>
              </w:rPr>
            </w:pPr>
            <w:r>
              <w:rPr>
                <w:rFonts w:ascii="Arial" w:cs="Arial" w:eastAsia="Arial" w:hAnsi="Arial"/>
                <w:sz w:val="18"/>
                <w:szCs w:val="18"/>
                <w:color w:val="auto"/>
              </w:rPr>
              <w:t>renseignements sur toutes les affaires de la société.</w:t>
            </w:r>
          </w:p>
        </w:tc>
      </w:tr>
      <w:tr>
        <w:trPr>
          <w:trHeight w:val="95"/>
        </w:trPr>
        <w:tc>
          <w:tcPr>
            <w:tcW w:w="5560" w:type="dxa"/>
            <w:vAlign w:val="bottom"/>
            <w:tcBorders>
              <w:bottom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r>
      <w:tr>
        <w:trPr>
          <w:trHeight w:val="303"/>
        </w:trPr>
        <w:tc>
          <w:tcPr>
            <w:tcW w:w="5560" w:type="dxa"/>
            <w:vAlign w:val="bottom"/>
          </w:tcPr>
          <w:p>
            <w:pPr>
              <w:ind w:left="100"/>
              <w:spacing w:after="0"/>
              <w:rPr>
                <w:sz w:val="20"/>
                <w:szCs w:val="20"/>
                <w:color w:val="auto"/>
              </w:rPr>
            </w:pPr>
            <w:r>
              <w:rPr>
                <w:rFonts w:ascii="Arial" w:cs="Arial" w:eastAsia="Arial" w:hAnsi="Arial"/>
                <w:sz w:val="18"/>
                <w:szCs w:val="18"/>
                <w:color w:val="auto"/>
              </w:rPr>
              <w:t>Outside meetings, any member may request information from the</w:t>
            </w:r>
          </w:p>
        </w:tc>
        <w:tc>
          <w:tcPr>
            <w:tcW w:w="5860" w:type="dxa"/>
            <w:vAlign w:val="bottom"/>
          </w:tcPr>
          <w:p>
            <w:pPr>
              <w:ind w:left="360"/>
              <w:spacing w:after="0"/>
              <w:rPr>
                <w:sz w:val="20"/>
                <w:szCs w:val="20"/>
                <w:color w:val="auto"/>
              </w:rPr>
            </w:pPr>
            <w:r>
              <w:rPr>
                <w:rFonts w:ascii="Arial" w:cs="Arial" w:eastAsia="Arial" w:hAnsi="Arial"/>
                <w:sz w:val="18"/>
                <w:szCs w:val="18"/>
                <w:color w:val="auto"/>
              </w:rPr>
              <w:t>En dehors des séances, chaque membre du conseil</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persons  entrusted  with  managing  the  company's  business</w:t>
            </w:r>
          </w:p>
        </w:tc>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d'administration peut exiger des personnes chargées de la gestion</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concerning the company's business performance and, with the</w:t>
            </w:r>
          </w:p>
        </w:tc>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des renseignements sur la marche de l'entreprise et, avec</w:t>
            </w:r>
          </w:p>
        </w:tc>
      </w:tr>
      <w:tr>
        <w:trPr>
          <w:trHeight w:val="217"/>
        </w:trPr>
        <w:tc>
          <w:tcPr>
            <w:tcW w:w="5560" w:type="dxa"/>
            <w:vAlign w:val="bottom"/>
          </w:tcPr>
          <w:p>
            <w:pPr>
              <w:ind w:left="100"/>
              <w:spacing w:after="0"/>
              <w:rPr>
                <w:sz w:val="20"/>
                <w:szCs w:val="20"/>
                <w:color w:val="auto"/>
              </w:rPr>
            </w:pPr>
            <w:r>
              <w:rPr>
                <w:rFonts w:ascii="Arial" w:cs="Arial" w:eastAsia="Arial" w:hAnsi="Arial"/>
                <w:sz w:val="18"/>
                <w:szCs w:val="18"/>
                <w:color w:val="auto"/>
              </w:rPr>
              <w:t>chairman's authorisation, specific transactions.</w:t>
            </w:r>
          </w:p>
        </w:tc>
        <w:tc>
          <w:tcPr>
            <w:tcW w:w="5860" w:type="dxa"/>
            <w:vAlign w:val="bottom"/>
          </w:tcPr>
          <w:p>
            <w:pPr>
              <w:ind w:left="360"/>
              <w:spacing w:after="0"/>
              <w:rPr>
                <w:sz w:val="20"/>
                <w:szCs w:val="20"/>
                <w:color w:val="auto"/>
              </w:rPr>
            </w:pPr>
            <w:r>
              <w:rPr>
                <w:rFonts w:ascii="Arial" w:cs="Arial" w:eastAsia="Arial" w:hAnsi="Arial"/>
                <w:sz w:val="18"/>
                <w:szCs w:val="18"/>
                <w:color w:val="auto"/>
              </w:rPr>
              <w:t>l'autorisation du président, sur des affaires déterminées.</w:t>
            </w:r>
          </w:p>
        </w:tc>
      </w:tr>
      <w:tr>
        <w:trPr>
          <w:trHeight w:val="95"/>
        </w:trPr>
        <w:tc>
          <w:tcPr>
            <w:tcW w:w="5560" w:type="dxa"/>
            <w:vAlign w:val="bottom"/>
            <w:tcBorders>
              <w:bottom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r>
      <w:tr>
        <w:trPr>
          <w:trHeight w:val="303"/>
        </w:trPr>
        <w:tc>
          <w:tcPr>
            <w:tcW w:w="5560" w:type="dxa"/>
            <w:vAlign w:val="bottom"/>
          </w:tcPr>
          <w:p>
            <w:pPr>
              <w:ind w:left="100"/>
              <w:spacing w:after="0"/>
              <w:rPr>
                <w:sz w:val="20"/>
                <w:szCs w:val="20"/>
                <w:color w:val="auto"/>
              </w:rPr>
            </w:pPr>
            <w:r>
              <w:rPr>
                <w:rFonts w:ascii="Arial" w:cs="Arial" w:eastAsia="Arial" w:hAnsi="Arial"/>
                <w:sz w:val="18"/>
                <w:szCs w:val="18"/>
                <w:color w:val="auto"/>
              </w:rPr>
              <w:t>Where required for the performance of his duties, any member may</w:t>
            </w:r>
          </w:p>
        </w:tc>
        <w:tc>
          <w:tcPr>
            <w:tcW w:w="5860" w:type="dxa"/>
            <w:vAlign w:val="bottom"/>
          </w:tcPr>
          <w:p>
            <w:pPr>
              <w:ind w:left="360"/>
              <w:spacing w:after="0"/>
              <w:rPr>
                <w:sz w:val="20"/>
                <w:szCs w:val="20"/>
                <w:color w:val="auto"/>
              </w:rPr>
            </w:pPr>
            <w:r>
              <w:rPr>
                <w:rFonts w:ascii="Arial" w:cs="Arial" w:eastAsia="Arial" w:hAnsi="Arial"/>
                <w:sz w:val="18"/>
                <w:szCs w:val="18"/>
                <w:color w:val="auto"/>
              </w:rPr>
              <w:t>Dans la mesure où cela est nécessaire à l'accomplissement de ses</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request the chairman to have books of account and documents</w:t>
            </w:r>
          </w:p>
        </w:tc>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tâches, chaque membre du conseil d'administration peut demander</w:t>
            </w:r>
          </w:p>
        </w:tc>
      </w:tr>
      <w:tr>
        <w:trPr>
          <w:trHeight w:val="217"/>
        </w:trPr>
        <w:tc>
          <w:tcPr>
            <w:tcW w:w="5560" w:type="dxa"/>
            <w:vAlign w:val="bottom"/>
          </w:tcPr>
          <w:p>
            <w:pPr>
              <w:ind w:left="100"/>
              <w:spacing w:after="0"/>
              <w:rPr>
                <w:sz w:val="20"/>
                <w:szCs w:val="20"/>
                <w:color w:val="auto"/>
              </w:rPr>
            </w:pPr>
            <w:r>
              <w:rPr>
                <w:rFonts w:ascii="Arial" w:cs="Arial" w:eastAsia="Arial" w:hAnsi="Arial"/>
                <w:sz w:val="18"/>
                <w:szCs w:val="18"/>
                <w:color w:val="auto"/>
              </w:rPr>
              <w:t>made available to him for inspection.</w:t>
            </w:r>
          </w:p>
        </w:tc>
        <w:tc>
          <w:tcPr>
            <w:tcW w:w="5860" w:type="dxa"/>
            <w:vAlign w:val="bottom"/>
          </w:tcPr>
          <w:p>
            <w:pPr>
              <w:ind w:left="360"/>
              <w:spacing w:after="0"/>
              <w:rPr>
                <w:sz w:val="20"/>
                <w:szCs w:val="20"/>
                <w:color w:val="auto"/>
              </w:rPr>
            </w:pPr>
            <w:r>
              <w:rPr>
                <w:rFonts w:ascii="Arial" w:cs="Arial" w:eastAsia="Arial" w:hAnsi="Arial"/>
                <w:sz w:val="18"/>
                <w:szCs w:val="18"/>
                <w:color w:val="auto"/>
              </w:rPr>
              <w:t>au président la production des livres ou des dossiers.</w:t>
            </w:r>
          </w:p>
        </w:tc>
      </w:tr>
      <w:tr>
        <w:trPr>
          <w:trHeight w:val="95"/>
        </w:trPr>
        <w:tc>
          <w:tcPr>
            <w:tcW w:w="5560" w:type="dxa"/>
            <w:vAlign w:val="bottom"/>
            <w:tcBorders>
              <w:bottom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697" w:right="23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rPr>
              <w:t>If the chairman refuses a request for information, a request to be</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Si le président rejette une demande de renseignement, d'audition</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heard or an application to inspect documents, the board of directors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ou de consultation, le conseil d'administration tranche.</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rules on the matter.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28 Compensation Committee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28 Comité de rémunération</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Compensation Committee shall comprise at least 2 members.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comité de rémunération se compose d'au moins 2 membres. Les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members of the Compensation Committee shall be individually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membres du comité de rémunération sont élus par l'assemblée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elected by the Ordinary General Meeting from among the members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générale ordinaire parmi les membres du conseil d'administration</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of the Board of Directors for a term of one year until the next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pour un mandat d'un an jusqu'à la prochaine assemblée générale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Ordinary  General  Meeting.  Re-election  is  permitted.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ordinaire. Une réélection est possible. Le comité de rémunération a</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Compensation Committee has the following duties: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fonctions suivantes:</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200" w:type="dxa"/>
            <w:vAlign w:val="bottom"/>
          </w:tcPr>
          <w:p>
            <w:pPr>
              <w:ind w:left="120"/>
              <w:spacing w:after="0"/>
              <w:rPr>
                <w:sz w:val="20"/>
                <w:szCs w:val="20"/>
                <w:color w:val="auto"/>
              </w:rPr>
            </w:pPr>
            <w:r>
              <w:rPr>
                <w:rFonts w:ascii="Arial" w:cs="Arial" w:eastAsia="Arial" w:hAnsi="Arial"/>
                <w:sz w:val="18"/>
                <w:szCs w:val="18"/>
                <w:color w:val="auto"/>
              </w:rPr>
              <w:t>to draw up principles for compensation of members of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élaborer des principes de rémunération des membres du</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Board of Directors and the Executive Committee and to submit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conseil  d'administration  et  du  comité  exécutif  et  de  les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them to the Board of Directors for approval;</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soumettre au conseil d'administration pour approbation;</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200" w:type="dxa"/>
            <w:vAlign w:val="bottom"/>
          </w:tcPr>
          <w:p>
            <w:pPr>
              <w:ind w:left="120"/>
              <w:spacing w:after="0"/>
              <w:rPr>
                <w:sz w:val="20"/>
                <w:szCs w:val="20"/>
                <w:color w:val="auto"/>
              </w:rPr>
            </w:pPr>
            <w:r>
              <w:rPr>
                <w:rFonts w:ascii="Arial" w:cs="Arial" w:eastAsia="Arial" w:hAnsi="Arial"/>
                <w:sz w:val="18"/>
                <w:szCs w:val="18"/>
                <w:color w:val="auto"/>
              </w:rPr>
              <w:t>to propose to the Board of Directors the resolution to be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proposer au conseil d'administration la décision sera soumise</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submitted to the Ordinary General Meeting for the maximum</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à l'assemblée générale ordinaire pour la rémunération totale</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total compensation of the Board of Directors and Executive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maximale du conseil d'administration et du comité exécutif;</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Committee;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200" w:type="dxa"/>
            <w:vAlign w:val="bottom"/>
          </w:tcPr>
          <w:p>
            <w:pPr>
              <w:ind w:left="120"/>
              <w:spacing w:after="0"/>
              <w:rPr>
                <w:sz w:val="20"/>
                <w:szCs w:val="20"/>
                <w:color w:val="auto"/>
              </w:rPr>
            </w:pPr>
            <w:r>
              <w:rPr>
                <w:rFonts w:ascii="Arial" w:cs="Arial" w:eastAsia="Arial" w:hAnsi="Arial"/>
                <w:sz w:val="18"/>
                <w:szCs w:val="18"/>
                <w:color w:val="auto"/>
              </w:rPr>
              <w:t>subject  to  and  within  the  bounds  of  the  maximum</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sous réserve et dans les limites de la rémunération maximale</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compensation approved by the Ordinary General Meeting,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approuvée  par  l'assemblée  générale  ordinaire,  demander</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request approval by the Board of Directors of the individual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l'approbation du conseil d'administration quant aux paquets de</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remuneration packages to be paid to members of the Board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rémunération individuels devant être versés aux membres du</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Directors and members of the Executive Committee;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conseil d'administration et aux membres du comité exécutif;</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200" w:type="dxa"/>
            <w:vAlign w:val="bottom"/>
          </w:tcPr>
          <w:p>
            <w:pPr>
              <w:ind w:left="120"/>
              <w:spacing w:after="0"/>
              <w:rPr>
                <w:sz w:val="20"/>
                <w:szCs w:val="20"/>
                <w:color w:val="auto"/>
              </w:rPr>
            </w:pPr>
            <w:r>
              <w:rPr>
                <w:rFonts w:ascii="Arial" w:cs="Arial" w:eastAsia="Arial" w:hAnsi="Arial"/>
                <w:sz w:val="18"/>
                <w:szCs w:val="18"/>
                <w:color w:val="auto"/>
              </w:rPr>
              <w:t>to request approval by the Board of Directors regarding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requérir l'approbation du conseil d'administration sur la fixation</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determination  of  the  compensation-related  targets  for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d'objectifs liés à la rémunération pour le comité exécutif;</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Executive Committee;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200" w:type="dxa"/>
            <w:vAlign w:val="bottom"/>
          </w:tcPr>
          <w:p>
            <w:pPr>
              <w:ind w:left="120"/>
              <w:spacing w:after="0"/>
              <w:rPr>
                <w:sz w:val="20"/>
                <w:szCs w:val="20"/>
                <w:color w:val="auto"/>
              </w:rPr>
            </w:pPr>
            <w:r>
              <w:rPr>
                <w:rFonts w:ascii="Arial" w:cs="Arial" w:eastAsia="Arial" w:hAnsi="Arial"/>
                <w:sz w:val="18"/>
                <w:szCs w:val="18"/>
                <w:color w:val="auto"/>
              </w:rPr>
              <w:t>to request approval by the Board of Directors regarding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e)</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requérir  l'approbation  du  conseil  d'administration  sur  les</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adjustments  to  the  Articles  of  Association  relating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adaptations des statuts relatives à la rémunération; et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remuneration; and</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200" w:type="dxa"/>
            <w:vAlign w:val="bottom"/>
          </w:tcPr>
          <w:p>
            <w:pPr>
              <w:ind w:left="120"/>
              <w:spacing w:after="0"/>
              <w:rPr>
                <w:sz w:val="20"/>
                <w:szCs w:val="20"/>
                <w:color w:val="auto"/>
              </w:rPr>
            </w:pPr>
            <w:r>
              <w:rPr>
                <w:rFonts w:ascii="Arial" w:cs="Arial" w:eastAsia="Arial" w:hAnsi="Arial"/>
                <w:sz w:val="18"/>
                <w:szCs w:val="18"/>
                <w:color w:val="auto"/>
              </w:rPr>
              <w:t>to prepare the Compensation Report and submit it to the Board</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f)</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préparer le rapport de rémunération et de le soumettre au</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of Directors.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conseil d'administration.</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4"/>
        </w:trPr>
        <w:tc>
          <w:tcPr>
            <w:tcW w:w="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22</w:t>
            </w: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set  out  any  further  duties  and</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  conseil  d'administration  fixe  toutes  les  autres  fonctions  et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responsibilities vested on the Compensation Committee in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responsabilités  dévolues  au  comité  de  rémunération  dans  le</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Company's Organizational Rules.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règlement d'organisation de la société.</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1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29 Indemnification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29 Indemnisation</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As far as is permissible under applicable law, the Company shall</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la  mesure  permise  par  la  loi  applicable,  la  société</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indemnify any current or former member of the Board of Directors,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indemnisera  tout  membre  actuel  ou  ancien  du  conseil</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former members of the Executive Committee, or any person who 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les anciens membres du comité exécutif, ou toute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serving or has served at the request of the Company as a member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 qui sert ou a servi à la demande de la société en tant que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Board of Directors or member of the Executive Committee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 du conseil d'administration ou membre du comité exécutif</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(each individually, a "Covered Person"), against any expenses,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(chacun individuellement, une "Personne Couverte"), pour toutes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including attorneys' fees, judgments, fines, and amounts paid in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les  dépenses,  y  compris  les  honoraires  d'avocat,  jugements,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settlement actually and reasonably incurred by him or her in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amendes, et montants versés effectivement et raisonnablement à</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connection with any threatened, pending, or completed action, suit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titre de règlement dans le cadre de toute action, poursuite ou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or proceeding, whether civil, criminal or administrative, to which 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procédure imminente, pendante ou terminée, qu'elle soit civile,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or she was, is, or is threatened to be made a party, or is otherwise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pénale ou administrative, à laquelle il ou elle a été, est, ou est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involved (a "Proceeding"). This provision shall not indemnify any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menacé d'être partie, ou est impliqué de toute autre manière (une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Covered Person against any liability arising out of (a) any fraud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"Procédure").  Cette  disposition  ne  doit  pas  indemniser  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dishonesty in the performance of such Covered Person's duty to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 Couverte contre une responsabilité découlant de (a) 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or (b) such Covered Party's conscious, intentional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fraude ou une malhonnêteté de cette Personne Couverte dans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willful or grossly negligent breach of the obligation to act honestly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l'exercice de ses fonctions vis-à-vis de la société, ou (b) 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and in good faith with a view to the best interests of the Company.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violation  consciente, intentionnelle  ou volontaire  ou gravement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Notwithstanding the preceding sentence, this section shall not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négligente de l'obligation de cette Personne Couverte d'agir avec</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extend to any person holding the office of auditor or special auditor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honnêteté en tenant compte du meilleur intérêt de la société.</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Company.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Nonobstant ce qui précède, cette disposition ne s'étend pas aux</w:t>
            </w:r>
          </w:p>
        </w:tc>
      </w:tr>
      <w:tr>
        <w:trPr>
          <w:trHeight w:val="203"/>
        </w:trPr>
        <w:tc>
          <w:tcPr>
            <w:tcW w:w="556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personnes qui occupent le poste de réviseur ou de réviseur spécial</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 la société.</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In the case of any Proceeding by or in the name of the Company,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le cas de toute Procédure intentée par ou au nom de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  shall  indemnify  each  Covered  Person  against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société, la société doit indemniser chaque Personne Couverte pour</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expenses,  including  attorneys'  fees,  actually  and  reasonably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les dépenses, y compris les honoraires d'avocat, effectivement et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incurred in connection with the defense or settlement thereof,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raisonnablement encourus dans le cadre de la défense ou du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except no indemnification shall be made in respect of any claim,</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règlement dans le cadre de la Procédure. Aucune indemnisation 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issue or matter as to which a Covered Person shall have been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sera octroyée pour une réclamation, problème ou affaire pour</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adjudged to be liable for fraud or dishonesty in the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23</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performance of his or her duty to the Company, or for conscious,</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laquelle une Personne Couverte est tenue responsable à la suite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intentional or willful or grossly negligent breach of his or her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fraude ou de malhonnêteté dans l'exercice de ses fonctions vis-à-</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obligation to act honestly and in good faith with a view to the best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vis  de  la  société,  ou  à  cause  d'une  violation  consciente,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interests of the Company, unless and only to the extent that a court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intentionnelle ou volontaire ou gravement négligente de l'obligation</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 which such action or suit was brought shall determine upon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la Personne Couverte d'agir avec honnêteté en tenant compte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application that despite the adjudication of liability, but in view of all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 meilleur intérêt de la société, sauf et uniquement si un tribunal</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circumstances of the case, such Covered Person is fairly and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auquel une telle action ou poursuite a été porté détermine que,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reasonably entitled to indemnity for such expenses as the court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malgré la reconnaissance de la responsabilité, mais compte tenu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shall deem proper. Notwithstanding the preceding sentence, this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toutes les circonstances du cas d'espèce, cette Personne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section shall not extend to any person holding the office of auditor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Couverte  a  équitablement  et  raisonnablement  droit  à  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or special auditor of the Company.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indemnisation de ces dépenses, mais uniquement à hauteur du</w:t>
            </w:r>
          </w:p>
        </w:tc>
      </w:tr>
      <w:tr>
        <w:trPr>
          <w:trHeight w:val="203"/>
        </w:trPr>
        <w:tc>
          <w:tcPr>
            <w:tcW w:w="556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montant que le tribunal jugera convenable. Nonobstant la phrase</w:t>
            </w:r>
          </w:p>
        </w:tc>
      </w:tr>
      <w:tr>
        <w:trPr>
          <w:trHeight w:val="203"/>
        </w:trPr>
        <w:tc>
          <w:tcPr>
            <w:tcW w:w="556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précédente, cette disposition ne s'étend pas aux personnes qui</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occupent le poste de réviseur ou de réviseur spécial de la société.</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Any indemnification under this Article 29 (unless ordered by a court)</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Toute  indemnisation  en  vertu  du  présent  article  29  (sauf  si</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shall be made by the Company only as authorized in the specific</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ordonnée par un tribunal) doit être octroyée par la société dans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case upon a determination that indemnification of the Covered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chaque cas dans les limites de l'autorisation sur la base d'une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is proper in the circumstances because such person has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détermination que l'indemnisation de la Personne Couverte est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met the applicable Standard of conduct set forth in this Article 29.</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appropriée dans les circonstances parce que cette personne 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Such determination shall be made, with respect to a Covered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satisfait au standard de conduite applicable énoncé dans le présent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(a) by a majority vote of the members of the Board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article 29. Une telle décision concernant une Personne Couverte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who are not parties to such proceeding, even though less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doit être prise (a) par la majorité des votes des membres du conseil</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than a quorum; (b) by a committee of such members of the Board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qui ne sont pas parties à cette procédure, même si</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designated by a majority vote of such the Board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 quorum requis n'est pas réuni; (b) par un comité de membres du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even though less than a quorum; (c) if there are no such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conseil d'administration désignés par une majorité des votes du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 of the Board of Directors, or if such member of the Board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conseil d'administration, même si le quorum requis n'est pas réuni;</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so direct, by independent legal counsel in a written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 s'il n'y a pas de tel membre du conseil d'administration, ou si ce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opinion; or (d) by the General Meeting of Shareholders. Such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 du conseil d'administration l'ordonne, par un conseiller</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determination shall be made, with respect to any other Covered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juridique indépendant dans un avis écrit; ou (d) par l'assemblée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by any person or persons having the authority to act on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générale  des  actionnaires.  Une  telle  décision  concernant  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matter on behalf of the Company. To the extent, however, that any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  Couverte  doit  être  prise  par  une  personne  ou  des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Covered Person has been successful on the merits or otherwise in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personnes ayant le pouvoir d'agir dans cet affaire au nom de la</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defense of any proceeding, or in defense of any claim, issue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société. Dans la mesure, cependant, où une Personne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24</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or matter therein, such Covered Person shall be indemnified against</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Couverte a gagné sur le fond ou autrement dans la défense d'une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expenses  (including  attorneys'  fees)  actually  and  reasonably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procédure, ou dans la défense de toute réclamation, problème ou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incurred  by  such  person  in  connection  therewith,  without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affaire dans cette procédure, cette Personne Couverte doit être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necessity of authorization in the specific case.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indemnisée pour les dépenses (y compris les honoraires d'avocat)</w:t>
            </w:r>
          </w:p>
        </w:tc>
      </w:tr>
      <w:tr>
        <w:trPr>
          <w:trHeight w:val="203"/>
        </w:trPr>
        <w:tc>
          <w:tcPr>
            <w:tcW w:w="556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effectivement  et  raisonnablement  encourus  dans  le  cadre  de</w:t>
            </w:r>
          </w:p>
        </w:tc>
      </w:tr>
      <w:tr>
        <w:trPr>
          <w:trHeight w:val="203"/>
        </w:trPr>
        <w:tc>
          <w:tcPr>
            <w:tcW w:w="556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l'affaire  en  question  sans  qu'il  soit  nécessaire  d'avoir  une</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autorisation dans le cas spécifique.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As far as is permissible under applicable law, expenses, including</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la mesure permise par la loi applicable, les dépenses, y</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attorneys' fees, incurred in defending any proceeding for which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compris les honoraires d'avocats, encourus dans la défense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indemnification is permitted pursuant to this Article 29 shall be paid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toute procédure pour laquelle l'indemnisation est permise en vertu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by  the  Company  in  advance  of  the  final  disposition  of  such</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 présent article 29, doivent être payées par la société avant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proceeding upon receipt by the Board of Directors of an undertaking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décision finale dans cette procédure à réception par le conseil</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by or on behalf of the Covered Person to repay such amount if it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d'une  promesse  faite  par  ou  au  nom  de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shall ultimately be determined that he or she is not entitled to be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  Couverte  de  rembourser  ce  montant  s'il  s'avère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indemnified by the Company under these Articles of Association.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finalement  que  cette  Personne  Couverte  n'a  pas  droit  à</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l'indemnisation par la société en vertu de ces statuts.</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It being the policy of the Company that indemnification of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politique de la société prévoit que l'indemnisation des personnes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persons specified in this Article 29 shall be made to the fullest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visées au présent article 29 doit être payée dans toute la mesure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extent permitted by law and the indemnification provided by this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autorisée par la loi et l'indemnisation prévue par cet article 29 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Article 29 shall not be deemed exclusive (a) of any other rights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sera pas considérée comme exclusive (a) d'autres droits auxquels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which those seeking indemnification or advancement of expenses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les personnes demandant une indemnisation ou une avance des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may be entitled under these Articles of Association, any agreement,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dépenses ont droit en vertu de ces statuts, d'un accord, d'une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any insurance purchased by the Company, vote of shareholders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assurance souscrite par la société, d'un vote d'actionnaires ou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disinterested members of the Board of Directors, or pursuant to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membres du conseil d'administration n'ayant pas d'intérêt direct, ou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decision of any court of competent jurisdiction, or otherwise, both as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 vertu d'une décision d'un tribunal compétent, ou autrement, soit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to action in his or her official capacity and as to action in another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à l'égard d'actions faites en sa capacité officielle, soit à l'égard</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capacity while holding such office, or (b) of the power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d'actions faites à un autre titre tout en ayant une telle fonction, ou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to indemnify any person who is or was an employee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 du pouvoir de la société d'indemniser toute personne qui est ou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agent of the Company or of another corporation, joint venture, trust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était un employé ou un mandataire de la société ou d'une autre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or other enterprise which he or she is serving or has served at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société, d'une joint venture, d'une fiducie ou d'une autre entreprise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request of the Company, to the same extent and in the same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pour laquelle il ou elle travaille ou a travaillé à la demande de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situations  and  subject  to  the  same  determinations  as  are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société, dans la même mesure et dans les mêmes situations et</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hereinabove set forth</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sous réserve des</w:t>
            </w:r>
          </w:p>
        </w:tc>
      </w:tr>
      <w:tr>
        <w:trPr>
          <w:trHeight w:val="297"/>
        </w:trPr>
        <w:tc>
          <w:tcPr>
            <w:tcW w:w="55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25</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rPr>
              <w:t>with respect to a Covered Person.</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mêmes principes concernant une Personne Couverte évoquées ci-</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As used in this Article 29, references to the "Company" include all</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w w:val="96"/>
              </w:rPr>
              <w:t>dessus.</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60" w:type="dxa"/>
            <w:vAlign w:val="bottom"/>
            <w:tcBorders>
              <w:left w:val="single" w:sz="8" w:color="auto"/>
            </w:tcBorders>
            <w:gridSpan w:val="2"/>
            <w:vMerge w:val="continue"/>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4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constituent corporations in a consolidation or merger in which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Tel qu'utilisé dans le présent article 29, les références à la "société"</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Company or a predecessor to the Company by consolidation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comprennent  toutes  les  sociétés  ayant  fait  l'objet  d'un</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merger was involved.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regroupement ou d'une fusion dans laquelle la société ou un</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The indemnification provided by this Article 29 shall continue as to a</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prédécesseur à la société a été impliqué.</w:t>
            </w:r>
          </w:p>
        </w:tc>
        <w:tc>
          <w:tcPr>
            <w:tcW w:w="0" w:type="dxa"/>
            <w:vAlign w:val="bottom"/>
          </w:tcPr>
          <w:p>
            <w:pPr>
              <w:spacing w:after="0"/>
              <w:rPr>
                <w:sz w:val="1"/>
                <w:szCs w:val="1"/>
                <w:color w:val="auto"/>
              </w:rPr>
            </w:pPr>
          </w:p>
        </w:tc>
      </w:tr>
      <w:tr>
        <w:trPr>
          <w:trHeight w:val="188"/>
        </w:trPr>
        <w:tc>
          <w:tcPr>
            <w:tcW w:w="5560" w:type="dxa"/>
            <w:vAlign w:val="bottom"/>
            <w:tcBorders>
              <w:left w:val="single" w:sz="8" w:color="auto"/>
            </w:tcBorders>
            <w:gridSpan w:val="2"/>
            <w:vMerge w:val="continue"/>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4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person who has ceased to be a member of the Board of Directors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L'indemnisation prévue par cet article 29 est maintenue à l'égard</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Executive Committee and shall inure to the benefit of their heirs,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d'une  personne  qui  a  cessé  d'être  un  membre  du  conseil</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executors, and administrators.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ou le comité exécutif et sera en vigueur au bénéfice</w:t>
            </w:r>
          </w:p>
        </w:tc>
        <w:tc>
          <w:tcPr>
            <w:tcW w:w="0" w:type="dxa"/>
            <w:vAlign w:val="bottom"/>
          </w:tcPr>
          <w:p>
            <w:pPr>
              <w:spacing w:after="0"/>
              <w:rPr>
                <w:sz w:val="1"/>
                <w:szCs w:val="1"/>
                <w:color w:val="auto"/>
              </w:rPr>
            </w:pPr>
          </w:p>
        </w:tc>
      </w:tr>
      <w:tr>
        <w:trPr>
          <w:trHeight w:val="217"/>
        </w:trPr>
        <w:tc>
          <w:tcPr>
            <w:tcW w:w="560" w:type="dxa"/>
            <w:vAlign w:val="bottom"/>
            <w:tcBorders>
              <w:left w:val="single" w:sz="8" w:color="auto"/>
            </w:tcBorders>
          </w:tcPr>
          <w:p>
            <w:pPr>
              <w:spacing w:after="0"/>
              <w:rPr>
                <w:sz w:val="18"/>
                <w:szCs w:val="18"/>
                <w:color w:val="auto"/>
              </w:rPr>
            </w:pPr>
          </w:p>
        </w:tc>
        <w:tc>
          <w:tcPr>
            <w:tcW w:w="50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 ses héritiers, exécuteurs et administrateurs.</w:t>
            </w:r>
          </w:p>
        </w:tc>
        <w:tc>
          <w:tcPr>
            <w:tcW w:w="0" w:type="dxa"/>
            <w:vAlign w:val="bottom"/>
          </w:tcPr>
          <w:p>
            <w:pPr>
              <w:spacing w:after="0"/>
              <w:rPr>
                <w:sz w:val="1"/>
                <w:szCs w:val="1"/>
                <w:color w:val="auto"/>
              </w:rPr>
            </w:pPr>
          </w:p>
        </w:tc>
      </w:tr>
      <w:tr>
        <w:trPr>
          <w:trHeight w:val="95"/>
        </w:trPr>
        <w:tc>
          <w:tcPr>
            <w:tcW w:w="560" w:type="dxa"/>
            <w:vAlign w:val="bottom"/>
            <w:tcBorders>
              <w:left w:val="single" w:sz="8" w:color="auto"/>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VI.</w:t>
            </w:r>
          </w:p>
        </w:tc>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AUDITORS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VI.</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ORGANE DE RÉVISION</w:t>
            </w:r>
          </w:p>
        </w:tc>
        <w:tc>
          <w:tcPr>
            <w:tcW w:w="0" w:type="dxa"/>
            <w:vAlign w:val="bottom"/>
          </w:tcPr>
          <w:p>
            <w:pPr>
              <w:spacing w:after="0"/>
              <w:rPr>
                <w:sz w:val="1"/>
                <w:szCs w:val="1"/>
                <w:color w:val="auto"/>
              </w:rPr>
            </w:pP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30 Election, Term</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30 Élection, durée</w:t>
            </w:r>
          </w:p>
        </w:tc>
        <w:tc>
          <w:tcPr>
            <w:tcW w:w="0" w:type="dxa"/>
            <w:vAlign w:val="bottom"/>
          </w:tcPr>
          <w:p>
            <w:pPr>
              <w:spacing w:after="0"/>
              <w:rPr>
                <w:sz w:val="1"/>
                <w:szCs w:val="1"/>
                <w:color w:val="auto"/>
              </w:rPr>
            </w:pPr>
          </w:p>
        </w:tc>
      </w:tr>
      <w:tr>
        <w:trPr>
          <w:trHeight w:val="37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General Meeting shall elect one or more accountants as its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nomme  chaque  année  un  ou  plusieurs</w:t>
            </w:r>
          </w:p>
        </w:tc>
        <w:tc>
          <w:tcPr>
            <w:tcW w:w="0" w:type="dxa"/>
            <w:vAlign w:val="bottom"/>
          </w:tcPr>
          <w:p>
            <w:pPr>
              <w:spacing w:after="0"/>
              <w:rPr>
                <w:sz w:val="1"/>
                <w:szCs w:val="1"/>
                <w:color w:val="auto"/>
              </w:rPr>
            </w:pPr>
          </w:p>
        </w:tc>
      </w:tr>
      <w:tr>
        <w:trPr>
          <w:trHeight w:val="22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Auditors in terms of Articles 727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every year with the</w:t>
            </w:r>
          </w:p>
        </w:tc>
        <w:tc>
          <w:tcPr>
            <w:tcW w:w="60" w:type="dxa"/>
            <w:vAlign w:val="bottom"/>
            <w:tcBorders>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réviseurs comme organe de révision selon les articles 727 ss. CO</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rights and duties determined by law.</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avec les droits et les devoirs déterminés par la loi.</w:t>
            </w:r>
          </w:p>
        </w:tc>
        <w:tc>
          <w:tcPr>
            <w:tcW w:w="0" w:type="dxa"/>
            <w:vAlign w:val="bottom"/>
          </w:tcPr>
          <w:p>
            <w:pPr>
              <w:spacing w:after="0"/>
              <w:rPr>
                <w:sz w:val="1"/>
                <w:szCs w:val="1"/>
                <w:color w:val="auto"/>
              </w:rPr>
            </w:pP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General Meeting may appoint Special Auditors for a term of up</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peut nommer des réviseurs spéciaux pour</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to three years who provide the attestations required for capital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une durée de trois ans au maximum qui fournissent les attestations</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increases.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requises pour les augmentations de capital.</w:t>
            </w:r>
          </w:p>
        </w:tc>
        <w:tc>
          <w:tcPr>
            <w:tcW w:w="0" w:type="dxa"/>
            <w:vAlign w:val="bottom"/>
          </w:tcPr>
          <w:p>
            <w:pPr>
              <w:spacing w:after="0"/>
              <w:rPr>
                <w:sz w:val="1"/>
                <w:szCs w:val="1"/>
                <w:color w:val="auto"/>
              </w:rPr>
            </w:pP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31 Duties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31 Fonctions</w:t>
            </w:r>
          </w:p>
        </w:tc>
        <w:tc>
          <w:tcPr>
            <w:tcW w:w="0" w:type="dxa"/>
            <w:vAlign w:val="bottom"/>
          </w:tcPr>
          <w:p>
            <w:pPr>
              <w:spacing w:after="0"/>
              <w:rPr>
                <w:sz w:val="1"/>
                <w:szCs w:val="1"/>
                <w:color w:val="auto"/>
              </w:rPr>
            </w:pP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Auditors shall perform their duties to audit and report whether</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L'organe de révision vérifie et rapporte si la comptabilité, les</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accounting, the annual accounts and the proposal regarding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comptes annuels et la proposition relative à la répartition des</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allocation of profits are in accordance with law and the Articles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bénéfices sont en conformité avec la loi et les statuts.</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Association.</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60" w:type="dxa"/>
            <w:vAlign w:val="bottom"/>
            <w:tcBorders>
              <w:left w:val="single" w:sz="8" w:color="auto"/>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VII.</w:t>
            </w:r>
          </w:p>
        </w:tc>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COMPENSATION AND RELATED PROVISIONS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VII.</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RÉMUNÉRATION ET DISPOSITIONS ANALOGUES</w:t>
            </w:r>
          </w:p>
        </w:tc>
        <w:tc>
          <w:tcPr>
            <w:tcW w:w="0" w:type="dxa"/>
            <w:vAlign w:val="bottom"/>
          </w:tcPr>
          <w:p>
            <w:pPr>
              <w:spacing w:after="0"/>
              <w:rPr>
                <w:sz w:val="1"/>
                <w:szCs w:val="1"/>
                <w:color w:val="auto"/>
              </w:rPr>
            </w:pP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32 Principles of the Compensation of the Board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32 Principes de rémunération du conseil d'administration</w:t>
            </w:r>
          </w:p>
        </w:tc>
        <w:tc>
          <w:tcPr>
            <w:tcW w:w="0" w:type="dxa"/>
            <w:vAlign w:val="bottom"/>
          </w:tcPr>
          <w:p>
            <w:pPr>
              <w:spacing w:after="0"/>
              <w:rPr>
                <w:sz w:val="1"/>
                <w:szCs w:val="1"/>
                <w:color w:val="auto"/>
              </w:rPr>
            </w:pPr>
          </w:p>
        </w:tc>
      </w:tr>
      <w:tr>
        <w:trPr>
          <w:trHeight w:val="239"/>
        </w:trPr>
        <w:tc>
          <w:tcPr>
            <w:tcW w:w="560" w:type="dxa"/>
            <w:vAlign w:val="bottom"/>
            <w:tcBorders>
              <w:left w:val="single" w:sz="8" w:color="auto"/>
            </w:tcBorders>
          </w:tcPr>
          <w:p>
            <w:pPr>
              <w:spacing w:after="0"/>
              <w:rPr>
                <w:sz w:val="20"/>
                <w:szCs w:val="20"/>
                <w:color w:val="auto"/>
              </w:rPr>
            </w:pPr>
          </w:p>
        </w:tc>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Directors</w:t>
            </w:r>
          </w:p>
        </w:tc>
        <w:tc>
          <w:tcPr>
            <w:tcW w:w="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La  rémunération  des  membres  du  conseil  d'administration</w:t>
            </w:r>
          </w:p>
        </w:tc>
        <w:tc>
          <w:tcPr>
            <w:tcW w:w="0" w:type="dxa"/>
            <w:vAlign w:val="bottom"/>
          </w:tcPr>
          <w:p>
            <w:pPr>
              <w:spacing w:after="0"/>
              <w:rPr>
                <w:sz w:val="1"/>
                <w:szCs w:val="1"/>
                <w:color w:val="auto"/>
              </w:rPr>
            </w:pPr>
          </w:p>
        </w:tc>
      </w:tr>
      <w:tr>
        <w:trPr>
          <w:trHeight w:val="188"/>
        </w:trPr>
        <w:tc>
          <w:tcPr>
            <w:tcW w:w="560" w:type="dxa"/>
            <w:vAlign w:val="bottom"/>
            <w:tcBorders>
              <w:left w:val="single" w:sz="8" w:color="auto"/>
            </w:tcBorders>
          </w:tcPr>
          <w:p>
            <w:pPr>
              <w:spacing w:after="0"/>
              <w:rPr>
                <w:sz w:val="16"/>
                <w:szCs w:val="16"/>
                <w:color w:val="auto"/>
              </w:rPr>
            </w:pPr>
          </w:p>
        </w:tc>
        <w:tc>
          <w:tcPr>
            <w:tcW w:w="50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compensation  payable  to  the  members  of  the  Board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comprend, sous réserve et dans les limites de l'approbation de la</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Directors comprises, subject to and within the bounds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rémunération  totale  par  l'assemblée  générale,  les  éléments</w:t>
            </w: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approval by the General Meeting of the total compensation,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following elements: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   une rémunération fixe de base;</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a)   a fixed basic remuneration;</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tcBorders>
            <w:gridSpan w:val="2"/>
            <w:vMerge w:val="continue"/>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4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60" w:type="dxa"/>
            <w:vAlign w:val="bottom"/>
            <w:tcBorders>
              <w:left w:val="single" w:sz="8" w:color="auto"/>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26</w:t>
            </w:r>
          </w:p>
        </w:tc>
        <w:tc>
          <w:tcPr>
            <w:tcW w:w="7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9" w:right="239" w:bottom="144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b)   a fixed committee fee for work in a committee of the Board of</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   des frais de commission fixes pour le travail dans un comité du</w:t>
            </w:r>
          </w:p>
        </w:tc>
      </w:tr>
      <w:tr>
        <w:trPr>
          <w:trHeight w:val="217"/>
        </w:trPr>
        <w:tc>
          <w:tcPr>
            <w:tcW w:w="556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Directors;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conseil d'administration;</w:t>
            </w:r>
          </w:p>
        </w:tc>
      </w:tr>
      <w:tr>
        <w:trPr>
          <w:trHeight w:val="419"/>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   a lump sum compensation for expenses;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   une compensation forfaitaire pour les dépenses;</w:t>
            </w:r>
          </w:p>
        </w:tc>
      </w:tr>
      <w:tr>
        <w:trPr>
          <w:trHeight w:val="404"/>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   a number of options or shares in the Company, as further</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   un nombre d'actions ou d'options dans la société, comme</w:t>
            </w:r>
          </w:p>
        </w:tc>
      </w:tr>
      <w:tr>
        <w:trPr>
          <w:trHeight w:val="217"/>
        </w:trPr>
        <w:tc>
          <w:tcPr>
            <w:tcW w:w="556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outlined in Art. 41.</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détaillée à l'art. 41.</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compensation is paid in cash and in form of options or shares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rémunération est versée en espèces et sous forme d'options ou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 the Company. The board of directors or, to the extent delegated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d'actions de la société. Le conseil d'administration ou, en cas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to it, the compensation committee shall determine grant, exercise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délégation des fonctions, le comité de rémunération doit fixer les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and  forfeiture  conditions.  In  particular,  they  may  provide  for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conditions  de  l'octroi,  de  l'exercice  et  de  la  péremption.  En</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continuation,  acceleration  or  removal  of  vesting,  exercise  and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particulier,  il  peut  prévoir  la  poursuite,  l'accélération  ou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forfeiture conditions, for payment or grant of compensation based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suppression  des  conditions  d'acquisition,  d'exercice  et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upon assumed target achievement, or for forfeiture, in each case in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péremption, pour le paiement ou l'octroi d'une rémunération basée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event of pre-determined events such as a change-of-control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sur la réalisation des objectifs supposés, ou pour la péremption,</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termination  of  an  employment  or  mandate  agreement.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dans chaque cas, dans le cas d'événements prédéterminés tels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may procure the required shares through purchases in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qu'un changement de contrôle ou la résiliation d'un contrat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market,  from  treasury  shares  or  by  using  contingent  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travail  ou  d'un  mandat.  La  société  peut  fournir  les  actions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authorized share capital.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nécessaires par des achats sur le marché, par ses actions propres</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 en utilisant du capital conditionnel ou autorisé.</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Subject to the approval by the General Meeting, the members of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Sous  réserve  de  l'approbation  par  l'assemblée  générale,  les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of Directors may receive remuneration in cash at customary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membres  du  conseil  d'administration  peuvent  recevoir  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conditions for advisory services rendered outside their capacity as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rémunération en espèces dans les conditions habituelles pour des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member for the benefit of the Company or companies under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services consultatifs rendus en-dehors de leur qualité de membre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its control. The General Meeting may approve an additional bonus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 conseil pour le bénéfice de la société ou des sociétés sous son</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for the members of the Board of Directors in exceptional cases.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contrôle.  L'assemblée  générale  peut  approuver  un  bonus</w:t>
            </w:r>
          </w:p>
        </w:tc>
      </w:tr>
      <w:tr>
        <w:trPr>
          <w:trHeight w:val="203"/>
        </w:trPr>
        <w:tc>
          <w:tcPr>
            <w:tcW w:w="556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supplémentaire pour les membres du conseil d'administration dans</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des cas exceptionnels.</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rémunération peut également être accordée pour des activités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are directly or indirectly controlled by the Company and may be paid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dans  des  entreprises  qui  sont  contrôlées  directement  ou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by the Company or by a company controlled by it.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indirectement par la société et peuvent être versées par la société</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 par une société contrôlée par elle.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281"/>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33 Principles of the Compensation of the Executive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33 Principe de rémunération du comité exécutif</w:t>
            </w:r>
          </w:p>
        </w:tc>
      </w:tr>
      <w:tr>
        <w:trPr>
          <w:trHeight w:val="239"/>
        </w:trPr>
        <w:tc>
          <w:tcPr>
            <w:tcW w:w="5560" w:type="dxa"/>
            <w:vAlign w:val="bottom"/>
            <w:tcBorders>
              <w:left w:val="single" w:sz="8" w:color="auto"/>
            </w:tcBorders>
          </w:tcPr>
          <w:p>
            <w:pPr>
              <w:ind w:left="740"/>
              <w:spacing w:after="0"/>
              <w:rPr>
                <w:sz w:val="20"/>
                <w:szCs w:val="20"/>
                <w:color w:val="auto"/>
              </w:rPr>
            </w:pPr>
            <w:r>
              <w:rPr>
                <w:rFonts w:ascii="Arial" w:cs="Arial" w:eastAsia="Arial" w:hAnsi="Arial"/>
                <w:sz w:val="18"/>
                <w:szCs w:val="18"/>
                <w:b w:val="1"/>
                <w:bCs w:val="1"/>
                <w:color w:val="auto"/>
              </w:rPr>
              <w:t>Committee</w:t>
            </w:r>
          </w:p>
        </w:tc>
        <w:tc>
          <w:tcPr>
            <w:tcW w:w="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27</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The  compensation  payable  to  the  members  of  the  Executive</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 rémunération des membres du comité exécutif est soumis à</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Committee is subject to the approval by the General Meeting and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l'approbation  l'assemblée  générale  et  comprend  les  éléments</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comprises the following elements: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suivants</w:t>
            </w:r>
          </w:p>
        </w:tc>
      </w:tr>
      <w:tr>
        <w:trPr>
          <w:trHeight w:val="419"/>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   a fixed remuneration payable in cash;</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   une rémunération fixe payable en espèces;</w:t>
            </w:r>
          </w:p>
        </w:tc>
      </w:tr>
      <w:tr>
        <w:trPr>
          <w:trHeight w:val="404"/>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   a performance-related remuneration payable in cash (variable);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   une rémunération liée à la performance payable en espèces</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(variable);</w:t>
            </w:r>
          </w:p>
        </w:tc>
      </w:tr>
      <w:tr>
        <w:trPr>
          <w:trHeight w:val="404"/>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   a number of options or shares in the Company, as further</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   un nombre d'actions ou d'options dans la société, comme</w:t>
            </w:r>
          </w:p>
        </w:tc>
      </w:tr>
      <w:tr>
        <w:trPr>
          <w:trHeight w:val="217"/>
        </w:trPr>
        <w:tc>
          <w:tcPr>
            <w:tcW w:w="5560" w:type="dxa"/>
            <w:vAlign w:val="bottom"/>
            <w:tcBorders>
              <w:left w:val="single" w:sz="8" w:color="auto"/>
            </w:tcBorders>
          </w:tcPr>
          <w:p>
            <w:pPr>
              <w:ind w:left="480"/>
              <w:spacing w:after="0"/>
              <w:rPr>
                <w:sz w:val="20"/>
                <w:szCs w:val="20"/>
                <w:color w:val="auto"/>
              </w:rPr>
            </w:pPr>
            <w:r>
              <w:rPr>
                <w:rFonts w:ascii="Arial" w:cs="Arial" w:eastAsia="Arial" w:hAnsi="Arial"/>
                <w:sz w:val="18"/>
                <w:szCs w:val="18"/>
                <w:color w:val="auto"/>
              </w:rPr>
              <w:t>outlined in Art. 41.</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détaillée à l'art. 41.</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performance-related remuneration depends on the Company's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rémunération liée à la performance dépend de la réussite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business success and the individual performance of the member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économique de la société et de la performance individuelle du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Executive  Committee  based  on  the  achievement  of  pre-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 du comité exécutif sur la base de la réalisation des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determined targets during a business year. The Board of Directors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objectifs prédéterminés au cours d'une année d'activité. Le conseil</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determines annually at the beginning of each relevant business year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détermine  au  début  de  chaque  exercice  les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decisive targets and their weighting upon proposal by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objectifs décisifs et leur pondération sur proposition du comité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Compensation Committee. The amount of the performance-related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rémunération. Le montant de la rémunération liée à la performance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 for each member of the Executive Committee 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pour chaque membre du comité exécutif est déterminé par 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determined by the Board of Directors and may not exceed 100</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conseil d'administration et ne peut dépasser 100 pour cent de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percent of the respective individual fixed remuneration for the same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rémunération fixe individuelle respective pour la même année.</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year.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rémunération peut également être versée pour activités dans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are directly or indirectly controlled by the Company and may be paid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des entreprises qui sont contrôlées directement ou indirectement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by the Company or by a company controlled by it.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 la société et peut être versée par la société ou par une société</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contrôlée par elle.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281"/>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34 Compensation for new Members of the Executive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34 Rémunération pour les nouveaux membres du comité</w:t>
            </w:r>
          </w:p>
        </w:tc>
      </w:tr>
      <w:tr>
        <w:trPr>
          <w:trHeight w:val="239"/>
        </w:trPr>
        <w:tc>
          <w:tcPr>
            <w:tcW w:w="5560" w:type="dxa"/>
            <w:vAlign w:val="bottom"/>
            <w:tcBorders>
              <w:left w:val="single" w:sz="8" w:color="auto"/>
            </w:tcBorders>
          </w:tcPr>
          <w:p>
            <w:pPr>
              <w:ind w:left="740"/>
              <w:spacing w:after="0"/>
              <w:rPr>
                <w:sz w:val="20"/>
                <w:szCs w:val="20"/>
                <w:color w:val="auto"/>
              </w:rPr>
            </w:pPr>
            <w:r>
              <w:rPr>
                <w:rFonts w:ascii="Arial" w:cs="Arial" w:eastAsia="Arial" w:hAnsi="Arial"/>
                <w:sz w:val="18"/>
                <w:szCs w:val="18"/>
                <w:b w:val="1"/>
                <w:bCs w:val="1"/>
                <w:color w:val="auto"/>
              </w:rPr>
              <w:t>Committee</w:t>
            </w:r>
          </w:p>
        </w:tc>
        <w:tc>
          <w:tcPr>
            <w:tcW w:w="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720"/>
              <w:spacing w:after="0"/>
              <w:rPr>
                <w:sz w:val="20"/>
                <w:szCs w:val="20"/>
                <w:color w:val="auto"/>
              </w:rPr>
            </w:pPr>
            <w:r>
              <w:rPr>
                <w:rFonts w:ascii="Arial" w:cs="Arial" w:eastAsia="Arial" w:hAnsi="Arial"/>
                <w:sz w:val="18"/>
                <w:szCs w:val="18"/>
                <w:b w:val="1"/>
                <w:bCs w:val="1"/>
                <w:color w:val="auto"/>
              </w:rPr>
              <w:t>exécutif</w:t>
            </w:r>
          </w:p>
        </w:tc>
      </w:tr>
      <w:tr>
        <w:trPr>
          <w:trHeight w:val="391"/>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If new members of the Executive Committee are appointed and take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Si de nouveaux membres du comité exécutif sont nommés et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up their position in the Company after the General Meeting has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prennent leur position dans la société après que l'assemblée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approved the maximum total compensation for members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générale a approuvé la rémunération totale maximale pour les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Executive Committee for the year in question, the new members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membres  du  comité  exécutif  pour  l'année  en  question,  les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may be paid an additional amount for the period until the next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nouveaux membres peuvent être payés au moyen d'un montant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Ordinary Meeting of Shareholder. The additional amount payable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additionnel pour la période allant jusqu'à la prochaine assemblée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all new members of the Executive Committee may not exceed 50</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ordinaire des actionnaires. Le montant additionnel payable à tous</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percent of</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nouveaux membres du comité</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28</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the respective total compensation already approved by the General</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exécutif ne peut pas dépasser 50 pour cent de la rémunération</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The additional compensation may only be paid if the total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totale respective déjà approuvé par l'assemblée générale.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compensation amount that has been approved by the General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rémunération additionnelle ne peut être versée que si le montant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for the compensation of the members of the Executive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total de la rémunération qui a été approuvé par l'assemblée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Committee is insufficient to compensate the newly appointed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générale pour la rémunération des membres du comité exécutif est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The General Meeting is not required to vote on this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insuffisant pour rémunérer les membres nouvellement nommés.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additional amount.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n'a pas à se prononcer sur ce montant</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supplémentaire.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This additional overall compensation is understood to include any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Cette rémunération additionnelle globale est sensée comprendre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settlements for any disadvantage suffered as a result of the change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toutes les règlements pour tout inconvénient subi à la suite du</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of job.</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changement de travail.</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1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35 Expenses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35 Dépenses</w:t>
            </w:r>
          </w:p>
        </w:tc>
      </w:tr>
      <w:tr>
        <w:trPr>
          <w:trHeight w:val="391"/>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Expenses which are not covered by the lump sum compensation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dépenses qui ne sont pas couvertes par l'indemnité forfaitaire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pursuant to the Company's expense regulations shall be reimbursed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conformément  aux  règlements  de  frais  de  la  société  sont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following presentation of the supporting receipts. This additional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remboursées  à  la  suite  de  la  présentation  des  reçus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 is not subject to a separate vote by the General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correspondants.  Cette  rémunération  additionnelle  n'est  pas</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Meeting.</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soumise à un vote séparé par l'assemblée générale.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1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36 Compensation Agreements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36 Accords sur la rémunération</w:t>
            </w:r>
          </w:p>
        </w:tc>
      </w:tr>
      <w:tr>
        <w:trPr>
          <w:trHeight w:val="391"/>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Agreements on compensation with members of the Board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accords  sur  la  rémunération  des  membres  du  conseil</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may not exceed the term of maximal one year.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ne peuvent pas excéder la durée maximale d'une</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année.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Employment  agreements  of  the  members  of  the  Executive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contrats de travail des membres du comité exécutif sont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Committee are principally concluded for an indefinite period of time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principalement conclus pour une durée indéterminée. Un délai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whereas  a  notice  period  may  not  exceed  12  months.  If  an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préavis ne peut pas excéder 12 mois. Si un accord de travail est</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employment agreement is concluded for a fixed term such term may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conclu pour une durée déterminée, telle durée ne peut pas excéder</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not exceed one year.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 an.</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29</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556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37 Mandates of a Member of the Board of Directors</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37 Mandats d'un membre du conseil d'administration de la</w:t>
            </w:r>
          </w:p>
        </w:tc>
      </w:tr>
      <w:tr>
        <w:trPr>
          <w:trHeight w:val="239"/>
        </w:trPr>
        <w:tc>
          <w:tcPr>
            <w:tcW w:w="360" w:type="dxa"/>
            <w:vAlign w:val="bottom"/>
            <w:tcBorders>
              <w:left w:val="single" w:sz="8" w:color="auto"/>
            </w:tcBorders>
          </w:tcPr>
          <w:p>
            <w:pPr>
              <w:spacing w:after="0"/>
              <w:rPr>
                <w:sz w:val="20"/>
                <w:szCs w:val="20"/>
                <w:color w:val="auto"/>
              </w:rPr>
            </w:pPr>
          </w:p>
        </w:tc>
        <w:tc>
          <w:tcPr>
            <w:tcW w:w="5200" w:type="dxa"/>
            <w:vAlign w:val="bottom"/>
          </w:tcPr>
          <w:p>
            <w:pPr>
              <w:ind w:left="380"/>
              <w:spacing w:after="0"/>
              <w:rPr>
                <w:sz w:val="20"/>
                <w:szCs w:val="20"/>
                <w:color w:val="auto"/>
              </w:rPr>
            </w:pPr>
            <w:r>
              <w:rPr>
                <w:rFonts w:ascii="Arial" w:cs="Arial" w:eastAsia="Arial" w:hAnsi="Arial"/>
                <w:sz w:val="18"/>
                <w:szCs w:val="18"/>
                <w:b w:val="1"/>
                <w:bCs w:val="1"/>
                <w:color w:val="auto"/>
              </w:rPr>
              <w:t>outside the Company</w:t>
            </w:r>
          </w:p>
        </w:tc>
        <w:tc>
          <w:tcPr>
            <w:tcW w:w="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société</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A member of the Board of Directors may cumulatively assume not</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Un membre du conseil d'administration ne peut pas cumuler plus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more than the following number of mandates in the board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que le nombre suivant de mandats dans un conseil d'administration,</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directors, the superior management or an administrative body of a</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une  direction  supérieure  ou  un  organisme  administratif  d'une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legal  entity  which  is  obliged  to  be  registered  in  the  Swiss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personne morale qui est obligée d'être inscrite au registre du</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commercial register or an equivalent foreign register: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commerce suisse ou un registre étranger équivalent:</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200" w:type="dxa"/>
            <w:vAlign w:val="bottom"/>
          </w:tcPr>
          <w:p>
            <w:pPr>
              <w:ind w:left="120"/>
              <w:spacing w:after="0"/>
              <w:rPr>
                <w:sz w:val="20"/>
                <w:szCs w:val="20"/>
                <w:color w:val="auto"/>
              </w:rPr>
            </w:pPr>
            <w:r>
              <w:rPr>
                <w:rFonts w:ascii="Arial" w:cs="Arial" w:eastAsia="Arial" w:hAnsi="Arial"/>
                <w:sz w:val="18"/>
                <w:szCs w:val="18"/>
                <w:color w:val="auto"/>
              </w:rPr>
              <w:t>7 mandates for publicly traded companies pursuant to art. 727</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7 mandats pour les entreprises cotées en bourse selon l'art.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para. 1 number 1 CO; and</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727 al. 1 chiffre 1 CO; et</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200" w:type="dxa"/>
            <w:vAlign w:val="bottom"/>
          </w:tcPr>
          <w:p>
            <w:pPr>
              <w:ind w:left="120"/>
              <w:spacing w:after="0"/>
              <w:rPr>
                <w:sz w:val="20"/>
                <w:szCs w:val="20"/>
                <w:color w:val="auto"/>
              </w:rPr>
            </w:pPr>
            <w:r>
              <w:rPr>
                <w:rFonts w:ascii="Arial" w:cs="Arial" w:eastAsia="Arial" w:hAnsi="Arial"/>
                <w:sz w:val="18"/>
                <w:szCs w:val="18"/>
                <w:color w:val="auto"/>
              </w:rPr>
              <w:t>8 mandates for companies pursuant to art. 727 para. 1 number</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 mandats pour des entreprises selon l'art. 727 al. 1 chiffre 2</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2 CO; and</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 et</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200" w:type="dxa"/>
            <w:vAlign w:val="bottom"/>
          </w:tcPr>
          <w:p>
            <w:pPr>
              <w:ind w:left="120"/>
              <w:spacing w:after="0"/>
              <w:rPr>
                <w:sz w:val="20"/>
                <w:szCs w:val="20"/>
                <w:color w:val="auto"/>
              </w:rPr>
            </w:pPr>
            <w:r>
              <w:rPr>
                <w:rFonts w:ascii="Arial" w:cs="Arial" w:eastAsia="Arial" w:hAnsi="Arial"/>
                <w:sz w:val="18"/>
                <w:szCs w:val="18"/>
                <w:color w:val="auto"/>
              </w:rPr>
              <w:t>5 mandates for companies which do not fulfil the criteria under</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 mandats pour les entreprises qui ne remplissent pas les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a) and b) above.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critères sous a) et b) ci-dessus.</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Mandates held in several legal entities each operating under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mandats exercés dans plusieurs entités juridiques opérant</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same management or same beneficial owner (group) are deemed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chacune sous la même direction ou le même bénéficiaire effectif</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be a single mandate.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(groupe) sont réputés être un seul mandat.</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 une entité juridique remplit plusieurs des critères mentionnés ci-</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be freely counted towards any category. The following mandates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dessus, elle peut être librement placée dans une catégorie. Les</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are excepted from these restrictions: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mandats suivants sont exceptés de ces restrictions:</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a)   mandates in legal entities which are controlled by the Company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   les mandats dans des entités juridiques qui sont contrôlées par</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or which control the Company;</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 société ou qui contrôlent la société;</w:t>
            </w:r>
          </w:p>
        </w:tc>
      </w:tr>
      <w:tr>
        <w:trPr>
          <w:trHeight w:val="404"/>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b)   honorary mandates in charitable legal entities.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des  mandats  d'honneur  à  des  personnes  morales  de</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bienfaisance.</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28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38 Mandates of a Member of the Executive Committee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38 Mandats d'un membre du comité exécutif en-dehors de</w:t>
            </w:r>
          </w:p>
        </w:tc>
      </w:tr>
      <w:tr>
        <w:trPr>
          <w:trHeight w:val="239"/>
        </w:trPr>
        <w:tc>
          <w:tcPr>
            <w:tcW w:w="360" w:type="dxa"/>
            <w:vAlign w:val="bottom"/>
            <w:tcBorders>
              <w:left w:val="single" w:sz="8" w:color="auto"/>
            </w:tcBorders>
          </w:tcPr>
          <w:p>
            <w:pPr>
              <w:spacing w:after="0"/>
              <w:rPr>
                <w:sz w:val="20"/>
                <w:szCs w:val="20"/>
                <w:color w:val="auto"/>
              </w:rPr>
            </w:pPr>
          </w:p>
        </w:tc>
        <w:tc>
          <w:tcPr>
            <w:tcW w:w="5200" w:type="dxa"/>
            <w:vAlign w:val="bottom"/>
          </w:tcPr>
          <w:p>
            <w:pPr>
              <w:ind w:left="380"/>
              <w:spacing w:after="0"/>
              <w:rPr>
                <w:sz w:val="20"/>
                <w:szCs w:val="20"/>
                <w:color w:val="auto"/>
              </w:rPr>
            </w:pPr>
            <w:r>
              <w:rPr>
                <w:rFonts w:ascii="Arial" w:cs="Arial" w:eastAsia="Arial" w:hAnsi="Arial"/>
                <w:sz w:val="18"/>
                <w:szCs w:val="18"/>
                <w:b w:val="1"/>
                <w:bCs w:val="1"/>
                <w:color w:val="auto"/>
              </w:rPr>
              <w:t>outside the Company</w:t>
            </w:r>
          </w:p>
        </w:tc>
        <w:tc>
          <w:tcPr>
            <w:tcW w:w="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la société</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Each member of the Executive Committee may, with approval of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Chaque membre du comité exécutif peut, avec l'approbation du</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Board of Directors, cumulatively assume not more than the following</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conseil d'administration, cumuler pas plus que le nombre suivant de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number  of  mandates  in  the  board  of  directors,  the  superior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mandats dans un conseil d'administration, une direction supérieure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management or an administrative body of a legal entity which 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ou un organisme administratif d'une personne morale qui est</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obliged to be registered in the Swiss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obligée d'être inscrite dans le</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4"/>
        </w:trPr>
        <w:tc>
          <w:tcPr>
            <w:tcW w:w="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30</w:t>
            </w: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56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rPr>
              <w:t>commercial register or an equivalent foreign register:</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registre du commerce suisse ou un registre étranger équivalent:</w:t>
            </w: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200" w:type="dxa"/>
            <w:vAlign w:val="bottom"/>
          </w:tcPr>
          <w:p>
            <w:pPr>
              <w:ind w:left="120"/>
              <w:spacing w:after="0"/>
              <w:rPr>
                <w:sz w:val="20"/>
                <w:szCs w:val="20"/>
                <w:color w:val="auto"/>
              </w:rPr>
            </w:pPr>
            <w:r>
              <w:rPr>
                <w:rFonts w:ascii="Arial" w:cs="Arial" w:eastAsia="Arial" w:hAnsi="Arial"/>
                <w:sz w:val="18"/>
                <w:szCs w:val="18"/>
                <w:color w:val="auto"/>
              </w:rPr>
              <w:t>2 mandates for publicly traded companies pursuant to Art. 727</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 mandats pour les entreprises cotées en bourse selon l'art.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para. 1 number 1 CO; and</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727 al. 1 chiffre 1 CO; et</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200" w:type="dxa"/>
            <w:vAlign w:val="bottom"/>
          </w:tcPr>
          <w:p>
            <w:pPr>
              <w:ind w:left="120"/>
              <w:spacing w:after="0"/>
              <w:rPr>
                <w:sz w:val="20"/>
                <w:szCs w:val="20"/>
                <w:color w:val="auto"/>
              </w:rPr>
            </w:pPr>
            <w:r>
              <w:rPr>
                <w:rFonts w:ascii="Arial" w:cs="Arial" w:eastAsia="Arial" w:hAnsi="Arial"/>
                <w:sz w:val="18"/>
                <w:szCs w:val="18"/>
                <w:color w:val="auto"/>
              </w:rPr>
              <w:t>3 mandates for companies pursuant to Art. 727 para. 1 number</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 mandats pour des entreprises selon l'art. 727 al. 1 chiffre 2</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2 CO; and</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 et</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200" w:type="dxa"/>
            <w:vAlign w:val="bottom"/>
          </w:tcPr>
          <w:p>
            <w:pPr>
              <w:ind w:left="120"/>
              <w:spacing w:after="0"/>
              <w:rPr>
                <w:sz w:val="20"/>
                <w:szCs w:val="20"/>
                <w:color w:val="auto"/>
              </w:rPr>
            </w:pPr>
            <w:r>
              <w:rPr>
                <w:rFonts w:ascii="Arial" w:cs="Arial" w:eastAsia="Arial" w:hAnsi="Arial"/>
                <w:sz w:val="18"/>
                <w:szCs w:val="18"/>
                <w:color w:val="auto"/>
              </w:rPr>
              <w:t>5 mandates for companies which do not fulfil the criteria under</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 mandats pour les entreprises qui ne remplissent pas les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litera a) and b) above.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critères sous a) et b) ci-dessus.</w:t>
            </w:r>
          </w:p>
        </w:tc>
      </w:tr>
      <w:tr>
        <w:trPr>
          <w:trHeight w:val="404"/>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Mandates held in several legal entities each operating under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mandats exercés dans plusieurs entités juridiques opérant</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same management or same beneficial owner (group) are deemed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chacun sous la même direction ou même bénéficiaire effectif</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be a single mandate.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(groupe) sont réputés être un seul mandat.</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 une entité juridique remplit plusieurs des critères mentionnés ci-</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be freely counted towards any category. The following mandates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dessus, elle peut être librement placée dans une catégorie. Les</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are excepted from this restrictions: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mandats suivants sont exceptés de ces restrictions:</w:t>
            </w:r>
          </w:p>
        </w:tc>
      </w:tr>
      <w:tr>
        <w:trPr>
          <w:trHeight w:val="404"/>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a)   mandates in legal entities which are controlled by the Company</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   les mandats dans des entités juridiques qui sont contrôlées par</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or which control the Company;</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 société ou qui contrôlent la société;</w:t>
            </w:r>
          </w:p>
        </w:tc>
      </w:tr>
      <w:tr>
        <w:trPr>
          <w:trHeight w:val="404"/>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b)   honorary mandates in charitable legal entities.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   mandats   d'honneur   dans   des   entités   juridiques   de</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bienfaisance.</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39 Loans and Credits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39 Prêts et crédits</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members  of  the  Board  of  Directors  and  the  Executive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membres du conseil d'administration et du comité exécutif ne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Committee may not be granted any loans, credits or securities.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peuvent pas souscrire des prêts, des crédits ou des titres. Sont</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Excepted from the above are advances in the maximum amount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exceptées les avances d'un montant maximum de CHF 500'000 par</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CHF 500'000 per person for attorneys' fees, court and other similar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personne pour les frais d'avocat, des coûts de tribunaux et d'autres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costs required for the defence of third-party liability claims permitted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coûts similaires nécessaires à la défense contre des actions en</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by Article 29.</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responsabilité civile autorisés par l'article 29.</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40 Pension Funds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40 Fonds de pension</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Company shall remunerate members of the Board of Directors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ne  doit  rémunérer  les  membres  du  conseil</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only in respect of the employer's mandatory contributions to social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que  du  montant  dû  au  titre  de  contributions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insurance. Above and beyond this, the Company shall not make any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obligatoire de l'employeur à l'assurance sociale. Au-delà de ce</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contributions to pension funds or other such pension plans. In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montant,  la  société  ne  doit  pas  verser  de  cotisations  à  des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exceptional cases, contributions such as these may be made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institutions de prévoyance ou à d'autres régimes de retraite. Dans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subject to a request by the Compensation Committee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des cas exceptionnels, des contributions comme celles-ci peuvent</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être faites sur demande au</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4"/>
        </w:trPr>
        <w:tc>
          <w:tcPr>
            <w:tcW w:w="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31</w:t>
            </w: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4" w:name="page35"/>
    <w:bookmarkEnd w:id="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and the approval of the General Meeting.</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comité  de  rémunération  et  sous  réserve  de  l'approbation  de</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l'assemblée générale.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Members of the Executive Committee participate in the Company's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membres du comité exécutif participent aux régimes de retraite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plans (the Company's pension fund and the management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la société (le fond de pension de la société et le régime 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plan). The pension plans conform to the legal requirements.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retraite du management). Les régimes de retraite sont conformes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For members of the Executive Committee, the insured income is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aux exigences légales (LPP). Pour les membres du comité exécutif,</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defined as the fixed remuneration plus 50 percent of the target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 revenu assuré est défini comme la rémunération fixe plus les 50</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performance-related  remuneration,  up  to  the  legal  maximum.</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pour cent de la rémunération liée à la performance, jusqu'au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Equity-linked income components are not included.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maximum légal. Les composantes du revenu liées au capital propre</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 sont pas inclus.</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Within the overall compensation approved by the General Meeting,</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la rémunération globale approuvée par l'assemblée générale,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 may make additional payments into the Company's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société pourra effectuer des paiements supplémentaires dans les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funds  for  the  benefit  of  members  of  the  Executive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caisses de retraite de la société pour le bénéfice des membres du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Committee in order to cover any disadvantage suffered as a result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comité exécutif afin de couvrir tout désavantage subi par suite de la</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change  of  jobs  or  to  purchase  additional  pension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modification de l'emploi ou pour acheter des droits de pension</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entitlements.  In  this  context  the  Company  may  conclude  life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supplémentaires. Dans ce contexte, la société peut conclure des</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insurance  policies  on  behalf  of  members  of  the  Executive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contrats d'assurance-vie au nom des membres du comité exécutif</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Committee and pay the insurance premiums either fully or in part.</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et payer en totalité ou en partie les primes d'assurance.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3"/>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Upon retirement, the Company may also grant members of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À la retraite, la société peut également accorder aux membres du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Executive  Committee  a  bridging  pension  to  cover  the  period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comité exécutif, une pension de transition pour couvrir la période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between early retirement at 62 and the ordinary age of retirement, if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entre la retraite anticipée à 62 ans et l'âge ordinaire de la retraite, si</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such bridging pension does not exceed 100 percent of the total</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cette rente transitoire ne dépasse pas 100 pour cent du dernier</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annual compensation of the respective member last paid.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montant de la rémunération annuelle totale payée au membre</w:t>
            </w:r>
          </w:p>
        </w:tc>
      </w:tr>
      <w:tr>
        <w:trPr>
          <w:trHeight w:val="217"/>
        </w:trPr>
        <w:tc>
          <w:tcPr>
            <w:tcW w:w="55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respectif.</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18"/>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41 Option and Share Plans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41 Options et plan d'actions</w:t>
            </w:r>
          </w:p>
        </w:tc>
      </w:tr>
      <w:tr>
        <w:trPr>
          <w:trHeight w:val="391"/>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Under the Company's Option Plan, the Board of Directors, upon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  vertu  du  régime  d'options  de  la  société,  le  conseil</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proposal  of  the  Compensation  Committee,  allocates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sur  proposition  du  comité  de  rémunération,</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participating members of the Executive Committee and the Board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attribue aux membres participants du comité exécutif et du conseil</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a fixed number of options or shares with a vesting for a</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un nombre fixe d'options ou d'actions avec une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 of at least three years (the vesting period). At the end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période de blocage d'une période d'au moins trois ans (la "Période</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vesting period, participants in the Option Plan are entitled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Blocage"). À la fin de la Période de Blocage, les participants au</w:t>
            </w:r>
          </w:p>
        </w:tc>
      </w:tr>
      <w:tr>
        <w:trPr>
          <w:trHeight w:val="203"/>
        </w:trPr>
        <w:tc>
          <w:tcPr>
            <w:tcW w:w="55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exercise the options granted against payment of the strike price.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régime d'options sont habilités à exercer les options attribuées</w:t>
            </w:r>
          </w:p>
        </w:tc>
      </w:tr>
      <w:tr>
        <w:trPr>
          <w:trHeight w:val="217"/>
        </w:trPr>
        <w:tc>
          <w:tcPr>
            <w:tcW w:w="5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These options to acquire shares in the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contre paiement du prix d'exercice. Ces options d'achat d'actions de</w:t>
            </w:r>
          </w:p>
        </w:tc>
      </w:tr>
      <w:tr>
        <w:trPr>
          <w:trHeight w:val="95"/>
        </w:trPr>
        <w:tc>
          <w:tcPr>
            <w:tcW w:w="556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tcPr>
          <w:p>
            <w:pPr>
              <w:spacing w:after="0"/>
              <w:rPr>
                <w:sz w:val="8"/>
                <w:szCs w:val="8"/>
                <w:color w:val="auto"/>
              </w:rPr>
            </w:pPr>
          </w:p>
        </w:tc>
      </w:tr>
      <w:tr>
        <w:trPr>
          <w:trHeight w:val="304"/>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32</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rPr>
              <w:t>Company or allocated shares are subject to the basic principles set</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ou d'actions attribuées sont soumises aux principes de</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out in the following:</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base suivants:</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200" w:type="dxa"/>
            <w:vAlign w:val="bottom"/>
          </w:tcPr>
          <w:p>
            <w:pPr>
              <w:ind w:left="120"/>
              <w:spacing w:after="0"/>
              <w:rPr>
                <w:sz w:val="20"/>
                <w:szCs w:val="20"/>
                <w:color w:val="auto"/>
              </w:rPr>
            </w:pPr>
            <w:r>
              <w:rPr>
                <w:rFonts w:ascii="Arial" w:cs="Arial" w:eastAsia="Arial" w:hAnsi="Arial"/>
                <w:sz w:val="18"/>
                <w:szCs w:val="18"/>
                <w:color w:val="auto"/>
              </w:rPr>
              <w:t>it is the sole discretion of the Board of Directors to decide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il relève de la libre appréciation du conseil d'administration de</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whether to allocate options or shares and to whom;</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décider si des options ou actions sont attribuées et à qui;</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200" w:type="dxa"/>
            <w:vAlign w:val="bottom"/>
          </w:tcPr>
          <w:p>
            <w:pPr>
              <w:ind w:left="120"/>
              <w:spacing w:after="0"/>
              <w:rPr>
                <w:sz w:val="20"/>
                <w:szCs w:val="20"/>
                <w:color w:val="auto"/>
              </w:rPr>
            </w:pPr>
            <w:r>
              <w:rPr>
                <w:rFonts w:ascii="Arial" w:cs="Arial" w:eastAsia="Arial" w:hAnsi="Arial"/>
                <w:sz w:val="18"/>
                <w:szCs w:val="18"/>
                <w:color w:val="auto"/>
              </w:rPr>
              <w:t>each year,  the Board of Directors, upon proposal of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chaque année, le conseil d'administration, sur proposition du</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Compensation Committee, stipulates the number of options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comité de rémunération, fixe le nombre d'options et d'actions à</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and shares to be allocated, the date of allocation and the strike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attribuer, la date d'attribution et le prix d'exercice;</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price;</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200" w:type="dxa"/>
            <w:vAlign w:val="bottom"/>
          </w:tcPr>
          <w:p>
            <w:pPr>
              <w:ind w:left="120"/>
              <w:spacing w:after="0"/>
              <w:rPr>
                <w:sz w:val="20"/>
                <w:szCs w:val="20"/>
                <w:color w:val="auto"/>
              </w:rPr>
            </w:pPr>
            <w:r>
              <w:rPr>
                <w:rFonts w:ascii="Arial" w:cs="Arial" w:eastAsia="Arial" w:hAnsi="Arial"/>
                <w:sz w:val="18"/>
                <w:szCs w:val="18"/>
                <w:color w:val="auto"/>
              </w:rPr>
              <w:t>each option incorporates a non-transferable, pre-emptive, and</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chaque  option  comporte  un  droit  non  transférable,  de</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contingent right to acquire a certain number of Company's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souscription préférentielle et optionnel d'acquérir un certain</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shares;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nombre d'actions de la société;</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200" w:type="dxa"/>
            <w:vAlign w:val="bottom"/>
          </w:tcPr>
          <w:p>
            <w:pPr>
              <w:ind w:left="120"/>
              <w:spacing w:after="0"/>
              <w:rPr>
                <w:sz w:val="20"/>
                <w:szCs w:val="20"/>
                <w:color w:val="auto"/>
              </w:rPr>
            </w:pPr>
            <w:r>
              <w:rPr>
                <w:rFonts w:ascii="Arial" w:cs="Arial" w:eastAsia="Arial" w:hAnsi="Arial"/>
                <w:sz w:val="18"/>
                <w:szCs w:val="18"/>
                <w:color w:val="auto"/>
              </w:rPr>
              <w:t>in the case of a change of control (as defined in the Option</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dans le cas d'un changement de contrôle (tel que défini dans</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Plan) or delisting of the Company's shares, the vesting period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le régime d'options) ou la radiation des actions de la société, la</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shall end (accelerated vesting) and the participant shall be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Période de Blocage prend fin (acquisition accélérée) et le</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entitled to exercise the options on a pro rata basis on the day</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participant est en droit d'exercer les options sur une base pro</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the transaction that led to the change of control or delisting was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rata le jour de la transaction qui a conduit à un changement de</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executed. It is at the sole discretion of the Board of Directors to</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contrôle ou le jour où la radiation a été exécutée. Il relève de la</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decide upon proposal of the Compensation Committee whether</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libre appréciation du conseil d'administration de décider, sur</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the financial objectives have been met;</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proposition  du  comité  de  rémunération,  si  les  objectifs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financiers ont été atteints;</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200" w:type="dxa"/>
            <w:vAlign w:val="bottom"/>
          </w:tcPr>
          <w:p>
            <w:pPr>
              <w:ind w:left="120"/>
              <w:spacing w:after="0"/>
              <w:rPr>
                <w:sz w:val="20"/>
                <w:szCs w:val="20"/>
                <w:color w:val="auto"/>
              </w:rPr>
            </w:pPr>
            <w:r>
              <w:rPr>
                <w:rFonts w:ascii="Arial" w:cs="Arial" w:eastAsia="Arial" w:hAnsi="Arial"/>
                <w:sz w:val="18"/>
                <w:szCs w:val="18"/>
                <w:color w:val="auto"/>
              </w:rPr>
              <w:t>the individual members of the Executive Committee or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e)</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les membres individuels du comité exécutif ou du conseil</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Board  of  Directors  participating  in  the  Option  Plan  are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d'administration  qui  participent  au  régime  d'options  sont</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responsible for paying any taxes or social security contributions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responsables du paiement de tous les impôts ou cotisations de</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and for declaring income correctly to the authorities;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sécurité sociale et de déclarer correctement le revenu aux</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autorités;</w:t>
            </w:r>
          </w:p>
        </w:tc>
      </w:tr>
      <w:tr>
        <w:trPr>
          <w:trHeight w:val="404"/>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200" w:type="dxa"/>
            <w:vAlign w:val="bottom"/>
          </w:tcPr>
          <w:p>
            <w:pPr>
              <w:ind w:left="120"/>
              <w:spacing w:after="0"/>
              <w:rPr>
                <w:sz w:val="20"/>
                <w:szCs w:val="20"/>
                <w:color w:val="auto"/>
              </w:rPr>
            </w:pPr>
            <w:r>
              <w:rPr>
                <w:rFonts w:ascii="Arial" w:cs="Arial" w:eastAsia="Arial" w:hAnsi="Arial"/>
                <w:sz w:val="18"/>
                <w:szCs w:val="18"/>
                <w:color w:val="auto"/>
              </w:rPr>
              <w:t>it is at the sole discretion of the Board of Directors to decide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f)</w:t>
            </w: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il relève de la libre appréciation du conseil d'administration de</w:t>
            </w:r>
          </w:p>
        </w:tc>
      </w:tr>
      <w:tr>
        <w:trPr>
          <w:trHeight w:val="203"/>
        </w:trPr>
        <w:tc>
          <w:tcPr>
            <w:tcW w:w="360" w:type="dxa"/>
            <w:vAlign w:val="bottom"/>
            <w:tcBorders>
              <w:left w:val="single" w:sz="8" w:color="auto"/>
            </w:tcBorders>
          </w:tcPr>
          <w:p>
            <w:pPr>
              <w:spacing w:after="0"/>
              <w:rPr>
                <w:sz w:val="17"/>
                <w:szCs w:val="17"/>
                <w:color w:val="auto"/>
              </w:rPr>
            </w:pPr>
          </w:p>
        </w:tc>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whether to supplement the Option Plan within the bounds of</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décider si le régime d'options est complété dans les limites des</w:t>
            </w:r>
          </w:p>
        </w:tc>
      </w:tr>
      <w:tr>
        <w:trPr>
          <w:trHeight w:val="217"/>
        </w:trPr>
        <w:tc>
          <w:tcPr>
            <w:tcW w:w="360" w:type="dxa"/>
            <w:vAlign w:val="bottom"/>
            <w:tcBorders>
              <w:left w:val="single" w:sz="8" w:color="auto"/>
            </w:tcBorders>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the principles set out above or to discontinue it.</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principes énoncés ci-dessus ou de l'interrompre.</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Company may periodically offer shares in the Company to</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peut périodiquement offrir des actions de la société aux</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important and long-term employees for a price being at maximum</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salariés importants et à long terme pour un prix étant au maximum</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ten percent below the average volume-weighted price of the last 30</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dix pour cent au-dessous du prix moyen pondéré par les volumes</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trading days at the stock</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 30</w:t>
            </w:r>
          </w:p>
        </w:tc>
      </w:tr>
      <w:tr>
        <w:trPr>
          <w:trHeight w:val="95"/>
        </w:trPr>
        <w:tc>
          <w:tcPr>
            <w:tcW w:w="360" w:type="dxa"/>
            <w:vAlign w:val="bottom"/>
            <w:tcBorders>
              <w:left w:val="single" w:sz="8" w:color="auto"/>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304"/>
        </w:trPr>
        <w:tc>
          <w:tcPr>
            <w:tcW w:w="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33</w:t>
            </w: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6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rPr>
              <w:t>exchange. Members of the Board of Directors and the Executive</w:t>
            </w:r>
          </w:p>
        </w:tc>
        <w:tc>
          <w:tcPr>
            <w:tcW w:w="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derniers jours à la bourse. Les membres du conseil d'administration</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Committee may be included in this program. The shares acquired</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et du comité exécutif peuvent être inclus dans ce programme. Les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thereby shall be blocked for a period of at least 3 years.</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actions ainsi acquises seront bloquées pour une période d'au moins</w:t>
            </w:r>
          </w:p>
        </w:tc>
      </w:tr>
      <w:tr>
        <w:trPr>
          <w:trHeight w:val="217"/>
        </w:trPr>
        <w:tc>
          <w:tcPr>
            <w:tcW w:w="580" w:type="dxa"/>
            <w:vAlign w:val="bottom"/>
            <w:tcBorders>
              <w:left w:val="single" w:sz="8" w:color="auto"/>
            </w:tcBorders>
          </w:tcPr>
          <w:p>
            <w:pPr>
              <w:spacing w:after="0"/>
              <w:rPr>
                <w:sz w:val="18"/>
                <w:szCs w:val="18"/>
                <w:color w:val="auto"/>
              </w:rPr>
            </w:pPr>
          </w:p>
        </w:tc>
        <w:tc>
          <w:tcPr>
            <w:tcW w:w="4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3 ans.</w:t>
            </w:r>
          </w:p>
        </w:tc>
        <w:tc>
          <w:tcPr>
            <w:tcW w:w="4940" w:type="dxa"/>
            <w:vAlign w:val="bottom"/>
            <w:tcBorders>
              <w:right w:val="single" w:sz="8" w:color="auto"/>
            </w:tcBorders>
          </w:tcPr>
          <w:p>
            <w:pPr>
              <w:spacing w:after="0"/>
              <w:rPr>
                <w:sz w:val="18"/>
                <w:szCs w:val="18"/>
                <w:color w:val="auto"/>
              </w:rPr>
            </w:pPr>
          </w:p>
        </w:tc>
      </w:tr>
      <w:tr>
        <w:trPr>
          <w:trHeight w:val="95"/>
        </w:trPr>
        <w:tc>
          <w:tcPr>
            <w:tcW w:w="580" w:type="dxa"/>
            <w:vAlign w:val="bottom"/>
            <w:tcBorders>
              <w:left w:val="single" w:sz="8" w:color="auto"/>
              <w:bottom w:val="single" w:sz="8" w:color="auto"/>
            </w:tcBorders>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r>
      <w:tr>
        <w:trPr>
          <w:trHeight w:val="281"/>
        </w:trPr>
        <w:tc>
          <w:tcPr>
            <w:tcW w:w="58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VIII.</w:t>
            </w:r>
          </w:p>
        </w:tc>
        <w:tc>
          <w:tcPr>
            <w:tcW w:w="4980" w:type="dxa"/>
            <w:vAlign w:val="bottom"/>
          </w:tcPr>
          <w:p>
            <w:pPr>
              <w:ind w:left="160"/>
              <w:spacing w:after="0"/>
              <w:rPr>
                <w:sz w:val="20"/>
                <w:szCs w:val="20"/>
                <w:color w:val="auto"/>
              </w:rPr>
            </w:pPr>
            <w:r>
              <w:rPr>
                <w:rFonts w:ascii="Arial" w:cs="Arial" w:eastAsia="Arial" w:hAnsi="Arial"/>
                <w:sz w:val="18"/>
                <w:szCs w:val="18"/>
                <w:b w:val="1"/>
                <w:bCs w:val="1"/>
                <w:color w:val="auto"/>
              </w:rPr>
              <w:t>BUSINESS YEAR, ACCOUNTING, ALLOCATION OF</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b w:val="1"/>
                <w:bCs w:val="1"/>
                <w:color w:val="auto"/>
              </w:rPr>
              <w:t>VIII.</w:t>
            </w:r>
          </w:p>
        </w:tc>
        <w:tc>
          <w:tcPr>
            <w:tcW w:w="49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EXERCICE, COMPTABILITÉ, RÉPARTITION DES</w:t>
            </w:r>
          </w:p>
        </w:tc>
      </w:tr>
      <w:tr>
        <w:trPr>
          <w:trHeight w:val="239"/>
        </w:trPr>
        <w:tc>
          <w:tcPr>
            <w:tcW w:w="580" w:type="dxa"/>
            <w:vAlign w:val="bottom"/>
            <w:tcBorders>
              <w:left w:val="single" w:sz="8" w:color="auto"/>
            </w:tcBorders>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b w:val="1"/>
                <w:bCs w:val="1"/>
                <w:color w:val="auto"/>
              </w:rPr>
              <w:t>PROFITS</w:t>
            </w:r>
          </w:p>
        </w:tc>
        <w:tc>
          <w:tcPr>
            <w:tcW w:w="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BÉNÉFICES</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42 Business Year</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42 Exercice</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shall determine the start and the end of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détermine le début et la fin de l'exercice</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Company's business year.</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 la société.</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43 Accounting</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43 Comptabilité</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The annual accounts consist of the profit and loss statement,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comptes annuels se composent du compte de profits et pertes,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balance  sheet,  the  cash  flow  statement,  the  annex  and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du bilan, du tableau des flux de trésorerie, de l'annexe et du rapport</w:t>
            </w:r>
          </w:p>
        </w:tc>
      </w:tr>
      <w:tr>
        <w:trPr>
          <w:trHeight w:val="185"/>
        </w:trPr>
        <w:tc>
          <w:tcPr>
            <w:tcW w:w="5560" w:type="dxa"/>
            <w:vAlign w:val="bottom"/>
            <w:tcBorders>
              <w:left w:val="single" w:sz="8" w:color="auto"/>
            </w:tcBorders>
            <w:gridSpan w:val="2"/>
          </w:tcPr>
          <w:p>
            <w:pPr>
              <w:ind w:left="100"/>
              <w:spacing w:after="0" w:line="185" w:lineRule="exact"/>
              <w:rPr>
                <w:sz w:val="20"/>
                <w:szCs w:val="20"/>
                <w:color w:val="auto"/>
              </w:rPr>
            </w:pPr>
            <w:r>
              <w:rPr>
                <w:rFonts w:ascii="Arial" w:cs="Arial" w:eastAsia="Arial" w:hAnsi="Arial"/>
                <w:sz w:val="18"/>
                <w:szCs w:val="18"/>
                <w:color w:val="auto"/>
              </w:rPr>
              <w:t>management  report,  and  shall  be  drawn  up  pursuant  to  the</w:t>
            </w:r>
          </w:p>
        </w:tc>
        <w:tc>
          <w:tcPr>
            <w:tcW w:w="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2"/>
          </w:tcPr>
          <w:p>
            <w:pPr>
              <w:ind w:left="80"/>
              <w:spacing w:after="0" w:line="185" w:lineRule="exact"/>
              <w:rPr>
                <w:sz w:val="20"/>
                <w:szCs w:val="20"/>
                <w:color w:val="auto"/>
              </w:rPr>
            </w:pPr>
            <w:r>
              <w:rPr>
                <w:rFonts w:ascii="Arial" w:cs="Arial" w:eastAsia="Arial" w:hAnsi="Arial"/>
                <w:sz w:val="18"/>
                <w:szCs w:val="18"/>
                <w:color w:val="auto"/>
              </w:rPr>
              <w:t>de gestion, et sont établis conformément aux dispositions du CO,</w:t>
            </w:r>
          </w:p>
        </w:tc>
      </w:tr>
      <w:tr>
        <w:trPr>
          <w:trHeight w:val="22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provisions of the CO, particularly of Articles 958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and the</w:t>
            </w:r>
          </w:p>
        </w:tc>
        <w:tc>
          <w:tcPr>
            <w:tcW w:w="60" w:type="dxa"/>
            <w:vAlign w:val="bottom"/>
            <w:tcBorders>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en  particulier  des  articles  958  ss.  CO,  et  aux  principes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generally accepted commercial principles and customary rules in</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commerciaux généralement reconnus et aux règles coutumières</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that business area.</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dans ce secteur d'activité.</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If required by law, the consolidated financial statements shall be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 requis par la loi, les états financiers consolidés sont établis en</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drawn in accordance with the provisions of Article 962 CO.</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conformité avec les dispositions de l'article 962 CO.</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44 Allocation of Profits</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44 Répartition des bénéfices</w:t>
            </w:r>
          </w:p>
        </w:tc>
      </w:tr>
      <w:tr>
        <w:trPr>
          <w:trHeight w:val="391"/>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Subject to the legal provisions regarding distribution of profits, the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Sous réserve des dispositions légales en matière de répartition des</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profit as shown on the balance sheet shall be allocated by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bénéfices, le bénéfice comme indiqué sur le bilan doit être alloué à</w:t>
            </w:r>
          </w:p>
        </w:tc>
      </w:tr>
      <w:tr>
        <w:trPr>
          <w:trHeight w:val="203"/>
        </w:trPr>
        <w:tc>
          <w:tcPr>
            <w:tcW w:w="5560" w:type="dxa"/>
            <w:vAlign w:val="bottom"/>
            <w:tcBorders>
              <w:lef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General Meeting at its discretion after receipt of the proposals of the</w:t>
            </w:r>
          </w:p>
        </w:tc>
        <w:tc>
          <w:tcPr>
            <w:tcW w:w="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 libre appréciation de l'assemblée générale après réception des</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Board of Directors and the Auditors.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propositions du conseil d'administration et de l'organe de révision.</w:t>
            </w:r>
          </w:p>
        </w:tc>
      </w:tr>
      <w:tr>
        <w:trPr>
          <w:trHeight w:val="95"/>
        </w:trPr>
        <w:tc>
          <w:tcPr>
            <w:tcW w:w="5560" w:type="dxa"/>
            <w:vAlign w:val="bottom"/>
            <w:tcBorders>
              <w:left w:val="single" w:sz="8" w:color="auto"/>
              <w:bottom w:val="single" w:sz="8" w:color="auto"/>
            </w:tcBorders>
            <w:gridSpan w:val="2"/>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In addition to the legal reserves, the General Meeting may create</w:t>
            </w:r>
          </w:p>
        </w:tc>
        <w:tc>
          <w:tcPr>
            <w:tcW w:w="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En plus des réserves légales, l'assemblée générale peut créer des</w:t>
            </w:r>
          </w:p>
        </w:tc>
      </w:tr>
      <w:tr>
        <w:trPr>
          <w:trHeight w:val="217"/>
        </w:trPr>
        <w:tc>
          <w:tcPr>
            <w:tcW w:w="556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supplemental reserves.</w:t>
            </w:r>
          </w:p>
        </w:tc>
        <w:tc>
          <w:tcPr>
            <w:tcW w:w="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réserves supplémentaires.</w:t>
            </w:r>
          </w:p>
        </w:tc>
      </w:tr>
      <w:tr>
        <w:trPr>
          <w:trHeight w:val="95"/>
        </w:trPr>
        <w:tc>
          <w:tcPr>
            <w:tcW w:w="580" w:type="dxa"/>
            <w:vAlign w:val="bottom"/>
            <w:tcBorders>
              <w:left w:val="single" w:sz="8" w:color="auto"/>
              <w:bottom w:val="single" w:sz="8" w:color="auto"/>
            </w:tcBorders>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r>
      <w:tr>
        <w:trPr>
          <w:trHeight w:val="304"/>
        </w:trPr>
        <w:tc>
          <w:tcPr>
            <w:tcW w:w="5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34</w:t>
            </w:r>
          </w:p>
        </w:tc>
        <w:tc>
          <w:tcPr>
            <w:tcW w:w="6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7" w:name="page38"/>
    <w:bookmarkEnd w:id="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62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Dividends not claimed within five years after the due date shall</w:t>
            </w:r>
          </w:p>
        </w:tc>
        <w:tc>
          <w:tcPr>
            <w:tcW w:w="22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Les dividendes non réclamés dans les cinq ans après la date</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remain with the Company and be allocated to the general reserves.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d'échéance restent avec la société et sont attribués aux réserves</w:t>
            </w:r>
          </w:p>
        </w:tc>
      </w:tr>
      <w:tr>
        <w:trPr>
          <w:trHeight w:val="217"/>
        </w:trPr>
        <w:tc>
          <w:tcPr>
            <w:tcW w:w="74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générales.</w:t>
            </w:r>
          </w:p>
        </w:tc>
      </w:tr>
      <w:tr>
        <w:trPr>
          <w:trHeight w:val="95"/>
        </w:trPr>
        <w:tc>
          <w:tcPr>
            <w:tcW w:w="740" w:type="dxa"/>
            <w:vAlign w:val="bottom"/>
            <w:tcBorders>
              <w:left w:val="single" w:sz="8" w:color="auto"/>
              <w:bottom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80" w:type="dxa"/>
            <w:vAlign w:val="bottom"/>
            <w:tcBorders>
              <w:bottom w:val="single" w:sz="8" w:color="auto"/>
              <w:right w:val="single" w:sz="8" w:color="auto"/>
            </w:tcBorders>
          </w:tcPr>
          <w:p>
            <w:pPr>
              <w:spacing w:after="0"/>
              <w:rPr>
                <w:sz w:val="8"/>
                <w:szCs w:val="8"/>
                <w:color w:val="auto"/>
              </w:rPr>
            </w:pPr>
          </w:p>
        </w:tc>
      </w:tr>
      <w:tr>
        <w:trPr>
          <w:trHeight w:val="318"/>
        </w:trPr>
        <w:tc>
          <w:tcPr>
            <w:tcW w:w="74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IX.</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DISSOLUTION AND LIQUIDATION</w:t>
            </w:r>
          </w:p>
        </w:tc>
        <w:tc>
          <w:tcPr>
            <w:tcW w:w="220" w:type="dxa"/>
            <w:vAlign w:val="bottom"/>
            <w:tcBorders>
              <w:right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IX.</w:t>
            </w:r>
          </w:p>
        </w:tc>
        <w:tc>
          <w:tcPr>
            <w:tcW w:w="508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DISSOLUTION ET LIQUIDATION</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45 Dissolution and Liquidation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45 Dissolution et Liquidation</w:t>
            </w:r>
          </w:p>
        </w:tc>
      </w:tr>
      <w:tr>
        <w:trPr>
          <w:trHeight w:val="391"/>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dissolution and liquidation of the Company shall take place in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dissolution et la liquidation de la société ont lieu en conformité</w:t>
            </w:r>
          </w:p>
        </w:tc>
      </w:tr>
      <w:tr>
        <w:trPr>
          <w:trHeight w:val="217"/>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accordance with the provisions of the CO.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avec les dispositions du CO.</w:t>
            </w:r>
          </w:p>
        </w:tc>
      </w:tr>
      <w:tr>
        <w:trPr>
          <w:trHeight w:val="95"/>
        </w:trPr>
        <w:tc>
          <w:tcPr>
            <w:tcW w:w="740" w:type="dxa"/>
            <w:vAlign w:val="bottom"/>
            <w:tcBorders>
              <w:left w:val="single" w:sz="8" w:color="auto"/>
              <w:bottom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80" w:type="dxa"/>
            <w:vAlign w:val="bottom"/>
            <w:tcBorders>
              <w:bottom w:val="single" w:sz="8" w:color="auto"/>
              <w:right w:val="single" w:sz="8" w:color="auto"/>
            </w:tcBorders>
          </w:tcPr>
          <w:p>
            <w:pPr>
              <w:spacing w:after="0"/>
              <w:rPr>
                <w:sz w:val="8"/>
                <w:szCs w:val="8"/>
                <w:color w:val="auto"/>
              </w:rPr>
            </w:pPr>
          </w:p>
        </w:tc>
      </w:tr>
      <w:tr>
        <w:trPr>
          <w:trHeight w:val="318"/>
        </w:trPr>
        <w:tc>
          <w:tcPr>
            <w:tcW w:w="74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X.</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NOTICES AND PUBLICATIONS</w:t>
            </w:r>
          </w:p>
        </w:tc>
        <w:tc>
          <w:tcPr>
            <w:tcW w:w="220" w:type="dxa"/>
            <w:vAlign w:val="bottom"/>
            <w:tcBorders>
              <w:right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X.</w:t>
            </w:r>
          </w:p>
        </w:tc>
        <w:tc>
          <w:tcPr>
            <w:tcW w:w="508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AVIS ET PUBLICATIONS</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18"/>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46 Notices and Publications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46 Avis et Publications</w:t>
            </w:r>
          </w:p>
        </w:tc>
      </w:tr>
      <w:tr>
        <w:trPr>
          <w:trHeight w:val="391"/>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Swiss Official Gazette of Commerce is the official publication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L'organe de publication légal est la Feuille officielle suisse du</w:t>
            </w:r>
          </w:p>
        </w:tc>
      </w:tr>
      <w:tr>
        <w:trPr>
          <w:trHeight w:val="217"/>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medium.</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commerce.</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Shareholder communications and notices to the shareholders shall</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communications et avis aux actionnaires sont effectués par</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be made by publication in the Swiss Official Gazette of Commerce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publication  dans  la  Feuille  officielle  suisse  du  commerce  ou</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or sent by mail or e-mail to the addresses registered in the share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envoyés par courrier ou e-mail aux adresses enregistrées dans le</w:t>
            </w:r>
          </w:p>
        </w:tc>
      </w:tr>
      <w:tr>
        <w:trPr>
          <w:trHeight w:val="217"/>
        </w:trPr>
        <w:tc>
          <w:tcPr>
            <w:tcW w:w="7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5"/>
              </w:rPr>
              <w:t>register.</w:t>
            </w:r>
          </w:p>
        </w:tc>
        <w:tc>
          <w:tcPr>
            <w:tcW w:w="48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registre des actions.</w:t>
            </w:r>
          </w:p>
        </w:tc>
      </w:tr>
      <w:tr>
        <w:trPr>
          <w:trHeight w:val="95"/>
        </w:trPr>
        <w:tc>
          <w:tcPr>
            <w:tcW w:w="5620" w:type="dxa"/>
            <w:vAlign w:val="bottom"/>
            <w:tcBorders>
              <w:left w:val="single" w:sz="8" w:color="auto"/>
              <w:bottom w:val="single" w:sz="8" w:color="auto"/>
              <w:right w:val="single" w:sz="8" w:color="auto"/>
            </w:tcBorders>
            <w:gridSpan w:val="2"/>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580" w:type="dxa"/>
            <w:vAlign w:val="bottom"/>
            <w:tcBorders>
              <w:bottom w:val="single" w:sz="8" w:color="auto"/>
              <w:right w:val="single" w:sz="8" w:color="auto"/>
            </w:tcBorders>
            <w:gridSpan w:val="2"/>
          </w:tcPr>
          <w:p>
            <w:pPr>
              <w:spacing w:after="0"/>
              <w:rPr>
                <w:sz w:val="8"/>
                <w:szCs w:val="8"/>
                <w:color w:val="auto"/>
              </w:rPr>
            </w:pPr>
          </w:p>
        </w:tc>
      </w:tr>
      <w:tr>
        <w:trPr>
          <w:trHeight w:val="303"/>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Unless  the  law  provides  otherwise,  notices  shall  be  given  to</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Sauf si la loi en dispose autrement, les avis seront envoyés aux</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creditors by publication in the Swiss Official Gazette of Commerce.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créanciers  par  publication  dans  la  Feuille  officielle  suisse  du</w:t>
            </w:r>
          </w:p>
        </w:tc>
      </w:tr>
      <w:tr>
        <w:trPr>
          <w:trHeight w:val="203"/>
        </w:trPr>
        <w:tc>
          <w:tcPr>
            <w:tcW w:w="562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Board  of  Directors  may  assign  further  means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commerce.  Le  conseil  d'administration  peut  prévoir  d'autres</w:t>
            </w:r>
          </w:p>
        </w:tc>
      </w:tr>
      <w:tr>
        <w:trPr>
          <w:trHeight w:val="217"/>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communication.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moyens de communication.</w:t>
            </w:r>
          </w:p>
        </w:tc>
      </w:tr>
      <w:tr>
        <w:trPr>
          <w:trHeight w:val="95"/>
        </w:trPr>
        <w:tc>
          <w:tcPr>
            <w:tcW w:w="740" w:type="dxa"/>
            <w:vAlign w:val="bottom"/>
            <w:tcBorders>
              <w:left w:val="single" w:sz="8" w:color="auto"/>
              <w:bottom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80" w:type="dxa"/>
            <w:vAlign w:val="bottom"/>
            <w:tcBorders>
              <w:bottom w:val="single" w:sz="8" w:color="auto"/>
              <w:right w:val="single" w:sz="8" w:color="auto"/>
            </w:tcBorders>
          </w:tcPr>
          <w:p>
            <w:pPr>
              <w:spacing w:after="0"/>
              <w:rPr>
                <w:sz w:val="8"/>
                <w:szCs w:val="8"/>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Statuts modifiés lors de la séance du conseil d'administration du 8 juillet 2019, incluant les modifications décidées par l'assemblée générale du 28 juin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L'atteste : [illegible]</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99.1</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Interim Condensed Financial Statements (Unaudited)</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Interim Condensed Financial</w:t>
      </w:r>
    </w:p>
    <w:p>
      <w:pPr>
        <w:spacing w:after="0" w:line="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Statements (Unaudited) (IFRS) as of and for the Three and Nine Months Ended September 30,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As of</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87"/>
              </w:rPr>
              <w:t>As of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Note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8"/>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(in CHF thousands)</w:t>
            </w:r>
          </w:p>
        </w:tc>
        <w:tc>
          <w:tcPr>
            <w:tcW w:w="0" w:type="dxa"/>
            <w:vAlign w:val="bottom"/>
          </w:tcPr>
          <w:p>
            <w:pPr>
              <w:spacing w:after="0"/>
              <w:rPr>
                <w:sz w:val="1"/>
                <w:szCs w:val="1"/>
                <w:color w:val="auto"/>
              </w:rPr>
            </w:pPr>
          </w:p>
        </w:tc>
      </w:tr>
      <w:tr>
        <w:trPr>
          <w:trHeight w:val="198"/>
        </w:trPr>
        <w:tc>
          <w:tcPr>
            <w:tcW w:w="778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Non-current assets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3,702</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Right-of-use assets</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Long-term financial assets</w:t>
            </w:r>
          </w:p>
        </w:tc>
        <w:tc>
          <w:tcPr>
            <w:tcW w:w="920" w:type="dxa"/>
            <w:vAlign w:val="bottom"/>
            <w:tcBorders>
              <w:bottom w:val="single" w:sz="8" w:color="DCEBF4"/>
            </w:tcBorders>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non-current assets</w:t>
            </w:r>
          </w:p>
        </w:tc>
        <w:tc>
          <w:tcPr>
            <w:tcW w:w="920" w:type="dxa"/>
            <w:vAlign w:val="bottom"/>
            <w:tcBorders>
              <w:bottom w:val="single" w:sz="8" w:color="DCEBF4"/>
            </w:tcBorders>
            <w:shd w:val="clear" w:color="auto" w:fill="DCEBF4"/>
          </w:tcPr>
          <w:p>
            <w:pPr>
              <w:spacing w:after="0"/>
              <w:rPr>
                <w:sz w:val="19"/>
                <w:szCs w:val="19"/>
                <w:color w:val="auto"/>
              </w:rPr>
            </w:pP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5,899</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Current assets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Prepaid expenses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Accrued income</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receivable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Other current receivables</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2,957</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212,457</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156,462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Total current assets</w:t>
            </w:r>
          </w:p>
        </w:tc>
        <w:tc>
          <w:tcPr>
            <w:tcW w:w="920" w:type="dxa"/>
            <w:vAlign w:val="bottom"/>
            <w:tcBorders>
              <w:bottom w:val="single" w:sz="8" w:color="DCEBF4"/>
            </w:tcBorders>
          </w:tcPr>
          <w:p>
            <w:pPr>
              <w:spacing w:after="0"/>
              <w:rPr>
                <w:sz w:val="18"/>
                <w:szCs w:val="18"/>
                <w:color w:val="auto"/>
              </w:rPr>
            </w:pP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309,450</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192,928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tcBorders>
              <w:bottom w:val="single" w:sz="8" w:color="DCEBF4"/>
            </w:tcBorders>
            <w:shd w:val="clear" w:color="auto" w:fill="DCEBF4"/>
          </w:tcPr>
          <w:p>
            <w:pPr>
              <w:spacing w:after="0"/>
              <w:rPr>
                <w:sz w:val="19"/>
                <w:szCs w:val="19"/>
                <w:color w:val="auto"/>
              </w:rPr>
            </w:pP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315,349</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196,556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Share capital</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Share premium</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346,479</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Accumulated losses</w:t>
            </w:r>
          </w:p>
        </w:tc>
        <w:tc>
          <w:tcPr>
            <w:tcW w:w="920" w:type="dxa"/>
            <w:vAlign w:val="bottom"/>
            <w:shd w:val="clear" w:color="auto" w:fill="DCEBF4"/>
          </w:tcPr>
          <w:p>
            <w:pPr>
              <w:spacing w:after="0"/>
              <w:rPr>
                <w:sz w:val="19"/>
                <w:szCs w:val="19"/>
                <w:color w:val="auto"/>
              </w:rPr>
            </w:pP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(55,532)</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(121,877)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920" w:type="dxa"/>
            <w:vAlign w:val="bottom"/>
            <w:tcBorders>
              <w:bottom w:val="single" w:sz="8" w:color="DCEBF4"/>
            </w:tcBorders>
          </w:tcPr>
          <w:p>
            <w:pPr>
              <w:spacing w:after="0"/>
              <w:rPr>
                <w:sz w:val="22"/>
                <w:szCs w:val="22"/>
                <w:color w:val="auto"/>
              </w:rPr>
            </w:pPr>
          </w:p>
        </w:tc>
        <w:tc>
          <w:tcPr>
            <w:tcW w:w="120" w:type="dxa"/>
            <w:vAlign w:val="bottom"/>
            <w:tcBorders>
              <w:bottom w:val="single" w:sz="8" w:color="DCEBF4"/>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292,383</w:t>
            </w:r>
          </w:p>
        </w:tc>
        <w:tc>
          <w:tcPr>
            <w:tcW w:w="120" w:type="dxa"/>
            <w:vAlign w:val="bottom"/>
            <w:tcBorders>
              <w:bottom w:val="single" w:sz="8" w:color="DCEBF4"/>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177,623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DCEBF4"/>
          </w:tcPr>
          <w:p>
            <w:pPr>
              <w:spacing w:after="0"/>
              <w:rPr>
                <w:sz w:val="17"/>
                <w:szCs w:val="17"/>
                <w:color w:val="auto"/>
              </w:rPr>
            </w:pPr>
          </w:p>
        </w:tc>
        <w:tc>
          <w:tcPr>
            <w:tcW w:w="920" w:type="dxa"/>
            <w:vAlign w:val="bottom"/>
            <w:shd w:val="clear" w:color="auto" w:fill="DCEBF4"/>
          </w:tcPr>
          <w:p>
            <w:pPr>
              <w:spacing w:after="0"/>
              <w:rPr>
                <w:sz w:val="17"/>
                <w:szCs w:val="17"/>
                <w:color w:val="auto"/>
              </w:rPr>
            </w:pPr>
          </w:p>
        </w:tc>
        <w:tc>
          <w:tcPr>
            <w:tcW w:w="120" w:type="dxa"/>
            <w:vAlign w:val="bottom"/>
            <w:shd w:val="clear" w:color="auto" w:fill="DCEBF4"/>
          </w:tcPr>
          <w:p>
            <w:pPr>
              <w:spacing w:after="0"/>
              <w:rPr>
                <w:sz w:val="17"/>
                <w:szCs w:val="17"/>
                <w:color w:val="auto"/>
              </w:rPr>
            </w:pPr>
          </w:p>
        </w:tc>
        <w:tc>
          <w:tcPr>
            <w:tcW w:w="1240" w:type="dxa"/>
            <w:vAlign w:val="bottom"/>
            <w:shd w:val="clear" w:color="auto" w:fill="DCEBF4"/>
          </w:tcPr>
          <w:p>
            <w:pPr>
              <w:spacing w:after="0"/>
              <w:rPr>
                <w:sz w:val="17"/>
                <w:szCs w:val="17"/>
                <w:color w:val="auto"/>
              </w:rPr>
            </w:pPr>
          </w:p>
        </w:tc>
        <w:tc>
          <w:tcPr>
            <w:tcW w:w="120" w:type="dxa"/>
            <w:vAlign w:val="bottom"/>
            <w:shd w:val="clear" w:color="auto" w:fill="DCEBF4"/>
          </w:tcPr>
          <w:p>
            <w:pPr>
              <w:spacing w:after="0"/>
              <w:rPr>
                <w:sz w:val="17"/>
                <w:szCs w:val="17"/>
                <w:color w:val="auto"/>
              </w:rPr>
            </w:pPr>
          </w:p>
        </w:tc>
        <w:tc>
          <w:tcPr>
            <w:tcW w:w="124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Long-term financing obligation</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Long-term deferred income</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Net employee defined benefit liabilities</w:t>
            </w:r>
          </w:p>
        </w:tc>
        <w:tc>
          <w:tcPr>
            <w:tcW w:w="920" w:type="dxa"/>
            <w:vAlign w:val="bottom"/>
            <w:tcBorders>
              <w:bottom w:val="single" w:sz="8" w:color="DCEBF4"/>
            </w:tcBorders>
          </w:tcPr>
          <w:p>
            <w:pPr>
              <w:spacing w:after="0"/>
              <w:rPr>
                <w:sz w:val="19"/>
                <w:szCs w:val="19"/>
                <w:color w:val="auto"/>
              </w:rPr>
            </w:pP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6,098</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non-current liabilities</w:t>
            </w:r>
          </w:p>
        </w:tc>
        <w:tc>
          <w:tcPr>
            <w:tcW w:w="920" w:type="dxa"/>
            <w:vAlign w:val="bottom"/>
            <w:tcBorders>
              <w:bottom w:val="single" w:sz="8" w:color="DCEBF4"/>
            </w:tcBorders>
            <w:shd w:val="clear" w:color="auto" w:fill="DCEBF4"/>
          </w:tcPr>
          <w:p>
            <w:pPr>
              <w:spacing w:after="0"/>
              <w:rPr>
                <w:sz w:val="19"/>
                <w:szCs w:val="19"/>
                <w:color w:val="auto"/>
              </w:rPr>
            </w:pP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8,954</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5,851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Accrued expenses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8,551</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Short-term deferred income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4,701</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Short-term financing obligation</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Short-term lease liabilities</w:t>
            </w:r>
          </w:p>
        </w:tc>
        <w:tc>
          <w:tcPr>
            <w:tcW w:w="920" w:type="dxa"/>
            <w:vAlign w:val="bottom"/>
            <w:tcBorders>
              <w:bottom w:val="single" w:sz="8" w:color="DCEBF4"/>
            </w:tcBorders>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Total current liabilities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14,012</w:t>
            </w:r>
          </w:p>
        </w:tc>
        <w:tc>
          <w:tcPr>
            <w:tcW w:w="12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13,082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Borders>
              <w:bottom w:val="single" w:sz="8" w:color="DCEBF4"/>
            </w:tcBorders>
          </w:tcPr>
          <w:p>
            <w:pPr>
              <w:spacing w:after="0"/>
              <w:rPr>
                <w:sz w:val="18"/>
                <w:szCs w:val="18"/>
                <w:color w:val="auto"/>
              </w:rPr>
            </w:pP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22,966</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920" w:type="dxa"/>
            <w:vAlign w:val="bottom"/>
            <w:tcBorders>
              <w:bottom w:val="single" w:sz="8" w:color="DCEBF4"/>
            </w:tcBorders>
            <w:shd w:val="clear" w:color="auto" w:fill="DCEBF4"/>
          </w:tcPr>
          <w:p>
            <w:pPr>
              <w:spacing w:after="0"/>
              <w:rPr>
                <w:sz w:val="19"/>
                <w:szCs w:val="19"/>
                <w:color w:val="auto"/>
              </w:rPr>
            </w:pP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315,349</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196,556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Statements of Income/(Loss)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6"/>
          </w:tcPr>
          <w:p>
            <w:pPr>
              <w:ind w:left="460"/>
              <w:spacing w:after="0"/>
              <w:rPr>
                <w:sz w:val="20"/>
                <w:szCs w:val="20"/>
                <w:color w:val="auto"/>
              </w:rPr>
            </w:pPr>
            <w:r>
              <w:rPr>
                <w:rFonts w:ascii="Arial" w:cs="Arial" w:eastAsia="Arial" w:hAnsi="Arial"/>
                <w:sz w:val="18"/>
                <w:szCs w:val="18"/>
                <w:b w:val="1"/>
                <w:bCs w:val="1"/>
                <w:color w:val="auto"/>
              </w:rPr>
              <w:t>For the Three Months</w:t>
            </w:r>
          </w:p>
        </w:tc>
        <w:tc>
          <w:tcPr>
            <w:tcW w:w="2600" w:type="dxa"/>
            <w:vAlign w:val="bottom"/>
            <w:gridSpan w:val="6"/>
          </w:tcPr>
          <w:p>
            <w:pPr>
              <w:ind w:left="48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6"/>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2600" w:type="dxa"/>
            <w:vAlign w:val="bottom"/>
            <w:gridSpan w:val="6"/>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Note</w:t>
            </w:r>
          </w:p>
        </w:tc>
        <w:tc>
          <w:tcPr>
            <w:tcW w:w="112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60" w:type="dxa"/>
            <w:vAlign w:val="bottom"/>
            <w:tcBorders>
              <w:top w:val="single" w:sz="8" w:color="auto"/>
            </w:tcBorders>
            <w:gridSpan w:val="10"/>
          </w:tcPr>
          <w:p>
            <w:pPr>
              <w:jc w:val="center"/>
              <w:ind w:left="770"/>
              <w:spacing w:after="0"/>
              <w:rPr>
                <w:sz w:val="20"/>
                <w:szCs w:val="20"/>
                <w:color w:val="auto"/>
              </w:rPr>
            </w:pPr>
            <w:r>
              <w:rPr>
                <w:rFonts w:ascii="Arial" w:cs="Arial" w:eastAsia="Arial" w:hAnsi="Arial"/>
                <w:sz w:val="18"/>
                <w:szCs w:val="18"/>
                <w:b w:val="1"/>
                <w:bCs w:val="1"/>
                <w:color w:val="auto"/>
                <w:w w:val="90"/>
              </w:rPr>
              <w:t>(in CHF thousands except for per share data)</w:t>
            </w: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4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color w:val="auto"/>
              </w:rPr>
              <w:t>Contract revenue</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Borders>
              <w:right w:val="single" w:sz="8" w:color="DCEBF4"/>
            </w:tcBorders>
            <w:shd w:val="clear" w:color="auto" w:fill="DCEBF4"/>
          </w:tcPr>
          <w:p>
            <w:pPr>
              <w:spacing w:after="0"/>
              <w:rPr>
                <w:sz w:val="19"/>
                <w:szCs w:val="19"/>
                <w:color w:val="auto"/>
              </w:rPr>
            </w:pPr>
          </w:p>
        </w:tc>
        <w:tc>
          <w:tcPr>
            <w:tcW w:w="1260" w:type="dxa"/>
            <w:vAlign w:val="bottom"/>
            <w:tcBorders>
              <w:bottom w:val="single" w:sz="8" w:color="auto"/>
            </w:tcBorders>
            <w:gridSpan w:val="2"/>
            <w:shd w:val="clear" w:color="auto" w:fill="DCEBF4"/>
          </w:tcPr>
          <w:p>
            <w:pPr>
              <w:jc w:val="right"/>
              <w:ind w:right="120"/>
              <w:spacing w:after="0"/>
              <w:rPr>
                <w:sz w:val="20"/>
                <w:szCs w:val="20"/>
                <w:color w:val="auto"/>
              </w:rPr>
            </w:pPr>
            <w:r>
              <w:rPr>
                <w:rFonts w:ascii="Arial" w:cs="Arial" w:eastAsia="Arial" w:hAnsi="Arial"/>
                <w:sz w:val="18"/>
                <w:szCs w:val="18"/>
                <w:color w:val="auto"/>
              </w:rPr>
              <w:t>33,411</w:t>
            </w:r>
          </w:p>
        </w:tc>
        <w:tc>
          <w:tcPr>
            <w:tcW w:w="120" w:type="dxa"/>
            <w:vAlign w:val="bottom"/>
            <w:tcBorders>
              <w:right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DCEBF4"/>
          </w:tcPr>
          <w:p>
            <w:pPr>
              <w:spacing w:after="0"/>
              <w:rPr>
                <w:sz w:val="19"/>
                <w:szCs w:val="19"/>
                <w:color w:val="auto"/>
              </w:rPr>
            </w:pPr>
          </w:p>
        </w:tc>
        <w:tc>
          <w:tcPr>
            <w:tcW w:w="1240" w:type="dxa"/>
            <w:vAlign w:val="bottom"/>
            <w:tcBorders>
              <w:bottom w:val="single" w:sz="8" w:color="auto"/>
            </w:tcBorders>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109,964</w:t>
            </w:r>
          </w:p>
        </w:tc>
        <w:tc>
          <w:tcPr>
            <w:tcW w:w="120" w:type="dxa"/>
            <w:vAlign w:val="bottom"/>
            <w:shd w:val="clear" w:color="auto" w:fill="DCEBF4"/>
          </w:tcPr>
          <w:p>
            <w:pPr>
              <w:spacing w:after="0"/>
              <w:rPr>
                <w:sz w:val="19"/>
                <w:szCs w:val="19"/>
                <w:color w:val="auto"/>
              </w:rPr>
            </w:pPr>
          </w:p>
        </w:tc>
        <w:tc>
          <w:tcPr>
            <w:tcW w:w="380" w:type="dxa"/>
            <w:vAlign w:val="bottom"/>
            <w:tcBorders>
              <w:bottom w:val="single" w:sz="8" w:color="auto"/>
            </w:tcBorders>
            <w:shd w:val="clear" w:color="auto" w:fill="DCEBF4"/>
          </w:tcPr>
          <w:p>
            <w:pPr>
              <w:spacing w:after="0"/>
              <w:rPr>
                <w:sz w:val="19"/>
                <w:szCs w:val="19"/>
                <w:color w:val="auto"/>
              </w:rPr>
            </w:pPr>
          </w:p>
        </w:tc>
        <w:tc>
          <w:tcPr>
            <w:tcW w:w="860" w:type="dxa"/>
            <w:vAlign w:val="bottom"/>
            <w:tcBorders>
              <w:bottom w:val="single" w:sz="8" w:color="auto"/>
            </w:tcBorders>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Total revenue</w:t>
            </w:r>
          </w:p>
        </w:tc>
        <w:tc>
          <w:tcPr>
            <w:tcW w:w="920" w:type="dxa"/>
            <w:vAlign w:val="bottom"/>
            <w:tcBorders>
              <w:bottom w:val="single" w:sz="8" w:color="DCEBF4"/>
            </w:tcBorders>
          </w:tcPr>
          <w:p>
            <w:pPr>
              <w:spacing w:after="0"/>
              <w:rPr>
                <w:sz w:val="18"/>
                <w:szCs w:val="18"/>
                <w:color w:val="auto"/>
              </w:rPr>
            </w:pPr>
          </w:p>
        </w:tc>
        <w:tc>
          <w:tcPr>
            <w:tcW w:w="140" w:type="dxa"/>
            <w:vAlign w:val="bottom"/>
            <w:tcBorders>
              <w:bottom w:val="single" w:sz="8" w:color="DCEBF4"/>
            </w:tcBorders>
          </w:tcPr>
          <w:p>
            <w:pPr>
              <w:spacing w:after="0"/>
              <w:rPr>
                <w:sz w:val="18"/>
                <w:szCs w:val="18"/>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33,411</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2,305</w:t>
            </w:r>
          </w:p>
        </w:tc>
        <w:tc>
          <w:tcPr>
            <w:tcW w:w="10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109,964</w:t>
            </w:r>
          </w:p>
        </w:tc>
        <w:tc>
          <w:tcPr>
            <w:tcW w:w="120" w:type="dxa"/>
            <w:vAlign w:val="bottom"/>
            <w:tcBorders>
              <w:bottom w:val="single" w:sz="8" w:color="DCEBF4"/>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5,791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120" w:type="dxa"/>
            <w:vAlign w:val="bottom"/>
            <w:shd w:val="clear" w:color="auto" w:fill="DCEBF4"/>
          </w:tcPr>
          <w:p>
            <w:pPr>
              <w:spacing w:after="0"/>
              <w:rPr>
                <w:sz w:val="18"/>
                <w:szCs w:val="18"/>
                <w:color w:val="auto"/>
              </w:rPr>
            </w:pPr>
          </w:p>
        </w:tc>
        <w:tc>
          <w:tcPr>
            <w:tcW w:w="140" w:type="dxa"/>
            <w:vAlign w:val="bottom"/>
            <w:shd w:val="clear" w:color="auto" w:fill="DCEBF4"/>
          </w:tcPr>
          <w:p>
            <w:pPr>
              <w:spacing w:after="0"/>
              <w:rPr>
                <w:sz w:val="18"/>
                <w:szCs w:val="18"/>
                <w:color w:val="auto"/>
              </w:rPr>
            </w:pPr>
          </w:p>
        </w:tc>
        <w:tc>
          <w:tcPr>
            <w:tcW w:w="120" w:type="dxa"/>
            <w:vAlign w:val="bottom"/>
            <w:tcBorders>
              <w:right w:val="single" w:sz="8" w:color="DCEBF4"/>
            </w:tcBorders>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380" w:type="dxa"/>
            <w:vAlign w:val="bottom"/>
            <w:shd w:val="clear" w:color="auto" w:fill="DCEBF4"/>
          </w:tcPr>
          <w:p>
            <w:pPr>
              <w:spacing w:after="0"/>
              <w:rPr>
                <w:sz w:val="18"/>
                <w:szCs w:val="18"/>
                <w:color w:val="auto"/>
              </w:rPr>
            </w:pPr>
          </w:p>
        </w:tc>
        <w:tc>
          <w:tcPr>
            <w:tcW w:w="76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color w:val="auto"/>
              </w:rPr>
              <w:t>Research &amp; development expenses</w:t>
            </w: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260" w:type="dxa"/>
            <w:vAlign w:val="bottom"/>
            <w:gridSpan w:val="2"/>
            <w:shd w:val="clear" w:color="auto" w:fill="DCEBF4"/>
          </w:tcPr>
          <w:p>
            <w:pPr>
              <w:jc w:val="right"/>
              <w:ind w:right="60"/>
              <w:spacing w:after="0"/>
              <w:rPr>
                <w:sz w:val="20"/>
                <w:szCs w:val="20"/>
                <w:color w:val="auto"/>
              </w:rPr>
            </w:pPr>
            <w:r>
              <w:rPr>
                <w:rFonts w:ascii="Arial" w:cs="Arial" w:eastAsia="Arial" w:hAnsi="Arial"/>
                <w:sz w:val="18"/>
                <w:szCs w:val="18"/>
                <w:color w:val="auto"/>
              </w:rPr>
              <w:t>(11,478)</w:t>
            </w:r>
          </w:p>
        </w:tc>
        <w:tc>
          <w:tcPr>
            <w:tcW w:w="120" w:type="dxa"/>
            <w:vAlign w:val="bottom"/>
            <w:tcBorders>
              <w:right w:val="single" w:sz="8" w:color="DCEBF4"/>
            </w:tcBorders>
            <w:shd w:val="clear" w:color="auto" w:fill="DCEBF4"/>
          </w:tcPr>
          <w:p>
            <w:pPr>
              <w:spacing w:after="0"/>
              <w:rPr>
                <w:sz w:val="18"/>
                <w:szCs w:val="18"/>
                <w:color w:val="auto"/>
              </w:rPr>
            </w:pPr>
          </w:p>
        </w:tc>
        <w:tc>
          <w:tcPr>
            <w:tcW w:w="1240" w:type="dxa"/>
            <w:vAlign w:val="bottom"/>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(11,546)</w:t>
            </w:r>
          </w:p>
        </w:tc>
        <w:tc>
          <w:tcPr>
            <w:tcW w:w="100" w:type="dxa"/>
            <w:vAlign w:val="bottom"/>
            <w:shd w:val="clear" w:color="auto" w:fill="DCEBF4"/>
          </w:tcPr>
          <w:p>
            <w:pPr>
              <w:spacing w:after="0"/>
              <w:rPr>
                <w:sz w:val="18"/>
                <w:szCs w:val="18"/>
                <w:color w:val="auto"/>
              </w:rPr>
            </w:pPr>
          </w:p>
        </w:tc>
        <w:tc>
          <w:tcPr>
            <w:tcW w:w="1240" w:type="dxa"/>
            <w:vAlign w:val="bottom"/>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(35,770)</w:t>
            </w:r>
          </w:p>
        </w:tc>
        <w:tc>
          <w:tcPr>
            <w:tcW w:w="120" w:type="dxa"/>
            <w:vAlign w:val="bottom"/>
            <w:shd w:val="clear" w:color="auto" w:fill="DCEBF4"/>
          </w:tcPr>
          <w:p>
            <w:pPr>
              <w:spacing w:after="0"/>
              <w:rPr>
                <w:sz w:val="18"/>
                <w:szCs w:val="18"/>
                <w:color w:val="auto"/>
              </w:rPr>
            </w:pPr>
          </w:p>
        </w:tc>
        <w:tc>
          <w:tcPr>
            <w:tcW w:w="380" w:type="dxa"/>
            <w:vAlign w:val="bottom"/>
            <w:shd w:val="clear" w:color="auto" w:fill="DCEBF4"/>
          </w:tcPr>
          <w:p>
            <w:pPr>
              <w:spacing w:after="0"/>
              <w:rPr>
                <w:sz w:val="18"/>
                <w:szCs w:val="18"/>
                <w:color w:val="auto"/>
              </w:rPr>
            </w:pPr>
          </w:p>
        </w:tc>
        <w:tc>
          <w:tcPr>
            <w:tcW w:w="860" w:type="dxa"/>
            <w:vAlign w:val="bottom"/>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(32,150)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General &amp; administrative expenses</w:t>
            </w:r>
          </w:p>
        </w:tc>
        <w:tc>
          <w:tcPr>
            <w:tcW w:w="920" w:type="dxa"/>
            <w:vAlign w:val="bottom"/>
            <w:tcBorders>
              <w:bottom w:val="single" w:sz="8" w:color="DCEBF4"/>
            </w:tcBorders>
          </w:tcPr>
          <w:p>
            <w:pPr>
              <w:spacing w:after="0"/>
              <w:rPr>
                <w:sz w:val="19"/>
                <w:szCs w:val="19"/>
                <w:color w:val="auto"/>
              </w:rPr>
            </w:pPr>
          </w:p>
        </w:tc>
        <w:tc>
          <w:tcPr>
            <w:tcW w:w="140" w:type="dxa"/>
            <w:vAlign w:val="bottom"/>
            <w:tcBorders>
              <w:bottom w:val="single" w:sz="8" w:color="DCEBF4"/>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(3,956)</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(10,835)</w:t>
            </w:r>
          </w:p>
        </w:tc>
        <w:tc>
          <w:tcPr>
            <w:tcW w:w="120" w:type="dxa"/>
            <w:vAlign w:val="bottom"/>
            <w:tcBorders>
              <w:bottom w:val="single" w:sz="8" w:color="DCEBF4"/>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Total operating expenses</w:t>
            </w: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260" w:type="dxa"/>
            <w:vAlign w:val="bottom"/>
            <w:tcBorders>
              <w:bottom w:val="single" w:sz="8" w:color="auto"/>
            </w:tcBorders>
            <w:gridSpan w:val="2"/>
            <w:shd w:val="clear" w:color="auto" w:fill="DCEBF4"/>
          </w:tcPr>
          <w:p>
            <w:pPr>
              <w:jc w:val="right"/>
              <w:ind w:right="60"/>
              <w:spacing w:after="0"/>
              <w:rPr>
                <w:sz w:val="20"/>
                <w:szCs w:val="20"/>
                <w:color w:val="auto"/>
              </w:rPr>
            </w:pPr>
            <w:r>
              <w:rPr>
                <w:rFonts w:ascii="Arial" w:cs="Arial" w:eastAsia="Arial" w:hAnsi="Arial"/>
                <w:sz w:val="18"/>
                <w:szCs w:val="18"/>
                <w:b w:val="1"/>
                <w:bCs w:val="1"/>
                <w:color w:val="auto"/>
              </w:rPr>
              <w:t>(15,434)</w:t>
            </w:r>
          </w:p>
        </w:tc>
        <w:tc>
          <w:tcPr>
            <w:tcW w:w="120" w:type="dxa"/>
            <w:vAlign w:val="bottom"/>
            <w:tcBorders>
              <w:right w:val="single" w:sz="8" w:color="DCEBF4"/>
            </w:tcBorders>
            <w:shd w:val="clear" w:color="auto" w:fill="DCEBF4"/>
          </w:tcPr>
          <w:p>
            <w:pPr>
              <w:spacing w:after="0"/>
              <w:rPr>
                <w:sz w:val="18"/>
                <w:szCs w:val="18"/>
                <w:color w:val="auto"/>
              </w:rPr>
            </w:pPr>
          </w:p>
        </w:tc>
        <w:tc>
          <w:tcPr>
            <w:tcW w:w="124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b w:val="1"/>
                <w:bCs w:val="1"/>
                <w:color w:val="auto"/>
              </w:rPr>
              <w:t>(14,476)</w:t>
            </w:r>
          </w:p>
        </w:tc>
        <w:tc>
          <w:tcPr>
            <w:tcW w:w="100" w:type="dxa"/>
            <w:vAlign w:val="bottom"/>
            <w:shd w:val="clear" w:color="auto" w:fill="DCEBF4"/>
          </w:tcPr>
          <w:p>
            <w:pPr>
              <w:spacing w:after="0"/>
              <w:rPr>
                <w:sz w:val="18"/>
                <w:szCs w:val="18"/>
                <w:color w:val="auto"/>
              </w:rPr>
            </w:pPr>
          </w:p>
        </w:tc>
        <w:tc>
          <w:tcPr>
            <w:tcW w:w="124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b w:val="1"/>
                <w:bCs w:val="1"/>
                <w:color w:val="auto"/>
              </w:rPr>
              <w:t>(46,605)</w:t>
            </w:r>
          </w:p>
        </w:tc>
        <w:tc>
          <w:tcPr>
            <w:tcW w:w="120" w:type="dxa"/>
            <w:vAlign w:val="bottom"/>
            <w:shd w:val="clear" w:color="auto" w:fill="DCEBF4"/>
          </w:tcPr>
          <w:p>
            <w:pPr>
              <w:spacing w:after="0"/>
              <w:rPr>
                <w:sz w:val="18"/>
                <w:szCs w:val="18"/>
                <w:color w:val="auto"/>
              </w:rPr>
            </w:pPr>
          </w:p>
        </w:tc>
        <w:tc>
          <w:tcPr>
            <w:tcW w:w="380" w:type="dxa"/>
            <w:vAlign w:val="bottom"/>
            <w:tcBorders>
              <w:bottom w:val="single" w:sz="8" w:color="auto"/>
            </w:tcBorders>
            <w:shd w:val="clear" w:color="auto" w:fill="DCEBF4"/>
          </w:tcPr>
          <w:p>
            <w:pPr>
              <w:spacing w:after="0"/>
              <w:rPr>
                <w:sz w:val="18"/>
                <w:szCs w:val="18"/>
                <w:color w:val="auto"/>
              </w:rPr>
            </w:pPr>
          </w:p>
        </w:tc>
        <w:tc>
          <w:tcPr>
            <w:tcW w:w="86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b w:val="1"/>
                <w:bCs w:val="1"/>
                <w:color w:val="auto"/>
              </w:rPr>
              <w:t>(40,853)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17,977</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(12,171)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63,359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120" w:type="dxa"/>
            <w:vAlign w:val="bottom"/>
            <w:shd w:val="clear" w:color="auto" w:fill="DCEBF4"/>
          </w:tcPr>
          <w:p>
            <w:pPr>
              <w:spacing w:after="0"/>
              <w:rPr>
                <w:sz w:val="18"/>
                <w:szCs w:val="18"/>
                <w:color w:val="auto"/>
              </w:rPr>
            </w:pPr>
          </w:p>
        </w:tc>
        <w:tc>
          <w:tcPr>
            <w:tcW w:w="140" w:type="dxa"/>
            <w:vAlign w:val="bottom"/>
            <w:shd w:val="clear" w:color="auto" w:fill="DCEBF4"/>
          </w:tcPr>
          <w:p>
            <w:pPr>
              <w:spacing w:after="0"/>
              <w:rPr>
                <w:sz w:val="18"/>
                <w:szCs w:val="18"/>
                <w:color w:val="auto"/>
              </w:rPr>
            </w:pPr>
          </w:p>
        </w:tc>
        <w:tc>
          <w:tcPr>
            <w:tcW w:w="120" w:type="dxa"/>
            <w:vAlign w:val="bottom"/>
            <w:tcBorders>
              <w:right w:val="single" w:sz="8" w:color="DCEBF4"/>
            </w:tcBorders>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380" w:type="dxa"/>
            <w:vAlign w:val="bottom"/>
            <w:shd w:val="clear" w:color="auto" w:fill="DCEBF4"/>
          </w:tcPr>
          <w:p>
            <w:pPr>
              <w:spacing w:after="0"/>
              <w:rPr>
                <w:sz w:val="18"/>
                <w:szCs w:val="18"/>
                <w:color w:val="auto"/>
              </w:rPr>
            </w:pPr>
          </w:p>
        </w:tc>
        <w:tc>
          <w:tcPr>
            <w:tcW w:w="76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Finance income/(expense), net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color w:val="auto"/>
              </w:rPr>
              <w:t>Change in fair value of conversion feature</w:t>
            </w: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380" w:type="dxa"/>
            <w:vAlign w:val="bottom"/>
            <w:tcBorders>
              <w:right w:val="single" w:sz="8" w:color="DCEBF4"/>
            </w:tcBorders>
            <w:gridSpan w:val="3"/>
            <w:shd w:val="clear" w:color="auto" w:fill="DCEBF4"/>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DCEBF4"/>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4,542</w:t>
            </w:r>
          </w:p>
        </w:tc>
        <w:tc>
          <w:tcPr>
            <w:tcW w:w="120" w:type="dxa"/>
            <w:vAlign w:val="bottom"/>
            <w:shd w:val="clear" w:color="auto" w:fill="DCEBF4"/>
          </w:tcPr>
          <w:p>
            <w:pPr>
              <w:spacing w:after="0"/>
              <w:rPr>
                <w:sz w:val="18"/>
                <w:szCs w:val="18"/>
                <w:color w:val="auto"/>
              </w:rPr>
            </w:pPr>
          </w:p>
        </w:tc>
        <w:tc>
          <w:tcPr>
            <w:tcW w:w="380" w:type="dxa"/>
            <w:vAlign w:val="bottom"/>
            <w:shd w:val="clear" w:color="auto" w:fill="DCEBF4"/>
          </w:tcPr>
          <w:p>
            <w:pPr>
              <w:spacing w:after="0"/>
              <w:rPr>
                <w:sz w:val="18"/>
                <w:szCs w:val="18"/>
                <w:color w:val="auto"/>
              </w:rPr>
            </w:pPr>
          </w:p>
        </w:tc>
        <w:tc>
          <w:tcPr>
            <w:tcW w:w="86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DCEBF4"/>
          </w:tcPr>
          <w:p>
            <w:pPr>
              <w:spacing w:after="0"/>
              <w:rPr>
                <w:sz w:val="19"/>
                <w:szCs w:val="19"/>
                <w:color w:val="auto"/>
              </w:rPr>
            </w:pPr>
          </w:p>
        </w:tc>
        <w:tc>
          <w:tcPr>
            <w:tcW w:w="140" w:type="dxa"/>
            <w:vAlign w:val="bottom"/>
            <w:tcBorders>
              <w:right w:val="single" w:sz="8" w:color="DCEBF4"/>
            </w:tcBorders>
            <w:shd w:val="clear" w:color="auto" w:fill="DCEBF4"/>
          </w:tcPr>
          <w:p>
            <w:pPr>
              <w:spacing w:after="0"/>
              <w:rPr>
                <w:sz w:val="19"/>
                <w:szCs w:val="19"/>
                <w:color w:val="auto"/>
              </w:rPr>
            </w:pPr>
          </w:p>
        </w:tc>
        <w:tc>
          <w:tcPr>
            <w:tcW w:w="1260" w:type="dxa"/>
            <w:vAlign w:val="bottom"/>
            <w:tcBorders>
              <w:bottom w:val="single" w:sz="8" w:color="auto"/>
            </w:tcBorders>
            <w:gridSpan w:val="2"/>
            <w:shd w:val="clear" w:color="auto" w:fill="DCEBF4"/>
          </w:tcPr>
          <w:p>
            <w:pPr>
              <w:jc w:val="right"/>
              <w:ind w:right="60"/>
              <w:spacing w:after="0"/>
              <w:rPr>
                <w:sz w:val="20"/>
                <w:szCs w:val="20"/>
                <w:color w:val="auto"/>
              </w:rPr>
            </w:pPr>
            <w:r>
              <w:rPr>
                <w:rFonts w:ascii="Arial" w:cs="Arial" w:eastAsia="Arial" w:hAnsi="Arial"/>
                <w:sz w:val="18"/>
                <w:szCs w:val="18"/>
                <w:color w:val="auto"/>
              </w:rPr>
              <w:t>(86)</w:t>
            </w:r>
          </w:p>
        </w:tc>
        <w:tc>
          <w:tcPr>
            <w:tcW w:w="120" w:type="dxa"/>
            <w:vAlign w:val="bottom"/>
            <w:tcBorders>
              <w:right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CEBF4"/>
          </w:tcPr>
          <w:p>
            <w:pPr>
              <w:spacing w:after="0"/>
              <w:rPr>
                <w:sz w:val="19"/>
                <w:szCs w:val="19"/>
                <w:color w:val="auto"/>
              </w:rPr>
            </w:pPr>
          </w:p>
        </w:tc>
        <w:tc>
          <w:tcPr>
            <w:tcW w:w="124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DCEBF4"/>
          </w:tcPr>
          <w:p>
            <w:pPr>
              <w:spacing w:after="0"/>
              <w:rPr>
                <w:sz w:val="19"/>
                <w:szCs w:val="19"/>
                <w:color w:val="auto"/>
              </w:rPr>
            </w:pPr>
          </w:p>
        </w:tc>
        <w:tc>
          <w:tcPr>
            <w:tcW w:w="380" w:type="dxa"/>
            <w:vAlign w:val="bottom"/>
            <w:tcBorders>
              <w:bottom w:val="single" w:sz="8" w:color="auto"/>
            </w:tcBorders>
            <w:shd w:val="clear" w:color="auto" w:fill="DCEBF4"/>
          </w:tcPr>
          <w:p>
            <w:pPr>
              <w:spacing w:after="0"/>
              <w:rPr>
                <w:sz w:val="19"/>
                <w:szCs w:val="19"/>
                <w:color w:val="auto"/>
              </w:rPr>
            </w:pPr>
          </w:p>
        </w:tc>
        <w:tc>
          <w:tcPr>
            <w:tcW w:w="86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Finance result, net</w:t>
            </w:r>
          </w:p>
        </w:tc>
        <w:tc>
          <w:tcPr>
            <w:tcW w:w="920" w:type="dxa"/>
            <w:vAlign w:val="bottom"/>
            <w:tcBorders>
              <w:bottom w:val="single" w:sz="8" w:color="DCEBF4"/>
            </w:tcBorders>
          </w:tcPr>
          <w:p>
            <w:pPr>
              <w:jc w:val="center"/>
              <w:spacing w:after="0"/>
              <w:rPr>
                <w:sz w:val="20"/>
                <w:szCs w:val="20"/>
                <w:color w:val="auto"/>
              </w:rPr>
            </w:pPr>
            <w:r>
              <w:rPr>
                <w:rFonts w:ascii="Arial" w:cs="Arial" w:eastAsia="Arial" w:hAnsi="Arial"/>
                <w:sz w:val="18"/>
                <w:szCs w:val="18"/>
                <w:color w:val="auto"/>
                <w:w w:val="89"/>
              </w:rPr>
              <w:t>11</w:t>
            </w:r>
          </w:p>
        </w:tc>
        <w:tc>
          <w:tcPr>
            <w:tcW w:w="140" w:type="dxa"/>
            <w:vAlign w:val="bottom"/>
            <w:tcBorders>
              <w:bottom w:val="single" w:sz="8" w:color="DCEBF4"/>
            </w:tcBorders>
          </w:tcPr>
          <w:p>
            <w:pPr>
              <w:spacing w:after="0"/>
              <w:rPr>
                <w:sz w:val="18"/>
                <w:szCs w:val="18"/>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236</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(1,345)</w:t>
            </w:r>
          </w:p>
        </w:tc>
        <w:tc>
          <w:tcPr>
            <w:tcW w:w="10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1,529</w:t>
            </w:r>
          </w:p>
        </w:tc>
        <w:tc>
          <w:tcPr>
            <w:tcW w:w="120" w:type="dxa"/>
            <w:vAlign w:val="bottom"/>
            <w:tcBorders>
              <w:bottom w:val="single" w:sz="8" w:color="DCEBF4"/>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Income/(loss) before tax</w:t>
            </w: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260" w:type="dxa"/>
            <w:vAlign w:val="bottom"/>
            <w:tcBorders>
              <w:bottom w:val="single" w:sz="8" w:color="auto"/>
            </w:tcBorders>
            <w:gridSpan w:val="2"/>
            <w:shd w:val="clear" w:color="auto" w:fill="DCEBF4"/>
          </w:tcPr>
          <w:p>
            <w:pPr>
              <w:jc w:val="right"/>
              <w:ind w:right="120"/>
              <w:spacing w:after="0"/>
              <w:rPr>
                <w:sz w:val="20"/>
                <w:szCs w:val="20"/>
                <w:color w:val="auto"/>
              </w:rPr>
            </w:pPr>
            <w:r>
              <w:rPr>
                <w:rFonts w:ascii="Arial" w:cs="Arial" w:eastAsia="Arial" w:hAnsi="Arial"/>
                <w:sz w:val="18"/>
                <w:szCs w:val="18"/>
                <w:b w:val="1"/>
                <w:bCs w:val="1"/>
                <w:color w:val="auto"/>
              </w:rPr>
              <w:t>18,213</w:t>
            </w:r>
          </w:p>
        </w:tc>
        <w:tc>
          <w:tcPr>
            <w:tcW w:w="120" w:type="dxa"/>
            <w:vAlign w:val="bottom"/>
            <w:tcBorders>
              <w:right w:val="single" w:sz="8" w:color="DCEBF4"/>
            </w:tcBorders>
            <w:shd w:val="clear" w:color="auto" w:fill="DCEBF4"/>
          </w:tcPr>
          <w:p>
            <w:pPr>
              <w:spacing w:after="0"/>
              <w:rPr>
                <w:sz w:val="18"/>
                <w:szCs w:val="18"/>
                <w:color w:val="auto"/>
              </w:rPr>
            </w:pPr>
          </w:p>
        </w:tc>
        <w:tc>
          <w:tcPr>
            <w:tcW w:w="124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b w:val="1"/>
                <w:bCs w:val="1"/>
                <w:color w:val="auto"/>
              </w:rPr>
              <w:t>(13,516)</w:t>
            </w:r>
          </w:p>
        </w:tc>
        <w:tc>
          <w:tcPr>
            <w:tcW w:w="100" w:type="dxa"/>
            <w:vAlign w:val="bottom"/>
            <w:shd w:val="clear" w:color="auto" w:fill="DCEBF4"/>
          </w:tcPr>
          <w:p>
            <w:pPr>
              <w:spacing w:after="0"/>
              <w:rPr>
                <w:sz w:val="18"/>
                <w:szCs w:val="18"/>
                <w:color w:val="auto"/>
              </w:rPr>
            </w:pPr>
          </w:p>
        </w:tc>
        <w:tc>
          <w:tcPr>
            <w:tcW w:w="1240" w:type="dxa"/>
            <w:vAlign w:val="bottom"/>
            <w:tcBorders>
              <w:bottom w:val="single" w:sz="8" w:color="auto"/>
            </w:tcBorders>
            <w:gridSpan w:val="2"/>
            <w:shd w:val="clear" w:color="auto" w:fill="DCEBF4"/>
          </w:tcPr>
          <w:p>
            <w:pPr>
              <w:jc w:val="right"/>
              <w:ind w:right="100"/>
              <w:spacing w:after="0"/>
              <w:rPr>
                <w:sz w:val="20"/>
                <w:szCs w:val="20"/>
                <w:color w:val="auto"/>
              </w:rPr>
            </w:pPr>
            <w:r>
              <w:rPr>
                <w:rFonts w:ascii="Arial" w:cs="Arial" w:eastAsia="Arial" w:hAnsi="Arial"/>
                <w:sz w:val="18"/>
                <w:szCs w:val="18"/>
                <w:b w:val="1"/>
                <w:bCs w:val="1"/>
                <w:color w:val="auto"/>
              </w:rPr>
              <w:t>64,888</w:t>
            </w:r>
          </w:p>
        </w:tc>
        <w:tc>
          <w:tcPr>
            <w:tcW w:w="120" w:type="dxa"/>
            <w:vAlign w:val="bottom"/>
            <w:shd w:val="clear" w:color="auto" w:fill="DCEBF4"/>
          </w:tcPr>
          <w:p>
            <w:pPr>
              <w:spacing w:after="0"/>
              <w:rPr>
                <w:sz w:val="18"/>
                <w:szCs w:val="18"/>
                <w:color w:val="auto"/>
              </w:rPr>
            </w:pPr>
          </w:p>
        </w:tc>
        <w:tc>
          <w:tcPr>
            <w:tcW w:w="380" w:type="dxa"/>
            <w:vAlign w:val="bottom"/>
            <w:tcBorders>
              <w:bottom w:val="single" w:sz="8" w:color="auto"/>
            </w:tcBorders>
            <w:shd w:val="clear" w:color="auto" w:fill="DCEBF4"/>
          </w:tcPr>
          <w:p>
            <w:pPr>
              <w:spacing w:after="0"/>
              <w:rPr>
                <w:sz w:val="18"/>
                <w:szCs w:val="18"/>
                <w:color w:val="auto"/>
              </w:rPr>
            </w:pPr>
          </w:p>
        </w:tc>
        <w:tc>
          <w:tcPr>
            <w:tcW w:w="86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b w:val="1"/>
                <w:bCs w:val="1"/>
                <w:color w:val="auto"/>
              </w:rPr>
              <w:t>(36,274)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Income tax expense</w:t>
            </w:r>
          </w:p>
        </w:tc>
        <w:tc>
          <w:tcPr>
            <w:tcW w:w="920" w:type="dxa"/>
            <w:vAlign w:val="bottom"/>
            <w:tcBorders>
              <w:bottom w:val="single" w:sz="8" w:color="DCEBF4"/>
            </w:tcBorders>
          </w:tcPr>
          <w:p>
            <w:pPr>
              <w:spacing w:after="0"/>
              <w:rPr>
                <w:sz w:val="18"/>
                <w:szCs w:val="18"/>
                <w:color w:val="auto"/>
              </w:rPr>
            </w:pPr>
          </w:p>
        </w:tc>
        <w:tc>
          <w:tcPr>
            <w:tcW w:w="140" w:type="dxa"/>
            <w:vAlign w:val="bottom"/>
            <w:tcBorders>
              <w:bottom w:val="single" w:sz="8" w:color="DCEBF4"/>
            </w:tcBorders>
          </w:tcPr>
          <w:p>
            <w:pPr>
              <w:spacing w:after="0"/>
              <w:rPr>
                <w:sz w:val="18"/>
                <w:szCs w:val="18"/>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CEBF4"/>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Income/(loss) for the period</w:t>
            </w: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260" w:type="dxa"/>
            <w:vAlign w:val="bottom"/>
            <w:tcBorders>
              <w:bottom w:val="single" w:sz="8" w:color="auto"/>
            </w:tcBorders>
            <w:gridSpan w:val="2"/>
            <w:shd w:val="clear" w:color="auto" w:fill="DCEBF4"/>
          </w:tcPr>
          <w:p>
            <w:pPr>
              <w:jc w:val="right"/>
              <w:ind w:right="120"/>
              <w:spacing w:after="0"/>
              <w:rPr>
                <w:sz w:val="20"/>
                <w:szCs w:val="20"/>
                <w:color w:val="auto"/>
              </w:rPr>
            </w:pPr>
            <w:r>
              <w:rPr>
                <w:rFonts w:ascii="Arial" w:cs="Arial" w:eastAsia="Arial" w:hAnsi="Arial"/>
                <w:sz w:val="18"/>
                <w:szCs w:val="18"/>
                <w:b w:val="1"/>
                <w:bCs w:val="1"/>
                <w:color w:val="auto"/>
              </w:rPr>
              <w:t>18,213</w:t>
            </w:r>
          </w:p>
        </w:tc>
        <w:tc>
          <w:tcPr>
            <w:tcW w:w="120" w:type="dxa"/>
            <w:vAlign w:val="bottom"/>
            <w:tcBorders>
              <w:right w:val="single" w:sz="8" w:color="DCEBF4"/>
            </w:tcBorders>
            <w:shd w:val="clear" w:color="auto" w:fill="DCEBF4"/>
          </w:tcPr>
          <w:p>
            <w:pPr>
              <w:spacing w:after="0"/>
              <w:rPr>
                <w:sz w:val="18"/>
                <w:szCs w:val="18"/>
                <w:color w:val="auto"/>
              </w:rPr>
            </w:pPr>
          </w:p>
        </w:tc>
        <w:tc>
          <w:tcPr>
            <w:tcW w:w="124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b w:val="1"/>
                <w:bCs w:val="1"/>
                <w:color w:val="auto"/>
              </w:rPr>
              <w:t>(13,516)</w:t>
            </w:r>
          </w:p>
        </w:tc>
        <w:tc>
          <w:tcPr>
            <w:tcW w:w="100" w:type="dxa"/>
            <w:vAlign w:val="bottom"/>
            <w:shd w:val="clear" w:color="auto" w:fill="DCEBF4"/>
          </w:tcPr>
          <w:p>
            <w:pPr>
              <w:spacing w:after="0"/>
              <w:rPr>
                <w:sz w:val="18"/>
                <w:szCs w:val="18"/>
                <w:color w:val="auto"/>
              </w:rPr>
            </w:pPr>
          </w:p>
        </w:tc>
        <w:tc>
          <w:tcPr>
            <w:tcW w:w="1240" w:type="dxa"/>
            <w:vAlign w:val="bottom"/>
            <w:tcBorders>
              <w:bottom w:val="single" w:sz="8" w:color="auto"/>
            </w:tcBorders>
            <w:gridSpan w:val="2"/>
            <w:shd w:val="clear" w:color="auto" w:fill="DCEBF4"/>
          </w:tcPr>
          <w:p>
            <w:pPr>
              <w:jc w:val="right"/>
              <w:ind w:right="100"/>
              <w:spacing w:after="0"/>
              <w:rPr>
                <w:sz w:val="20"/>
                <w:szCs w:val="20"/>
                <w:color w:val="auto"/>
              </w:rPr>
            </w:pPr>
            <w:r>
              <w:rPr>
                <w:rFonts w:ascii="Arial" w:cs="Arial" w:eastAsia="Arial" w:hAnsi="Arial"/>
                <w:sz w:val="18"/>
                <w:szCs w:val="18"/>
                <w:b w:val="1"/>
                <w:bCs w:val="1"/>
                <w:color w:val="auto"/>
              </w:rPr>
              <w:t>64,888</w:t>
            </w:r>
          </w:p>
        </w:tc>
        <w:tc>
          <w:tcPr>
            <w:tcW w:w="120" w:type="dxa"/>
            <w:vAlign w:val="bottom"/>
            <w:shd w:val="clear" w:color="auto" w:fill="DCEBF4"/>
          </w:tcPr>
          <w:p>
            <w:pPr>
              <w:spacing w:after="0"/>
              <w:rPr>
                <w:sz w:val="18"/>
                <w:szCs w:val="18"/>
                <w:color w:val="auto"/>
              </w:rPr>
            </w:pPr>
          </w:p>
        </w:tc>
        <w:tc>
          <w:tcPr>
            <w:tcW w:w="380" w:type="dxa"/>
            <w:vAlign w:val="bottom"/>
            <w:tcBorders>
              <w:bottom w:val="single" w:sz="8" w:color="auto"/>
            </w:tcBorders>
            <w:shd w:val="clear" w:color="auto" w:fill="DCEBF4"/>
          </w:tcPr>
          <w:p>
            <w:pPr>
              <w:spacing w:after="0"/>
              <w:rPr>
                <w:sz w:val="18"/>
                <w:szCs w:val="18"/>
                <w:color w:val="auto"/>
              </w:rPr>
            </w:pPr>
          </w:p>
        </w:tc>
        <w:tc>
          <w:tcPr>
            <w:tcW w:w="860" w:type="dxa"/>
            <w:vAlign w:val="bottom"/>
            <w:tcBorders>
              <w:bottom w:val="single" w:sz="8" w:color="auto"/>
            </w:tcBorders>
            <w:gridSpan w:val="2"/>
            <w:shd w:val="clear" w:color="auto" w:fill="DCEBF4"/>
          </w:tcPr>
          <w:p>
            <w:pPr>
              <w:jc w:val="right"/>
              <w:ind w:right="40"/>
              <w:spacing w:after="0"/>
              <w:rPr>
                <w:sz w:val="20"/>
                <w:szCs w:val="20"/>
                <w:color w:val="auto"/>
              </w:rPr>
            </w:pPr>
            <w:r>
              <w:rPr>
                <w:rFonts w:ascii="Arial" w:cs="Arial" w:eastAsia="Arial" w:hAnsi="Arial"/>
                <w:sz w:val="18"/>
                <w:szCs w:val="18"/>
                <w:b w:val="1"/>
                <w:bCs w:val="1"/>
                <w:color w:val="auto"/>
              </w:rPr>
              <w:t>(36,274)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color w:val="auto"/>
              </w:rPr>
              <w:t>Earnings/(loss) per share (EPS):</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79"/>
              </w:rPr>
              <w:t>5</w:t>
            </w:r>
          </w:p>
        </w:tc>
        <w:tc>
          <w:tcPr>
            <w:tcW w:w="140" w:type="dxa"/>
            <w:vAlign w:val="bottom"/>
            <w:tcBorders>
              <w:right w:val="single" w:sz="8" w:color="DCEBF4"/>
            </w:tcBorders>
            <w:shd w:val="clear" w:color="auto" w:fill="DCEBF4"/>
          </w:tcPr>
          <w:p>
            <w:pPr>
              <w:spacing w:after="0"/>
              <w:rPr>
                <w:sz w:val="18"/>
                <w:szCs w:val="18"/>
                <w:color w:val="auto"/>
              </w:rPr>
            </w:pPr>
          </w:p>
        </w:tc>
        <w:tc>
          <w:tcPr>
            <w:tcW w:w="1120" w:type="dxa"/>
            <w:vAlign w:val="bottom"/>
            <w:shd w:val="clear" w:color="auto" w:fill="DCEBF4"/>
          </w:tcPr>
          <w:p>
            <w:pPr>
              <w:spacing w:after="0"/>
              <w:rPr>
                <w:sz w:val="18"/>
                <w:szCs w:val="18"/>
                <w:color w:val="auto"/>
              </w:rPr>
            </w:pPr>
          </w:p>
        </w:tc>
        <w:tc>
          <w:tcPr>
            <w:tcW w:w="140" w:type="dxa"/>
            <w:vAlign w:val="bottom"/>
            <w:shd w:val="clear" w:color="auto" w:fill="DCEBF4"/>
          </w:tcPr>
          <w:p>
            <w:pPr>
              <w:spacing w:after="0"/>
              <w:rPr>
                <w:sz w:val="18"/>
                <w:szCs w:val="18"/>
                <w:color w:val="auto"/>
              </w:rPr>
            </w:pPr>
          </w:p>
        </w:tc>
        <w:tc>
          <w:tcPr>
            <w:tcW w:w="120" w:type="dxa"/>
            <w:vAlign w:val="bottom"/>
            <w:tcBorders>
              <w:right w:val="single" w:sz="8" w:color="DCEBF4"/>
            </w:tcBorders>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380" w:type="dxa"/>
            <w:vAlign w:val="bottom"/>
            <w:shd w:val="clear" w:color="auto" w:fill="DCEBF4"/>
          </w:tcPr>
          <w:p>
            <w:pPr>
              <w:spacing w:after="0"/>
              <w:rPr>
                <w:sz w:val="18"/>
                <w:szCs w:val="18"/>
                <w:color w:val="auto"/>
              </w:rPr>
            </w:pPr>
          </w:p>
        </w:tc>
        <w:tc>
          <w:tcPr>
            <w:tcW w:w="76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color w:val="auto"/>
                <w:w w:val="97"/>
              </w:rPr>
              <w:t>Diluted income/(loss) for the period attributable to equity holders</w:t>
            </w: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260" w:type="dxa"/>
            <w:vAlign w:val="bottom"/>
            <w:gridSpan w:val="2"/>
            <w:shd w:val="clear" w:color="auto" w:fill="DCEBF4"/>
          </w:tcPr>
          <w:p>
            <w:pPr>
              <w:jc w:val="right"/>
              <w:ind w:right="120"/>
              <w:spacing w:after="0"/>
              <w:rPr>
                <w:sz w:val="20"/>
                <w:szCs w:val="20"/>
                <w:color w:val="auto"/>
              </w:rPr>
            </w:pPr>
            <w:r>
              <w:rPr>
                <w:rFonts w:ascii="Arial" w:cs="Arial" w:eastAsia="Arial" w:hAnsi="Arial"/>
                <w:sz w:val="18"/>
                <w:szCs w:val="18"/>
                <w:color w:val="auto"/>
              </w:rPr>
              <w:t>0.25</w:t>
            </w:r>
          </w:p>
        </w:tc>
        <w:tc>
          <w:tcPr>
            <w:tcW w:w="120" w:type="dxa"/>
            <w:vAlign w:val="bottom"/>
            <w:tcBorders>
              <w:right w:val="single" w:sz="8" w:color="DCEBF4"/>
            </w:tcBorders>
            <w:shd w:val="clear" w:color="auto" w:fill="DCEBF4"/>
          </w:tcPr>
          <w:p>
            <w:pPr>
              <w:spacing w:after="0"/>
              <w:rPr>
                <w:sz w:val="18"/>
                <w:szCs w:val="18"/>
                <w:color w:val="auto"/>
              </w:rPr>
            </w:pPr>
          </w:p>
        </w:tc>
        <w:tc>
          <w:tcPr>
            <w:tcW w:w="1240" w:type="dxa"/>
            <w:vAlign w:val="bottom"/>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DCEBF4"/>
          </w:tcPr>
          <w:p>
            <w:pPr>
              <w:spacing w:after="0"/>
              <w:rPr>
                <w:sz w:val="18"/>
                <w:szCs w:val="18"/>
                <w:color w:val="auto"/>
              </w:rPr>
            </w:pPr>
          </w:p>
        </w:tc>
        <w:tc>
          <w:tcPr>
            <w:tcW w:w="124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DCEBF4"/>
          </w:tcPr>
          <w:p>
            <w:pPr>
              <w:spacing w:after="0"/>
              <w:rPr>
                <w:sz w:val="18"/>
                <w:szCs w:val="18"/>
                <w:color w:val="auto"/>
              </w:rPr>
            </w:pPr>
          </w:p>
        </w:tc>
        <w:tc>
          <w:tcPr>
            <w:tcW w:w="380" w:type="dxa"/>
            <w:vAlign w:val="bottom"/>
            <w:shd w:val="clear" w:color="auto" w:fill="DCEBF4"/>
          </w:tcPr>
          <w:p>
            <w:pPr>
              <w:spacing w:after="0"/>
              <w:rPr>
                <w:sz w:val="18"/>
                <w:szCs w:val="18"/>
                <w:color w:val="auto"/>
              </w:rPr>
            </w:pPr>
          </w:p>
        </w:tc>
        <w:tc>
          <w:tcPr>
            <w:tcW w:w="860" w:type="dxa"/>
            <w:vAlign w:val="bottom"/>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6"/>
          </w:tcPr>
          <w:p>
            <w:pPr>
              <w:ind w:left="440"/>
              <w:spacing w:after="0"/>
              <w:rPr>
                <w:sz w:val="20"/>
                <w:szCs w:val="20"/>
                <w:color w:val="auto"/>
              </w:rPr>
            </w:pPr>
            <w:r>
              <w:rPr>
                <w:rFonts w:ascii="Arial" w:cs="Arial" w:eastAsia="Arial" w:hAnsi="Arial"/>
                <w:sz w:val="18"/>
                <w:szCs w:val="18"/>
                <w:b w:val="1"/>
                <w:bCs w:val="1"/>
                <w:color w:val="auto"/>
              </w:rPr>
              <w:t>For the Three Months</w:t>
            </w:r>
          </w:p>
        </w:tc>
        <w:tc>
          <w:tcPr>
            <w:tcW w:w="2600" w:type="dxa"/>
            <w:vAlign w:val="bottom"/>
            <w:gridSpan w:val="6"/>
          </w:tcPr>
          <w:p>
            <w:pPr>
              <w:ind w:left="50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6"/>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2600" w:type="dxa"/>
            <w:vAlign w:val="bottom"/>
            <w:gridSpan w:val="6"/>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1"/>
              </w:rPr>
              <w:t>(in CHF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color w:val="auto"/>
              </w:rPr>
              <w:t>Income/(loss) for the period</w:t>
            </w: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260" w:type="dxa"/>
            <w:vAlign w:val="bottom"/>
            <w:gridSpan w:val="2"/>
            <w:shd w:val="clear" w:color="auto" w:fill="DCEBF4"/>
          </w:tcPr>
          <w:p>
            <w:pPr>
              <w:jc w:val="right"/>
              <w:ind w:right="140"/>
              <w:spacing w:after="0"/>
              <w:rPr>
                <w:sz w:val="20"/>
                <w:szCs w:val="20"/>
                <w:color w:val="auto"/>
              </w:rPr>
            </w:pPr>
            <w:r>
              <w:rPr>
                <w:rFonts w:ascii="Arial" w:cs="Arial" w:eastAsia="Arial" w:hAnsi="Arial"/>
                <w:sz w:val="18"/>
                <w:szCs w:val="18"/>
                <w:color w:val="auto"/>
              </w:rPr>
              <w:t>18,213</w:t>
            </w:r>
          </w:p>
        </w:tc>
        <w:tc>
          <w:tcPr>
            <w:tcW w:w="120" w:type="dxa"/>
            <w:vAlign w:val="bottom"/>
            <w:tcBorders>
              <w:right w:val="single" w:sz="8" w:color="DCEBF4"/>
            </w:tcBorders>
            <w:shd w:val="clear" w:color="auto" w:fill="DCEBF4"/>
          </w:tcPr>
          <w:p>
            <w:pPr>
              <w:spacing w:after="0"/>
              <w:rPr>
                <w:sz w:val="18"/>
                <w:szCs w:val="18"/>
                <w:color w:val="auto"/>
              </w:rPr>
            </w:pPr>
          </w:p>
        </w:tc>
        <w:tc>
          <w:tcPr>
            <w:tcW w:w="1240" w:type="dxa"/>
            <w:vAlign w:val="bottom"/>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(13,516)</w:t>
            </w:r>
          </w:p>
        </w:tc>
        <w:tc>
          <w:tcPr>
            <w:tcW w:w="100" w:type="dxa"/>
            <w:vAlign w:val="bottom"/>
            <w:shd w:val="clear" w:color="auto" w:fill="DCEBF4"/>
          </w:tcPr>
          <w:p>
            <w:pPr>
              <w:spacing w:after="0"/>
              <w:rPr>
                <w:sz w:val="18"/>
                <w:szCs w:val="18"/>
                <w:color w:val="auto"/>
              </w:rPr>
            </w:pPr>
          </w:p>
        </w:tc>
        <w:tc>
          <w:tcPr>
            <w:tcW w:w="124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64,888</w:t>
            </w:r>
          </w:p>
        </w:tc>
        <w:tc>
          <w:tcPr>
            <w:tcW w:w="120" w:type="dxa"/>
            <w:vAlign w:val="bottom"/>
            <w:shd w:val="clear" w:color="auto" w:fill="DCEBF4"/>
          </w:tcPr>
          <w:p>
            <w:pPr>
              <w:spacing w:after="0"/>
              <w:rPr>
                <w:sz w:val="18"/>
                <w:szCs w:val="18"/>
                <w:color w:val="auto"/>
              </w:rPr>
            </w:pPr>
          </w:p>
        </w:tc>
        <w:tc>
          <w:tcPr>
            <w:tcW w:w="380" w:type="dxa"/>
            <w:vAlign w:val="bottom"/>
            <w:shd w:val="clear" w:color="auto" w:fill="DCEBF4"/>
          </w:tcPr>
          <w:p>
            <w:pPr>
              <w:spacing w:after="0"/>
              <w:rPr>
                <w:sz w:val="18"/>
                <w:szCs w:val="18"/>
                <w:color w:val="auto"/>
              </w:rPr>
            </w:pPr>
          </w:p>
        </w:tc>
        <w:tc>
          <w:tcPr>
            <w:tcW w:w="860" w:type="dxa"/>
            <w:vAlign w:val="bottom"/>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gridSpan w:val="3"/>
          </w:tcPr>
          <w:p>
            <w:pPr>
              <w:spacing w:after="0" w:line="201" w:lineRule="exact"/>
              <w:rPr>
                <w:sz w:val="20"/>
                <w:szCs w:val="20"/>
                <w:color w:val="auto"/>
              </w:rPr>
            </w:pPr>
            <w:r>
              <w:rPr>
                <w:rFonts w:ascii="Arial" w:cs="Arial" w:eastAsia="Arial" w:hAnsi="Arial"/>
                <w:sz w:val="18"/>
                <w:szCs w:val="18"/>
                <w:color w:val="auto"/>
                <w:w w:val="98"/>
              </w:rPr>
              <w:t>Other comprehensive income/(loss) not to be reclassified to income or loss in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subsequent periods (net of tax):</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DCEBF4"/>
          </w:tcPr>
          <w:p>
            <w:pPr>
              <w:spacing w:after="0"/>
              <w:rPr>
                <w:sz w:val="20"/>
                <w:szCs w:val="20"/>
                <w:color w:val="auto"/>
              </w:rPr>
            </w:pPr>
            <w:r>
              <w:rPr>
                <w:rFonts w:ascii="Arial" w:cs="Arial" w:eastAsia="Arial" w:hAnsi="Arial"/>
                <w:sz w:val="18"/>
                <w:szCs w:val="18"/>
                <w:color w:val="auto"/>
              </w:rPr>
              <w:t>Re-measurement losses on defined benefit plans</w:t>
            </w:r>
          </w:p>
        </w:tc>
        <w:tc>
          <w:tcPr>
            <w:tcW w:w="920" w:type="dxa"/>
            <w:vAlign w:val="bottom"/>
            <w:shd w:val="clear" w:color="auto" w:fill="DCEBF4"/>
          </w:tcPr>
          <w:p>
            <w:pPr>
              <w:spacing w:after="0"/>
              <w:rPr>
                <w:sz w:val="18"/>
                <w:szCs w:val="18"/>
                <w:color w:val="auto"/>
              </w:rPr>
            </w:pPr>
          </w:p>
        </w:tc>
        <w:tc>
          <w:tcPr>
            <w:tcW w:w="140" w:type="dxa"/>
            <w:vAlign w:val="bottom"/>
            <w:tcBorders>
              <w:right w:val="single" w:sz="8" w:color="DCEBF4"/>
            </w:tcBorders>
            <w:shd w:val="clear" w:color="auto" w:fill="DCEBF4"/>
          </w:tcPr>
          <w:p>
            <w:pPr>
              <w:spacing w:after="0"/>
              <w:rPr>
                <w:sz w:val="18"/>
                <w:szCs w:val="18"/>
                <w:color w:val="auto"/>
              </w:rPr>
            </w:pPr>
          </w:p>
        </w:tc>
        <w:tc>
          <w:tcPr>
            <w:tcW w:w="1380" w:type="dxa"/>
            <w:vAlign w:val="bottom"/>
            <w:tcBorders>
              <w:right w:val="single" w:sz="8" w:color="DCEBF4"/>
            </w:tcBorders>
            <w:gridSpan w:val="3"/>
            <w:shd w:val="clear" w:color="auto" w:fill="DCEBF4"/>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DCEBF4"/>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gridSpan w:val="4"/>
            <w:shd w:val="clear" w:color="auto" w:fill="DCEBF4"/>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 comprehensive income/(loss), net of tax</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18,213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(13,516)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64,888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as of January 1, 2018</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tcPr>
          <w:p>
            <w:pPr>
              <w:spacing w:after="0"/>
              <w:rPr>
                <w:sz w:val="18"/>
                <w:szCs w:val="18"/>
                <w:color w:val="auto"/>
              </w:rPr>
            </w:pPr>
          </w:p>
        </w:tc>
      </w:tr>
      <w:tr>
        <w:trPr>
          <w:trHeight w:val="234"/>
        </w:trPr>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Note</w:t>
            </w: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 capital</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 premium</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05"/>
        </w:trPr>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4"/>
          </w:tcPr>
          <w:p>
            <w:pPr>
              <w:ind w:left="520"/>
              <w:spacing w:after="0" w:line="205" w:lineRule="exact"/>
              <w:rPr>
                <w:sz w:val="20"/>
                <w:szCs w:val="20"/>
                <w:color w:val="auto"/>
              </w:rPr>
            </w:pPr>
            <w:r>
              <w:rPr>
                <w:rFonts w:ascii="Arial" w:cs="Arial" w:eastAsia="Arial" w:hAnsi="Arial"/>
                <w:sz w:val="18"/>
                <w:szCs w:val="18"/>
                <w:b w:val="1"/>
                <w:bCs w:val="1"/>
                <w:color w:val="auto"/>
              </w:rPr>
              <w:t>(in CHF thousands)</w:t>
            </w:r>
          </w:p>
        </w:tc>
        <w:tc>
          <w:tcPr>
            <w:tcW w:w="1240" w:type="dxa"/>
            <w:vAlign w:val="bottom"/>
            <w:tcBorders>
              <w:top w:val="single" w:sz="8" w:color="auto"/>
            </w:tcBorders>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1,147</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188,299</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(72,607)</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116,839</w:t>
            </w:r>
          </w:p>
        </w:tc>
      </w:tr>
      <w:tr>
        <w:trPr>
          <w:trHeight w:val="209"/>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(36,274)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(36,274)</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(36,274)</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-591185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-299720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20" w:space="720"/>
            <w:col w:w="6380"/>
          </w:cols>
          <w:pgMar w:left="240" w:top="796"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20" w:type="dxa"/>
            <w:vAlign w:val="bottom"/>
            <w:shd w:val="clear" w:color="auto" w:fill="DCEBF4"/>
          </w:tcPr>
          <w:p>
            <w:pPr>
              <w:spacing w:after="0"/>
              <w:rPr>
                <w:sz w:val="17"/>
                <w:szCs w:val="17"/>
                <w:color w:val="auto"/>
              </w:rPr>
            </w:pPr>
          </w:p>
        </w:tc>
        <w:tc>
          <w:tcPr>
            <w:tcW w:w="920" w:type="dxa"/>
            <w:vAlign w:val="bottom"/>
            <w:shd w:val="clear" w:color="auto" w:fill="DCEBF4"/>
          </w:tcPr>
          <w:p>
            <w:pPr>
              <w:spacing w:after="0"/>
              <w:rPr>
                <w:sz w:val="17"/>
                <w:szCs w:val="17"/>
                <w:color w:val="auto"/>
              </w:rPr>
            </w:pPr>
          </w:p>
        </w:tc>
        <w:tc>
          <w:tcPr>
            <w:tcW w:w="120" w:type="dxa"/>
            <w:vAlign w:val="bottom"/>
            <w:shd w:val="clear" w:color="auto" w:fill="DCEBF4"/>
          </w:tcPr>
          <w:p>
            <w:pPr>
              <w:spacing w:after="0"/>
              <w:rPr>
                <w:sz w:val="17"/>
                <w:szCs w:val="17"/>
                <w:color w:val="auto"/>
              </w:rPr>
            </w:pPr>
          </w:p>
        </w:tc>
        <w:tc>
          <w:tcPr>
            <w:tcW w:w="1280" w:type="dxa"/>
            <w:vAlign w:val="bottom"/>
            <w:shd w:val="clear" w:color="auto" w:fill="DCEBF4"/>
          </w:tcPr>
          <w:p>
            <w:pPr>
              <w:spacing w:after="0"/>
              <w:rPr>
                <w:sz w:val="17"/>
                <w:szCs w:val="17"/>
                <w:color w:val="auto"/>
              </w:rPr>
            </w:pPr>
          </w:p>
        </w:tc>
        <w:tc>
          <w:tcPr>
            <w:tcW w:w="120" w:type="dxa"/>
            <w:vAlign w:val="bottom"/>
            <w:shd w:val="clear" w:color="auto" w:fill="DCEBF4"/>
          </w:tcPr>
          <w:p>
            <w:pPr>
              <w:spacing w:after="0"/>
              <w:rPr>
                <w:sz w:val="17"/>
                <w:szCs w:val="17"/>
                <w:color w:val="auto"/>
              </w:rPr>
            </w:pPr>
          </w:p>
        </w:tc>
        <w:tc>
          <w:tcPr>
            <w:tcW w:w="124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40" w:type="dxa"/>
            <w:vAlign w:val="bottom"/>
            <w:shd w:val="clear" w:color="auto" w:fill="DCEBF4"/>
          </w:tcPr>
          <w:p>
            <w:pPr>
              <w:spacing w:after="0"/>
              <w:rPr>
                <w:sz w:val="17"/>
                <w:szCs w:val="17"/>
                <w:color w:val="auto"/>
              </w:rPr>
            </w:pPr>
          </w:p>
        </w:tc>
        <w:tc>
          <w:tcPr>
            <w:tcW w:w="120" w:type="dxa"/>
            <w:vAlign w:val="bottom"/>
            <w:shd w:val="clear" w:color="auto" w:fill="DCEBF4"/>
          </w:tcPr>
          <w:p>
            <w:pPr>
              <w:spacing w:after="0"/>
              <w:rPr>
                <w:sz w:val="17"/>
                <w:szCs w:val="17"/>
                <w:color w:val="auto"/>
              </w:rPr>
            </w:pPr>
          </w:p>
        </w:tc>
        <w:tc>
          <w:tcPr>
            <w:tcW w:w="124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4"/>
          </w:tcPr>
          <w:p>
            <w:pPr>
              <w:spacing w:after="0"/>
              <w:rPr>
                <w:sz w:val="20"/>
                <w:szCs w:val="20"/>
                <w:color w:val="auto"/>
              </w:rPr>
            </w:pPr>
            <w:r>
              <w:rPr>
                <w:rFonts w:ascii="Arial" w:cs="Arial" w:eastAsia="Arial" w:hAnsi="Arial"/>
                <w:sz w:val="18"/>
                <w:szCs w:val="18"/>
                <w:color w:val="auto"/>
              </w:rPr>
              <w:t>Proceeds from public offerings, net of underwriting fees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111,329</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DCEBF4"/>
          </w:tcPr>
          <w:p>
            <w:pPr>
              <w:spacing w:after="0"/>
              <w:rPr>
                <w:sz w:val="20"/>
                <w:szCs w:val="20"/>
                <w:color w:val="auto"/>
              </w:rPr>
            </w:pPr>
            <w:r>
              <w:rPr>
                <w:rFonts w:ascii="Arial" w:cs="Arial" w:eastAsia="Arial" w:hAnsi="Arial"/>
                <w:sz w:val="18"/>
                <w:szCs w:val="18"/>
                <w:color w:val="auto"/>
              </w:rPr>
              <w:t>Transaction offering costs</w:t>
            </w:r>
          </w:p>
        </w:tc>
        <w:tc>
          <w:tcPr>
            <w:tcW w:w="1400" w:type="dxa"/>
            <w:vAlign w:val="bottom"/>
            <w:gridSpan w:val="2"/>
            <w:shd w:val="clear" w:color="auto" w:fill="DCEBF4"/>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DCEBF4"/>
          </w:tcPr>
          <w:p>
            <w:pPr>
              <w:spacing w:after="0"/>
              <w:rPr>
                <w:sz w:val="18"/>
                <w:szCs w:val="18"/>
                <w:color w:val="auto"/>
              </w:rPr>
            </w:pPr>
          </w:p>
        </w:tc>
        <w:tc>
          <w:tcPr>
            <w:tcW w:w="136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DCEBF4"/>
          </w:tcPr>
          <w:p>
            <w:pPr>
              <w:spacing w:after="0"/>
              <w:rPr>
                <w:sz w:val="20"/>
                <w:szCs w:val="20"/>
                <w:color w:val="auto"/>
              </w:rPr>
            </w:pPr>
            <w:r>
              <w:rPr>
                <w:rFonts w:ascii="Arial" w:cs="Arial" w:eastAsia="Arial" w:hAnsi="Arial"/>
                <w:sz w:val="18"/>
                <w:szCs w:val="18"/>
                <w:color w:val="auto"/>
              </w:rPr>
              <w:t>Issuance of shares:</w:t>
            </w:r>
          </w:p>
        </w:tc>
        <w:tc>
          <w:tcPr>
            <w:tcW w:w="128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restricted share awards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DCEBF4"/>
          </w:tcPr>
          <w:p>
            <w:pPr>
              <w:spacing w:after="0"/>
              <w:rPr>
                <w:sz w:val="20"/>
                <w:szCs w:val="20"/>
                <w:color w:val="auto"/>
              </w:rPr>
            </w:pPr>
            <w:r>
              <w:rPr>
                <w:rFonts w:ascii="Arial" w:cs="Arial" w:eastAsia="Arial" w:hAnsi="Arial"/>
                <w:sz w:val="18"/>
                <w:szCs w:val="18"/>
                <w:color w:val="auto"/>
              </w:rPr>
              <w:t>exercise of options</w:t>
            </w:r>
          </w:p>
        </w:tc>
        <w:tc>
          <w:tcPr>
            <w:tcW w:w="128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CEBF4"/>
          </w:tcPr>
          <w:p>
            <w:pPr>
              <w:spacing w:after="0"/>
              <w:rPr>
                <w:sz w:val="18"/>
                <w:szCs w:val="18"/>
                <w:color w:val="auto"/>
              </w:rPr>
            </w:pPr>
          </w:p>
        </w:tc>
        <w:tc>
          <w:tcPr>
            <w:tcW w:w="136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transaction costs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DCEBF4"/>
              <w:bottom w:val="single" w:sz="8" w:color="DCEBF4"/>
            </w:tcBorders>
            <w:gridSpan w:val="3"/>
            <w:shd w:val="clear" w:color="auto" w:fill="DCEBF4"/>
          </w:tcPr>
          <w:p>
            <w:pPr>
              <w:spacing w:after="0"/>
              <w:rPr>
                <w:sz w:val="20"/>
                <w:szCs w:val="20"/>
                <w:color w:val="auto"/>
              </w:rPr>
            </w:pPr>
            <w:r>
              <w:rPr>
                <w:rFonts w:ascii="Arial" w:cs="Arial" w:eastAsia="Arial" w:hAnsi="Arial"/>
                <w:sz w:val="18"/>
                <w:szCs w:val="18"/>
                <w:b w:val="1"/>
                <w:bCs w:val="1"/>
                <w:color w:val="auto"/>
              </w:rPr>
              <w:t>Balance as of September 30, 2018</w:t>
            </w:r>
          </w:p>
        </w:tc>
        <w:tc>
          <w:tcPr>
            <w:tcW w:w="1280" w:type="dxa"/>
            <w:vAlign w:val="bottom"/>
            <w:tcBorders>
              <w:top w:val="single" w:sz="8" w:color="auto"/>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1,351</w:t>
            </w:r>
          </w:p>
        </w:tc>
        <w:tc>
          <w:tcPr>
            <w:tcW w:w="120" w:type="dxa"/>
            <w:vAlign w:val="bottom"/>
            <w:tcBorders>
              <w:top w:val="single" w:sz="8" w:color="DCEBF4"/>
              <w:bottom w:val="single" w:sz="8" w:color="DCEBF4"/>
            </w:tcBorders>
            <w:shd w:val="clear" w:color="auto" w:fill="DCEBF4"/>
          </w:tcPr>
          <w:p>
            <w:pPr>
              <w:spacing w:after="0"/>
              <w:rPr>
                <w:sz w:val="19"/>
                <w:szCs w:val="19"/>
                <w:color w:val="auto"/>
              </w:rPr>
            </w:pPr>
          </w:p>
        </w:tc>
        <w:tc>
          <w:tcPr>
            <w:tcW w:w="1240" w:type="dxa"/>
            <w:vAlign w:val="bottom"/>
            <w:tcBorders>
              <w:top w:val="single" w:sz="8" w:color="auto"/>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298,077</w:t>
            </w:r>
          </w:p>
        </w:tc>
        <w:tc>
          <w:tcPr>
            <w:tcW w:w="100" w:type="dxa"/>
            <w:vAlign w:val="bottom"/>
            <w:tcBorders>
              <w:top w:val="single" w:sz="8" w:color="DCEBF4"/>
              <w:bottom w:val="single" w:sz="8" w:color="DCEBF4"/>
            </w:tcBorders>
            <w:shd w:val="clear" w:color="auto" w:fill="DCEBF4"/>
          </w:tcPr>
          <w:p>
            <w:pPr>
              <w:spacing w:after="0"/>
              <w:rPr>
                <w:sz w:val="19"/>
                <w:szCs w:val="19"/>
                <w:color w:val="auto"/>
              </w:rPr>
            </w:pPr>
          </w:p>
        </w:tc>
        <w:tc>
          <w:tcPr>
            <w:tcW w:w="12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(107,452)</w:t>
            </w:r>
          </w:p>
        </w:tc>
        <w:tc>
          <w:tcPr>
            <w:tcW w:w="120" w:type="dxa"/>
            <w:vAlign w:val="bottom"/>
            <w:tcBorders>
              <w:top w:val="single" w:sz="8" w:color="DCEBF4"/>
              <w:bottom w:val="single" w:sz="8" w:color="DCEBF4"/>
            </w:tcBorders>
            <w:shd w:val="clear" w:color="auto" w:fill="DCEBF4"/>
          </w:tcPr>
          <w:p>
            <w:pPr>
              <w:spacing w:after="0"/>
              <w:rPr>
                <w:sz w:val="19"/>
                <w:szCs w:val="19"/>
                <w:color w:val="auto"/>
              </w:rPr>
            </w:pPr>
          </w:p>
        </w:tc>
        <w:tc>
          <w:tcPr>
            <w:tcW w:w="1240" w:type="dxa"/>
            <w:vAlign w:val="bottom"/>
            <w:tcBorders>
              <w:top w:val="single" w:sz="8" w:color="auto"/>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191,976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Note</w:t>
            </w: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 capital</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 premium</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(in CHF thousands)</w:t>
            </w: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shd w:val="clear" w:color="auto" w:fill="DCEBF4"/>
          </w:tcPr>
          <w:p>
            <w:pPr>
              <w:spacing w:after="0"/>
              <w:rPr>
                <w:sz w:val="20"/>
                <w:szCs w:val="20"/>
                <w:color w:val="auto"/>
              </w:rPr>
            </w:pPr>
            <w:r>
              <w:rPr>
                <w:rFonts w:ascii="Arial" w:cs="Arial" w:eastAsia="Arial" w:hAnsi="Arial"/>
                <w:sz w:val="18"/>
                <w:szCs w:val="18"/>
                <w:b w:val="1"/>
                <w:bCs w:val="1"/>
                <w:color w:val="auto"/>
              </w:rPr>
              <w:t>Balance as of January 1, 2019</w:t>
            </w:r>
          </w:p>
        </w:tc>
        <w:tc>
          <w:tcPr>
            <w:tcW w:w="128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1,351</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298,149</w:t>
            </w:r>
          </w:p>
        </w:tc>
        <w:tc>
          <w:tcPr>
            <w:tcW w:w="10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(121,877)</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177,623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Net income for the period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64,888</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64,888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shd w:val="clear" w:color="auto" w:fill="DCEBF4"/>
          </w:tcPr>
          <w:p>
            <w:pPr>
              <w:spacing w:after="0"/>
              <w:rPr>
                <w:sz w:val="20"/>
                <w:szCs w:val="20"/>
                <w:color w:val="auto"/>
              </w:rPr>
            </w:pPr>
            <w:r>
              <w:rPr>
                <w:rFonts w:ascii="Arial" w:cs="Arial" w:eastAsia="Arial" w:hAnsi="Arial"/>
                <w:sz w:val="18"/>
                <w:szCs w:val="18"/>
                <w:color w:val="auto"/>
              </w:rPr>
              <w:t>Other comprehensive income</w:t>
            </w:r>
          </w:p>
        </w:tc>
        <w:tc>
          <w:tcPr>
            <w:tcW w:w="1400" w:type="dxa"/>
            <w:vAlign w:val="bottom"/>
            <w:gridSpan w:val="2"/>
            <w:shd w:val="clear" w:color="auto" w:fill="DCEBF4"/>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CEBF4"/>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DCEBF4"/>
            </w:tcBorders>
            <w:gridSpan w:val="3"/>
          </w:tcPr>
          <w:p>
            <w:pPr>
              <w:spacing w:after="0"/>
              <w:rPr>
                <w:sz w:val="20"/>
                <w:szCs w:val="20"/>
                <w:color w:val="auto"/>
              </w:rPr>
            </w:pPr>
            <w:r>
              <w:rPr>
                <w:rFonts w:ascii="Arial" w:cs="Arial" w:eastAsia="Arial" w:hAnsi="Arial"/>
                <w:sz w:val="18"/>
                <w:szCs w:val="18"/>
                <w:color w:val="auto"/>
              </w:rPr>
              <w:t>Total comprehensive income</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CEBF4"/>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CEBF4"/>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64,888</w:t>
            </w:r>
          </w:p>
        </w:tc>
        <w:tc>
          <w:tcPr>
            <w:tcW w:w="120" w:type="dxa"/>
            <w:vAlign w:val="bottom"/>
            <w:tcBorders>
              <w:bottom w:val="single" w:sz="8" w:color="DCEBF4"/>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64,888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8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DCEBF4"/>
          </w:tcPr>
          <w:p>
            <w:pPr>
              <w:spacing w:after="0"/>
              <w:rPr>
                <w:sz w:val="20"/>
                <w:szCs w:val="20"/>
                <w:color w:val="auto"/>
              </w:rPr>
            </w:pPr>
            <w:r>
              <w:rPr>
                <w:rFonts w:ascii="Arial" w:cs="Arial" w:eastAsia="Arial" w:hAnsi="Arial"/>
                <w:sz w:val="18"/>
                <w:szCs w:val="18"/>
                <w:color w:val="auto"/>
              </w:rPr>
              <w:t>Issuance of shares:</w:t>
            </w:r>
          </w:p>
        </w:tc>
        <w:tc>
          <w:tcPr>
            <w:tcW w:w="128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conversion of note agreement, net of transaction costs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47,705</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DCEBF4"/>
          </w:tcPr>
          <w:p>
            <w:pPr>
              <w:spacing w:after="0"/>
              <w:rPr>
                <w:sz w:val="20"/>
                <w:szCs w:val="20"/>
                <w:color w:val="auto"/>
              </w:rPr>
            </w:pPr>
            <w:r>
              <w:rPr>
                <w:rFonts w:ascii="Arial" w:cs="Arial" w:eastAsia="Arial" w:hAnsi="Arial"/>
                <w:sz w:val="18"/>
                <w:szCs w:val="18"/>
                <w:color w:val="auto"/>
              </w:rPr>
              <w:t>restricted share awards</w:t>
            </w:r>
          </w:p>
        </w:tc>
        <w:tc>
          <w:tcPr>
            <w:tcW w:w="1400" w:type="dxa"/>
            <w:vAlign w:val="bottom"/>
            <w:gridSpan w:val="2"/>
            <w:shd w:val="clear" w:color="auto" w:fill="DCEBF4"/>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exercise of options, net of transaction costs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DCEBF4"/>
              <w:bottom w:val="single" w:sz="8" w:color="DCEBF4"/>
            </w:tcBorders>
            <w:gridSpan w:val="3"/>
            <w:shd w:val="clear" w:color="auto" w:fill="DCEBF4"/>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280" w:type="dxa"/>
            <w:vAlign w:val="bottom"/>
            <w:tcBorders>
              <w:top w:val="single" w:sz="8" w:color="auto"/>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1,436</w:t>
            </w:r>
          </w:p>
        </w:tc>
        <w:tc>
          <w:tcPr>
            <w:tcW w:w="120" w:type="dxa"/>
            <w:vAlign w:val="bottom"/>
            <w:tcBorders>
              <w:top w:val="single" w:sz="8" w:color="DCEBF4"/>
              <w:bottom w:val="single" w:sz="8" w:color="DCEBF4"/>
            </w:tcBorders>
            <w:shd w:val="clear" w:color="auto" w:fill="DCEBF4"/>
          </w:tcPr>
          <w:p>
            <w:pPr>
              <w:spacing w:after="0"/>
              <w:rPr>
                <w:sz w:val="19"/>
                <w:szCs w:val="19"/>
                <w:color w:val="auto"/>
              </w:rPr>
            </w:pPr>
          </w:p>
        </w:tc>
        <w:tc>
          <w:tcPr>
            <w:tcW w:w="1240" w:type="dxa"/>
            <w:vAlign w:val="bottom"/>
            <w:tcBorders>
              <w:top w:val="single" w:sz="8" w:color="auto"/>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346,479</w:t>
            </w:r>
          </w:p>
        </w:tc>
        <w:tc>
          <w:tcPr>
            <w:tcW w:w="100" w:type="dxa"/>
            <w:vAlign w:val="bottom"/>
            <w:tcBorders>
              <w:top w:val="single" w:sz="8" w:color="DCEBF4"/>
              <w:bottom w:val="single" w:sz="8" w:color="DCEBF4"/>
            </w:tcBorders>
            <w:shd w:val="clear" w:color="auto" w:fill="DCEBF4"/>
          </w:tcPr>
          <w:p>
            <w:pPr>
              <w:spacing w:after="0"/>
              <w:rPr>
                <w:sz w:val="19"/>
                <w:szCs w:val="19"/>
                <w:color w:val="auto"/>
              </w:rPr>
            </w:pPr>
          </w:p>
        </w:tc>
        <w:tc>
          <w:tcPr>
            <w:tcW w:w="12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(55,532)</w:t>
            </w:r>
          </w:p>
        </w:tc>
        <w:tc>
          <w:tcPr>
            <w:tcW w:w="120" w:type="dxa"/>
            <w:vAlign w:val="bottom"/>
            <w:tcBorders>
              <w:top w:val="single" w:sz="8" w:color="DCEBF4"/>
              <w:bottom w:val="single" w:sz="8" w:color="DCEBF4"/>
            </w:tcBorders>
            <w:shd w:val="clear" w:color="auto" w:fill="DCEBF4"/>
          </w:tcPr>
          <w:p>
            <w:pPr>
              <w:spacing w:after="0"/>
              <w:rPr>
                <w:sz w:val="19"/>
                <w:szCs w:val="19"/>
                <w:color w:val="auto"/>
              </w:rPr>
            </w:pPr>
          </w:p>
        </w:tc>
        <w:tc>
          <w:tcPr>
            <w:tcW w:w="1240" w:type="dxa"/>
            <w:vAlign w:val="bottom"/>
            <w:tcBorders>
              <w:top w:val="single" w:sz="8" w:color="auto"/>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292,383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3"/>
          </w:tcPr>
          <w:p>
            <w:pPr>
              <w:ind w:left="48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3"/>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b w:val="1"/>
                <w:bCs w:val="1"/>
                <w:color w:val="auto"/>
              </w:rPr>
              <w:t>Notes</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(in CHF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income/(loss) for the period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64,888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Adjustments to reconcile net income/(loss) for the period to net cash flows: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Depreciation of right-of-use assets</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expense, net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Changes in net employee defined benefit liability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Change in fair value of conversion feature</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(4,542)</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Changes in working capital:</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(Increase) in prepaid expenses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Decrease in accrued income</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2,728</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(Increase)/decrease in other current receivables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(Decrease)/increase in accrued expenses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(Decrease)/increase in deferred income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5,437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(Decrease) in trade and other payables</w:t>
            </w:r>
          </w:p>
        </w:tc>
        <w:tc>
          <w:tcPr>
            <w:tcW w:w="920" w:type="dxa"/>
            <w:vAlign w:val="bottom"/>
            <w:shd w:val="clear" w:color="auto" w:fill="DCEBF4"/>
          </w:tcPr>
          <w:p>
            <w:pPr>
              <w:spacing w:after="0"/>
              <w:rPr>
                <w:sz w:val="19"/>
                <w:szCs w:val="19"/>
                <w:color w:val="auto"/>
              </w:rPr>
            </w:pP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67,876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paid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Financial costs</w:t>
            </w:r>
          </w:p>
        </w:tc>
        <w:tc>
          <w:tcPr>
            <w:tcW w:w="920" w:type="dxa"/>
            <w:vAlign w:val="bottom"/>
            <w:shd w:val="clear" w:color="auto" w:fill="DCEBF4"/>
          </w:tcPr>
          <w:p>
            <w:pPr>
              <w:spacing w:after="0"/>
              <w:rPr>
                <w:sz w:val="19"/>
                <w:szCs w:val="19"/>
                <w:color w:val="auto"/>
              </w:rPr>
            </w:pP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67,964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(32,322)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Short-term financial assets</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Rent deposit</w:t>
            </w:r>
          </w:p>
        </w:tc>
        <w:tc>
          <w:tcPr>
            <w:tcW w:w="920" w:type="dxa"/>
            <w:vAlign w:val="bottom"/>
            <w:shd w:val="clear" w:color="auto" w:fill="DCEBF4"/>
          </w:tcPr>
          <w:p>
            <w:pPr>
              <w:spacing w:after="0"/>
              <w:rPr>
                <w:sz w:val="19"/>
                <w:szCs w:val="19"/>
                <w:color w:val="auto"/>
              </w:rPr>
            </w:pPr>
          </w:p>
        </w:tc>
        <w:tc>
          <w:tcPr>
            <w:tcW w:w="120" w:type="dxa"/>
            <w:vAlign w:val="bottom"/>
            <w:shd w:val="clear" w:color="auto" w:fill="DCEBF4"/>
          </w:tcPr>
          <w:p>
            <w:pPr>
              <w:spacing w:after="0"/>
              <w:rPr>
                <w:sz w:val="19"/>
                <w:szCs w:val="19"/>
                <w:color w:val="auto"/>
              </w:rPr>
            </w:pPr>
          </w:p>
        </w:tc>
        <w:tc>
          <w:tcPr>
            <w:tcW w:w="136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(61,307)</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Proceeds from issuance of convertible loan</w:t>
            </w:r>
          </w:p>
        </w:tc>
        <w:tc>
          <w:tcPr>
            <w:tcW w:w="92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50,278</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Principal payments of lease obligations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Proceeds from public offering of common shares, net of underwriting fees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36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111,529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Transaction costs on public offerings of common shares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Proceeds from issuance of common shares – option plan</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Transaction costs on issuance of shares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Proceeds from restricted shares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36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Proceeds from long-term financing obligation</w:t>
            </w:r>
          </w:p>
        </w:tc>
        <w:tc>
          <w:tcPr>
            <w:tcW w:w="920" w:type="dxa"/>
            <w:vAlign w:val="bottom"/>
            <w:tcBorders>
              <w:bottom w:val="single" w:sz="8" w:color="DCEBF4"/>
            </w:tcBorders>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49,624</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109,877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20" w:type="dxa"/>
            <w:vAlign w:val="bottom"/>
            <w:shd w:val="clear" w:color="auto" w:fill="DCEBF4"/>
          </w:tcPr>
          <w:p>
            <w:pPr>
              <w:spacing w:after="0"/>
              <w:rPr>
                <w:sz w:val="19"/>
                <w:szCs w:val="19"/>
                <w:color w:val="auto"/>
              </w:rPr>
            </w:pP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56,281</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75,846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Cash and cash equivalents at January 1</w:t>
            </w:r>
          </w:p>
        </w:tc>
        <w:tc>
          <w:tcPr>
            <w:tcW w:w="92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156,462</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Exchange gain/(loss) on cash and cash equivalents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DCEBF4"/>
          </w:tcPr>
          <w:p>
            <w:pPr>
              <w:spacing w:after="0"/>
              <w:rPr>
                <w:sz w:val="20"/>
                <w:szCs w:val="20"/>
                <w:color w:val="auto"/>
              </w:rPr>
            </w:pPr>
            <w:r>
              <w:rPr>
                <w:rFonts w:ascii="Arial" w:cs="Arial" w:eastAsia="Arial" w:hAnsi="Arial"/>
                <w:sz w:val="18"/>
                <w:szCs w:val="18"/>
                <w:color w:val="auto"/>
              </w:rPr>
              <w:t>Cash and cash equivalents at September 30</w:t>
            </w:r>
          </w:p>
        </w:tc>
        <w:tc>
          <w:tcPr>
            <w:tcW w:w="920" w:type="dxa"/>
            <w:vAlign w:val="bottom"/>
            <w:shd w:val="clear" w:color="auto" w:fill="DCEBF4"/>
          </w:tcPr>
          <w:p>
            <w:pPr>
              <w:spacing w:after="0"/>
              <w:rPr>
                <w:sz w:val="19"/>
                <w:szCs w:val="19"/>
                <w:color w:val="auto"/>
              </w:rPr>
            </w:pP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212,457</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199,122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56,281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settled its convertible loan via equity for CHF 48.3 million, gross of CHF 510 thousand for transaction costs.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AC Immune SA (the “Company,” “AC Immune,” “ACIU,” “we,” “our,” “ours,” or “us”)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These interim condensed financial statements of AC Immune SA as of and for the three and nine months ended September 30, 2019 were authorized for issuance by the Company’s Audit Committee on November 11, 2019.</w:t>
      </w:r>
    </w:p>
    <w:p>
      <w:pPr>
        <w:spacing w:after="0" w:line="166" w:lineRule="exact"/>
        <w:rPr>
          <w:sz w:val="20"/>
          <w:szCs w:val="20"/>
          <w:color w:val="auto"/>
        </w:rPr>
      </w:pPr>
    </w:p>
    <w:p>
      <w:pPr>
        <w:ind w:right="5640" w:firstLine="8"/>
        <w:spacing w:after="0" w:line="503" w:lineRule="auto"/>
        <w:tabs>
          <w:tab w:leader="none" w:pos="3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spacing w:after="0" w:line="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These interim condensed financial statements as of and for the three and nine months ended September 30, 2019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2018,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enters into licensing and collaboration agreements which are within the scope of IFRS 15, under which it licenses certain proprietary rights to its product candidates and intellectual property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commercialized products depending on the Company’s IP. Each of these payments results in license, collaboration and other revenues, which are classified as contract revenue on the statements of income/(loss), except for revenues from royalties on net sales of commercialized products depending on the Company’s IP, which are classified as royalty revenues.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Licenses on intellectual property</w:t>
      </w:r>
      <w:r>
        <w:rPr>
          <w:rFonts w:ascii="Arial" w:cs="Arial" w:eastAsia="Arial" w:hAnsi="Arial"/>
          <w:sz w:val="17"/>
          <w:szCs w:val="17"/>
          <w:color w:val="auto"/>
        </w:rPr>
        <w:t>: 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Milestone payments</w:t>
      </w:r>
      <w:r>
        <w:rPr>
          <w:rFonts w:ascii="Arial" w:cs="Arial" w:eastAsia="Arial" w:hAnsi="Arial"/>
          <w:sz w:val="16"/>
          <w:szCs w:val="16"/>
          <w:color w:val="auto"/>
        </w:rPr>
        <w:t>: 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 w:name="page45"/>
    <w:bookmarkEnd w:id="44"/>
    <w:p>
      <w:pPr>
        <w:ind w:right="140" w:firstLine="324"/>
        <w:spacing w:after="0" w:line="312" w:lineRule="auto"/>
        <w:rPr>
          <w:sz w:val="20"/>
          <w:szCs w:val="20"/>
          <w:color w:val="auto"/>
        </w:rPr>
      </w:pPr>
      <w:r>
        <w:rPr>
          <w:rFonts w:ascii="Arial" w:cs="Arial" w:eastAsia="Arial" w:hAnsi="Arial"/>
          <w:sz w:val="16"/>
          <w:szCs w:val="16"/>
          <w:i w:val="1"/>
          <w:iCs w:val="1"/>
          <w:color w:val="auto"/>
        </w:rPr>
        <w:t>Research and development services</w:t>
      </w:r>
      <w:r>
        <w:rPr>
          <w:rFonts w:ascii="Arial" w:cs="Arial" w:eastAsia="Arial" w:hAnsi="Arial"/>
          <w:sz w:val="16"/>
          <w:szCs w:val="16"/>
          <w:color w:val="auto"/>
        </w:rPr>
        <w:t>: 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7"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i w:val="1"/>
          <w:iCs w:val="1"/>
          <w:color w:val="auto"/>
        </w:rPr>
        <w:t>Sublicense revenues</w:t>
      </w:r>
      <w:r>
        <w:rPr>
          <w:rFonts w:ascii="Arial" w:cs="Arial" w:eastAsia="Arial" w:hAnsi="Arial"/>
          <w:sz w:val="17"/>
          <w:szCs w:val="17"/>
          <w:color w:val="auto"/>
        </w:rPr>
        <w:t>: 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For arrangements that include sales-based royalties, including milestone payments based on the level of sales, and the license is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The Company receives payments and determines credit terms from its licensees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areas where AC Immune has had to make judgments, estimates and assumptions relate to (i) revenue recognition on licensing and collaboration agreements, (ii) clinical development accruals, (iii) net employee defined benefit liability, (iv) income taxes, (v) share-based compensation and (vi) right-of-use assets and lease liabilities. Actual results may differ from these estimates. Estimates and underlying assumptions are reviewed on an ongoing basis. Revisions to accounting estimates are recognized in the period in which the estimates are revised.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2018, except for the adoption of new standards and interpretations effective as of January 1, 2019. The Company has not adopted any other standard, interpretation or amendment that has been issued but is not yet effective.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 – recently adopted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IFRS 16 – Leases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Effective January 1, 2019, the Company adopted IFRS 16 Leases which provides a new model for lessee accounting in which all leases, other than short-term and low-value leases, are accounted for by the recognition on the balance sheet of a right-of-use asset and a lease liability, and the subsequent amortization of the right-of-use asset over the earlier of the end of the useful life or the lease term. The Company applied the modified retrospective approach, which requires the recognition of the cumulative effect of initially applying IFRS 16 as of January 1, 2019 to accumulated losses and not to restate prior years. Since the Company recognized the right-of-use assets at the amount equal to the lease liabilities there was no impact to accumulated losses. For a complete discussion of accounting, see Note 7, “Right-of-use assets and lease liabilities.”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5" w:name="page46"/>
    <w:bookmarkEnd w:id="45"/>
    <w:p>
      <w:pPr>
        <w:ind w:right="20" w:firstLine="324"/>
        <w:spacing w:after="0" w:line="273" w:lineRule="auto"/>
        <w:rPr>
          <w:sz w:val="20"/>
          <w:szCs w:val="20"/>
          <w:color w:val="auto"/>
        </w:rPr>
      </w:pPr>
      <w:r>
        <w:rPr>
          <w:rFonts w:ascii="Arial" w:cs="Arial" w:eastAsia="Arial" w:hAnsi="Arial"/>
          <w:sz w:val="17"/>
          <w:szCs w:val="17"/>
          <w:color w:val="auto"/>
        </w:rPr>
        <w:t xml:space="preserve">The Company has elected to apply the following practical expedients in adopting IFRS 16: (i) not to recognize right-of-use assets and lease liabilities for leases of low value (i.e. approximate fair value of USD 5,000), (ii) to apply a single discount rate to our property leases and to our portfolio of office equipment leases, respectively, (iii) to apply hindsight in determining the lease term for contracts which contain certain options to extend or terminate the lease, (iv) to account for each lease component and any non-lease components as a single lease component and (v) to rely on our assessment of whether leases were onerous by applying IAS 37 </w:t>
      </w:r>
      <w:r>
        <w:rPr>
          <w:rFonts w:ascii="Arial" w:cs="Arial" w:eastAsia="Arial" w:hAnsi="Arial"/>
          <w:sz w:val="17"/>
          <w:szCs w:val="17"/>
          <w:i w:val="1"/>
          <w:iCs w:val="1"/>
          <w:color w:val="auto"/>
        </w:rPr>
        <w:t>Provisions, Contingent Liabilities and Contingent Assets</w:t>
      </w:r>
      <w:r>
        <w:rPr>
          <w:rFonts w:ascii="Arial" w:cs="Arial" w:eastAsia="Arial" w:hAnsi="Arial"/>
          <w:sz w:val="17"/>
          <w:szCs w:val="17"/>
          <w:color w:val="auto"/>
        </w:rPr>
        <w:t xml:space="preserve"> immediately before the date of application. The Company’s weighted average incremental borrowing rate calculated as of January 1, 2019 was 2.54%.</w:t>
      </w:r>
    </w:p>
    <w:p>
      <w:pPr>
        <w:spacing w:after="0" w:line="178"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following table reconciles the Company’s operating lease obligations at December 31, 2018, as previously disclosed in the Company’s consolidated financial statements on Form 20-F, to the lease obligations recognized on initial application of IFRS 16 at January 1,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(in CHF</w:t>
            </w:r>
          </w:p>
        </w:tc>
      </w:tr>
      <w:tr>
        <w:trPr>
          <w:trHeight w:val="234"/>
        </w:trPr>
        <w:tc>
          <w:tcPr>
            <w:tcW w:w="10180" w:type="dxa"/>
            <w:vAlign w:val="bottom"/>
            <w:tcBorders>
              <w:bottom w:val="single" w:sz="8" w:color="DCEBF4"/>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thousands)</w:t>
            </w:r>
          </w:p>
        </w:tc>
      </w:tr>
      <w:tr>
        <w:trPr>
          <w:trHeight w:val="210"/>
        </w:trPr>
        <w:tc>
          <w:tcPr>
            <w:tcW w:w="10180" w:type="dxa"/>
            <w:vAlign w:val="bottom"/>
            <w:shd w:val="clear" w:color="auto" w:fill="DCEBF4"/>
          </w:tcPr>
          <w:p>
            <w:pPr>
              <w:spacing w:after="0"/>
              <w:rPr>
                <w:sz w:val="20"/>
                <w:szCs w:val="20"/>
                <w:color w:val="auto"/>
              </w:rPr>
            </w:pPr>
            <w:r>
              <w:rPr>
                <w:rFonts w:ascii="Arial" w:cs="Arial" w:eastAsia="Arial" w:hAnsi="Arial"/>
                <w:sz w:val="18"/>
                <w:szCs w:val="18"/>
                <w:color w:val="auto"/>
              </w:rPr>
              <w:t>Operating lease commitments at December 31, 2018</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861</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Discounted using the incremental borrowing rate at January 1, 2019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847</w:t>
            </w:r>
          </w:p>
        </w:tc>
      </w:tr>
      <w:tr>
        <w:trPr>
          <w:trHeight w:val="216"/>
        </w:trPr>
        <w:tc>
          <w:tcPr>
            <w:tcW w:w="10180" w:type="dxa"/>
            <w:vAlign w:val="bottom"/>
            <w:shd w:val="clear" w:color="auto" w:fill="DCEBF4"/>
          </w:tcPr>
          <w:p>
            <w:pPr>
              <w:spacing w:after="0"/>
              <w:rPr>
                <w:sz w:val="20"/>
                <w:szCs w:val="20"/>
                <w:color w:val="auto"/>
              </w:rPr>
            </w:pPr>
            <w:r>
              <w:rPr>
                <w:rFonts w:ascii="Arial" w:cs="Arial" w:eastAsia="Arial" w:hAnsi="Arial"/>
                <w:sz w:val="18"/>
                <w:szCs w:val="18"/>
                <w:color w:val="auto"/>
              </w:rPr>
              <w:t>Recognition exemption for short-term leases</w:t>
            </w: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Recognition exemption for leases of low value</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0180" w:type="dxa"/>
            <w:vAlign w:val="bottom"/>
            <w:shd w:val="clear" w:color="auto" w:fill="DCEBF4"/>
          </w:tcPr>
          <w:p>
            <w:pPr>
              <w:spacing w:after="0"/>
              <w:rPr>
                <w:sz w:val="20"/>
                <w:szCs w:val="20"/>
                <w:color w:val="auto"/>
              </w:rPr>
            </w:pPr>
            <w:r>
              <w:rPr>
                <w:rFonts w:ascii="Arial" w:cs="Arial" w:eastAsia="Arial" w:hAnsi="Arial"/>
                <w:sz w:val="18"/>
                <w:szCs w:val="18"/>
                <w:color w:val="auto"/>
              </w:rPr>
              <w:t>Extension options reasonably certain to be exercised</w:t>
            </w: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1,873</w:t>
            </w:r>
          </w:p>
        </w:tc>
      </w:tr>
      <w:tr>
        <w:trPr>
          <w:trHeight w:val="223"/>
        </w:trPr>
        <w:tc>
          <w:tcPr>
            <w:tcW w:w="10180" w:type="dxa"/>
            <w:vAlign w:val="bottom"/>
          </w:tcPr>
          <w:p>
            <w:pPr>
              <w:spacing w:after="0"/>
              <w:rPr>
                <w:sz w:val="20"/>
                <w:szCs w:val="20"/>
                <w:color w:val="auto"/>
              </w:rPr>
            </w:pPr>
            <w:r>
              <w:rPr>
                <w:rFonts w:ascii="Arial" w:cs="Arial" w:eastAsia="Arial" w:hAnsi="Arial"/>
                <w:sz w:val="18"/>
                <w:szCs w:val="18"/>
                <w:b w:val="1"/>
                <w:bCs w:val="1"/>
                <w:color w:val="auto"/>
              </w:rPr>
              <w:t>Lease obligation recognized at January 1, 2019</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2,185</w:t>
            </w:r>
          </w:p>
        </w:tc>
      </w:tr>
      <w:tr>
        <w:trPr>
          <w:trHeight w:val="20"/>
        </w:trPr>
        <w:tc>
          <w:tcPr>
            <w:tcW w:w="10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In accordance with the adoption of IFRS 16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 the Company recorded at initial recognition a non-cash CHF 2.2 million right-of-use asset and corresponding lease liability. Comparative information has not been restated. The Company’s statement of income/(loss) for the three and nine months ended September 30, 2019 was impacted by an increase for depreciation of right-of-use of leased assets CHF 0.1 million and CHF 0.3 million, respectively. The impact for interest expense was less than CHF 0.1 million for both periods, respectively. During the same periods, the Company’s cash flow statement was impacted by a shift from cash generated from operations of CHF 0.3 million to the net cash used in financing activities. Overall, IFRS 16 was cash flow neutral for the Company.</w:t>
      </w:r>
    </w:p>
    <w:p>
      <w:pPr>
        <w:spacing w:after="0" w:line="19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Company made the following changes in presentation: in the balance sheets, additional line items to reflect the right-of-use assets, the non-current and the current lease liabilities and in the statement of cash flows, additional line items related to the depreciation of the right-of-use of leased assets and repayment of the principal portion of the lease payments.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on accounting for leases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At inception of a leasing contract, the Company assesses whether a contract is, or contains, a lease based on whether the contract conveys the right to control the use of an identified asset for a period of time in exchange for consideration.</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Company generally uses the rate implicit in the contract or its incremental borrowing rate. Lease payments generally are fixed for the contract term. The lease liability is measured at amortized cost using the effective interest method. The lease liability is remeasured if there is change in the estimated lease term, a change in future lease payments arising from a change in an index or rate, a change in the Company’s estimate of the amount expected to be payable under a residual value guarantee, or a change in assessment of whether it will exercise a purchase, extension or termination option.</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6" w:name="page47"/>
    <w:bookmarkEnd w:id="46"/>
    <w:tbl>
      <w:tblPr>
        <w:tblLayout w:type="fixed"/>
        <w:tblInd w:w="340" w:type="dxa"/>
        <w:tblCellMar>
          <w:top w:w="0" w:type="dxa"/>
          <w:left w:w="0" w:type="dxa"/>
          <w:bottom w:w="0" w:type="dxa"/>
          <w:right w:w="0" w:type="dxa"/>
        </w:tblCellMar>
      </w:tblP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The estimated lease term by right-of-use asset categories are as follows:</w:t>
            </w:r>
          </w:p>
        </w:tc>
        <w:tc>
          <w:tcPr>
            <w:tcW w:w="2500" w:type="dxa"/>
            <w:vAlign w:val="bottom"/>
          </w:tcPr>
          <w:p>
            <w:pPr>
              <w:spacing w:after="0"/>
              <w:rPr>
                <w:sz w:val="20"/>
                <w:szCs w:val="20"/>
                <w:color w:val="auto"/>
              </w:rPr>
            </w:pPr>
          </w:p>
        </w:tc>
      </w:tr>
      <w:tr>
        <w:trPr>
          <w:trHeight w:val="432"/>
        </w:trPr>
        <w:tc>
          <w:tcPr>
            <w:tcW w:w="6300" w:type="dxa"/>
            <w:vAlign w:val="bottom"/>
            <w:gridSpan w:val="2"/>
          </w:tcPr>
          <w:p>
            <w:pPr>
              <w:ind w:left="1960"/>
              <w:spacing w:after="0"/>
              <w:rPr>
                <w:sz w:val="20"/>
                <w:szCs w:val="20"/>
                <w:color w:val="auto"/>
              </w:rPr>
            </w:pPr>
            <w:r>
              <w:rPr>
                <w:rFonts w:ascii="Arial" w:cs="Arial" w:eastAsia="Arial" w:hAnsi="Arial"/>
                <w:sz w:val="18"/>
                <w:szCs w:val="18"/>
                <w:color w:val="auto"/>
              </w:rPr>
              <w:t>Buildings</w:t>
            </w:r>
          </w:p>
        </w:tc>
        <w:tc>
          <w:tcPr>
            <w:tcW w:w="2500" w:type="dxa"/>
            <w:vAlign w:val="bottom"/>
          </w:tcPr>
          <w:p>
            <w:pPr>
              <w:ind w:left="1140"/>
              <w:spacing w:after="0"/>
              <w:rPr>
                <w:sz w:val="20"/>
                <w:szCs w:val="20"/>
                <w:color w:val="auto"/>
              </w:rPr>
            </w:pPr>
            <w:r>
              <w:rPr>
                <w:rFonts w:ascii="Arial" w:cs="Arial" w:eastAsia="Arial" w:hAnsi="Arial"/>
                <w:sz w:val="18"/>
                <w:szCs w:val="18"/>
                <w:color w:val="auto"/>
              </w:rPr>
              <w:t>5 years</w:t>
            </w:r>
          </w:p>
        </w:tc>
      </w:tr>
      <w:tr>
        <w:trPr>
          <w:trHeight w:val="216"/>
        </w:trPr>
        <w:tc>
          <w:tcPr>
            <w:tcW w:w="1960" w:type="dxa"/>
            <w:vAlign w:val="bottom"/>
          </w:tcPr>
          <w:p>
            <w:pPr>
              <w:spacing w:after="0"/>
              <w:rPr>
                <w:sz w:val="18"/>
                <w:szCs w:val="18"/>
                <w:color w:val="auto"/>
              </w:rPr>
            </w:pPr>
          </w:p>
        </w:tc>
        <w:tc>
          <w:tcPr>
            <w:tcW w:w="4340" w:type="dxa"/>
            <w:vAlign w:val="bottom"/>
            <w:shd w:val="clear" w:color="auto" w:fill="DCEBF4"/>
          </w:tcPr>
          <w:p>
            <w:pPr>
              <w:spacing w:after="0"/>
              <w:rPr>
                <w:sz w:val="20"/>
                <w:szCs w:val="20"/>
                <w:color w:val="auto"/>
              </w:rPr>
            </w:pPr>
            <w:r>
              <w:rPr>
                <w:rFonts w:ascii="Arial" w:cs="Arial" w:eastAsia="Arial" w:hAnsi="Arial"/>
                <w:sz w:val="18"/>
                <w:szCs w:val="18"/>
                <w:color w:val="auto"/>
              </w:rPr>
              <w:t>Office equipment</w:t>
            </w:r>
          </w:p>
        </w:tc>
        <w:tc>
          <w:tcPr>
            <w:tcW w:w="2500" w:type="dxa"/>
            <w:vAlign w:val="bottom"/>
            <w:shd w:val="clear" w:color="auto" w:fill="DCEBF4"/>
          </w:tcPr>
          <w:p>
            <w:pPr>
              <w:ind w:left="114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When the lease liability is remeasured, a corresponding adjustment is made to the carrying amount of the right-of-use asset, or is recorded in profit or loss if the carrying amount of the right-of-use asset has been reduced to zero.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Both the right-of-use-assets and lease liabilities are recognized in the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 not yet adopted</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are no standards that are not yet effective and that would be expected to have a material impact on the entity in the current or future reporting periods and on foreseeable future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Company believes it will be able to meet all of its obligations as they fall due for at least 12 months from September 30, 2019 after considering the Company’s cash position of CHF 212.5 million and short-term financial assets of CHF 90 million as of September 30, 2019. Hence, the unaudited interim condensed financial statements have been prepared on a going concern basis.</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its public offerings, share issuances and revenues from license and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IP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8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AC Immune generated revenues of CHF 33.4 million and CHF 110 million in the three and nine months ended September 30, 2019, an increase of CHF 31.1 million and an increase of CHF 104.2 million over the comparable periods in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r>
      <w:tr>
        <w:trPr>
          <w:trHeight w:val="234"/>
        </w:trPr>
        <w:tc>
          <w:tcPr>
            <w:tcW w:w="8820" w:type="dxa"/>
            <w:vAlign w:val="bottom"/>
          </w:tcPr>
          <w:p>
            <w:pPr>
              <w:spacing w:after="0"/>
              <w:rPr>
                <w:sz w:val="20"/>
                <w:szCs w:val="20"/>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September 30,</w:t>
            </w:r>
          </w:p>
        </w:tc>
      </w:tr>
      <w:tr>
        <w:trPr>
          <w:trHeight w:val="223"/>
        </w:trPr>
        <w:tc>
          <w:tcPr>
            <w:tcW w:w="882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882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16"/>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Eli Lilly</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30,248</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Genentech</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Janssen</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1,052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Life Molecular Imaging</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Biogen</w:t>
            </w:r>
          </w:p>
        </w:tc>
        <w:tc>
          <w:tcPr>
            <w:tcW w:w="136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983</w:t>
            </w:r>
          </w:p>
        </w:tc>
      </w:tr>
      <w:tr>
        <w:trPr>
          <w:trHeight w:val="230"/>
        </w:trPr>
        <w:tc>
          <w:tcPr>
            <w:tcW w:w="882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r>
      <w:tr>
        <w:trPr>
          <w:trHeight w:val="223"/>
        </w:trPr>
        <w:tc>
          <w:tcPr>
            <w:tcW w:w="882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contract revenue</w:t>
            </w: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33,411</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2,305</w:t>
            </w:r>
          </w:p>
        </w:tc>
      </w:tr>
      <w:tr>
        <w:trPr>
          <w:trHeight w:val="20"/>
        </w:trPr>
        <w:tc>
          <w:tcPr>
            <w:tcW w:w="8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Nine Months</w:t>
            </w:r>
          </w:p>
        </w:tc>
      </w:tr>
      <w:tr>
        <w:trPr>
          <w:trHeight w:val="234"/>
        </w:trPr>
        <w:tc>
          <w:tcPr>
            <w:tcW w:w="8820" w:type="dxa"/>
            <w:vAlign w:val="bottom"/>
          </w:tcPr>
          <w:p>
            <w:pPr>
              <w:spacing w:after="0"/>
              <w:rPr>
                <w:sz w:val="20"/>
                <w:szCs w:val="20"/>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September 30,</w:t>
            </w:r>
          </w:p>
        </w:tc>
      </w:tr>
      <w:tr>
        <w:trPr>
          <w:trHeight w:val="223"/>
        </w:trPr>
        <w:tc>
          <w:tcPr>
            <w:tcW w:w="882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882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16"/>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Eli Lilly</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104,548</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Genentech</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Janssen</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1,823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Life Molecular Imaging</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Biogen</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3,133</w:t>
            </w:r>
          </w:p>
        </w:tc>
      </w:tr>
      <w:tr>
        <w:trPr>
          <w:trHeight w:val="230"/>
        </w:trPr>
        <w:tc>
          <w:tcPr>
            <w:tcW w:w="882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835</w:t>
            </w:r>
          </w:p>
        </w:tc>
      </w:tr>
      <w:tr>
        <w:trPr>
          <w:trHeight w:val="223"/>
        </w:trPr>
        <w:tc>
          <w:tcPr>
            <w:tcW w:w="882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contract revenue</w:t>
            </w: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109,964</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5,791</w:t>
            </w:r>
          </w:p>
        </w:tc>
      </w:tr>
      <w:tr>
        <w:trPr>
          <w:trHeight w:val="20"/>
        </w:trPr>
        <w:tc>
          <w:tcPr>
            <w:tcW w:w="8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nine months ended September 30, 2019 and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Balance at the</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Balance at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beginning of the</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reporting</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period</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Additions</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Deductions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w:t>
            </w:r>
          </w:p>
        </w:tc>
        <w:tc>
          <w:tcPr>
            <w:tcW w:w="0" w:type="dxa"/>
            <w:vAlign w:val="bottom"/>
          </w:tcPr>
          <w:p>
            <w:pPr>
              <w:spacing w:after="0"/>
              <w:rPr>
                <w:sz w:val="1"/>
                <w:szCs w:val="1"/>
                <w:color w:val="auto"/>
              </w:rPr>
            </w:pPr>
          </w:p>
        </w:tc>
      </w:tr>
      <w:tr>
        <w:trPr>
          <w:trHeight w:val="228"/>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September 30, 2019:</w:t>
            </w:r>
          </w:p>
        </w:tc>
        <w:tc>
          <w:tcPr>
            <w:tcW w:w="1440" w:type="dxa"/>
            <w:vAlign w:val="bottom"/>
          </w:tcPr>
          <w:p>
            <w:pPr>
              <w:spacing w:after="0"/>
              <w:rPr>
                <w:sz w:val="19"/>
                <w:szCs w:val="19"/>
                <w:color w:val="auto"/>
              </w:rPr>
            </w:pPr>
          </w:p>
        </w:tc>
        <w:tc>
          <w:tcPr>
            <w:tcW w:w="26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(in CHF thousands)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8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CEBF4"/>
          </w:tcPr>
          <w:p>
            <w:pPr>
              <w:spacing w:after="0"/>
              <w:rPr>
                <w:sz w:val="20"/>
                <w:szCs w:val="20"/>
                <w:color w:val="auto"/>
              </w:rPr>
            </w:pPr>
            <w:r>
              <w:rPr>
                <w:rFonts w:ascii="Arial" w:cs="Arial" w:eastAsia="Arial" w:hAnsi="Arial"/>
                <w:sz w:val="18"/>
                <w:szCs w:val="18"/>
                <w:color w:val="auto"/>
              </w:rPr>
              <w:t>Accrued income</w:t>
            </w:r>
          </w:p>
        </w:tc>
        <w:tc>
          <w:tcPr>
            <w:tcW w:w="1440" w:type="dxa"/>
            <w:vAlign w:val="bottom"/>
            <w:shd w:val="clear" w:color="auto" w:fill="DCEBF4"/>
          </w:tcPr>
          <w:p>
            <w:pPr>
              <w:jc w:val="right"/>
              <w:ind w:right="210"/>
              <w:spacing w:after="0"/>
              <w:rPr>
                <w:sz w:val="20"/>
                <w:szCs w:val="20"/>
                <w:color w:val="auto"/>
              </w:rPr>
            </w:pPr>
            <w:r>
              <w:rPr>
                <w:rFonts w:ascii="Arial" w:cs="Arial" w:eastAsia="Arial" w:hAnsi="Arial"/>
                <w:sz w:val="18"/>
                <w:szCs w:val="18"/>
                <w:color w:val="auto"/>
              </w:rPr>
              <w:t>3,667</w:t>
            </w:r>
          </w:p>
        </w:tc>
        <w:tc>
          <w:tcPr>
            <w:tcW w:w="1300" w:type="dxa"/>
            <w:vAlign w:val="bottom"/>
            <w:shd w:val="clear" w:color="auto" w:fill="DCEBF4"/>
          </w:tcPr>
          <w:p>
            <w:pPr>
              <w:jc w:val="right"/>
              <w:ind w:right="110"/>
              <w:spacing w:after="0"/>
              <w:rPr>
                <w:sz w:val="20"/>
                <w:szCs w:val="20"/>
                <w:color w:val="auto"/>
              </w:rPr>
            </w:pPr>
            <w:r>
              <w:rPr>
                <w:rFonts w:ascii="Arial" w:cs="Arial" w:eastAsia="Arial" w:hAnsi="Arial"/>
                <w:sz w:val="18"/>
                <w:szCs w:val="18"/>
                <w:color w:val="auto"/>
              </w:rPr>
              <w:t>2,041</w:t>
            </w:r>
          </w:p>
        </w:tc>
        <w:tc>
          <w:tcPr>
            <w:tcW w:w="132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(4,769)</w:t>
            </w:r>
          </w:p>
        </w:tc>
        <w:tc>
          <w:tcPr>
            <w:tcW w:w="128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income</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351</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7,686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(2,244)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DCEBF4"/>
          </w:tcPr>
          <w:p>
            <w:pPr>
              <w:spacing w:after="0"/>
              <w:rPr>
                <w:sz w:val="18"/>
                <w:szCs w:val="18"/>
                <w:color w:val="auto"/>
              </w:rPr>
            </w:pPr>
          </w:p>
        </w:tc>
        <w:tc>
          <w:tcPr>
            <w:tcW w:w="1440" w:type="dxa"/>
            <w:vAlign w:val="bottom"/>
            <w:shd w:val="clear" w:color="auto" w:fill="DCEBF4"/>
          </w:tcPr>
          <w:p>
            <w:pPr>
              <w:spacing w:after="0"/>
              <w:rPr>
                <w:sz w:val="18"/>
                <w:szCs w:val="18"/>
                <w:color w:val="auto"/>
              </w:rPr>
            </w:pPr>
          </w:p>
        </w:tc>
        <w:tc>
          <w:tcPr>
            <w:tcW w:w="1300" w:type="dxa"/>
            <w:vAlign w:val="bottom"/>
            <w:shd w:val="clear" w:color="auto" w:fill="DCEBF4"/>
          </w:tcPr>
          <w:p>
            <w:pPr>
              <w:spacing w:after="0"/>
              <w:rPr>
                <w:sz w:val="18"/>
                <w:szCs w:val="18"/>
                <w:color w:val="auto"/>
              </w:rPr>
            </w:pPr>
          </w:p>
        </w:tc>
        <w:tc>
          <w:tcPr>
            <w:tcW w:w="1320" w:type="dxa"/>
            <w:vAlign w:val="bottom"/>
            <w:shd w:val="clear" w:color="auto" w:fill="DCEBF4"/>
          </w:tcPr>
          <w:p>
            <w:pPr>
              <w:spacing w:after="0"/>
              <w:rPr>
                <w:sz w:val="18"/>
                <w:szCs w:val="18"/>
                <w:color w:val="auto"/>
              </w:rPr>
            </w:pPr>
          </w:p>
        </w:tc>
        <w:tc>
          <w:tcPr>
            <w:tcW w:w="128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September 30, 2018:</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CEBF4"/>
          </w:tcPr>
          <w:p>
            <w:pPr>
              <w:spacing w:after="0"/>
              <w:rPr>
                <w:sz w:val="20"/>
                <w:szCs w:val="20"/>
                <w:color w:val="auto"/>
              </w:rPr>
            </w:pPr>
            <w:r>
              <w:rPr>
                <w:rFonts w:ascii="Arial" w:cs="Arial" w:eastAsia="Arial" w:hAnsi="Arial"/>
                <w:sz w:val="18"/>
                <w:szCs w:val="18"/>
                <w:color w:val="auto"/>
              </w:rPr>
              <w:t>Accrued income</w:t>
            </w:r>
          </w:p>
        </w:tc>
        <w:tc>
          <w:tcPr>
            <w:tcW w:w="1440" w:type="dxa"/>
            <w:vAlign w:val="bottom"/>
            <w:shd w:val="clear" w:color="auto" w:fill="DCEBF4"/>
          </w:tcPr>
          <w:p>
            <w:pPr>
              <w:jc w:val="right"/>
              <w:ind w:right="210"/>
              <w:spacing w:after="0"/>
              <w:rPr>
                <w:sz w:val="20"/>
                <w:szCs w:val="20"/>
                <w:color w:val="auto"/>
              </w:rPr>
            </w:pPr>
            <w:r>
              <w:rPr>
                <w:rFonts w:ascii="Arial" w:cs="Arial" w:eastAsia="Arial" w:hAnsi="Arial"/>
                <w:sz w:val="18"/>
                <w:szCs w:val="18"/>
                <w:color w:val="auto"/>
              </w:rPr>
              <w:t>2,799</w:t>
            </w:r>
          </w:p>
        </w:tc>
        <w:tc>
          <w:tcPr>
            <w:tcW w:w="1300" w:type="dxa"/>
            <w:vAlign w:val="bottom"/>
            <w:shd w:val="clear" w:color="auto" w:fill="DCEBF4"/>
          </w:tcPr>
          <w:p>
            <w:pPr>
              <w:jc w:val="right"/>
              <w:ind w:right="110"/>
              <w:spacing w:after="0"/>
              <w:rPr>
                <w:sz w:val="20"/>
                <w:szCs w:val="20"/>
                <w:color w:val="auto"/>
              </w:rPr>
            </w:pPr>
            <w:r>
              <w:rPr>
                <w:rFonts w:ascii="Arial" w:cs="Arial" w:eastAsia="Arial" w:hAnsi="Arial"/>
                <w:sz w:val="18"/>
                <w:szCs w:val="18"/>
                <w:color w:val="auto"/>
              </w:rPr>
              <w:t>4,782</w:t>
            </w:r>
          </w:p>
        </w:tc>
        <w:tc>
          <w:tcPr>
            <w:tcW w:w="132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(4,978)</w:t>
            </w:r>
          </w:p>
        </w:tc>
        <w:tc>
          <w:tcPr>
            <w:tcW w:w="128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income</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355</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909</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(1,222)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the three and nine months ended September 30, 2019 and 2018, the Company recognized the following revenues as a result of changes in the contract asset and the contract liability balances in the respective periods:</w:t>
      </w:r>
    </w:p>
    <w:p>
      <w:pPr>
        <w:sectPr>
          <w:pgSz w:w="11900" w:h="16838" w:orient="portrait"/>
          <w:cols w:equalWidth="0" w:num="1">
            <w:col w:w="11420"/>
          </w:cols>
          <w:pgMar w:left="240" w:top="8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recognized in the period from:</w:t>
      </w:r>
    </w:p>
    <w:p>
      <w:pPr>
        <w:spacing w:after="0" w:line="27" w:lineRule="exact"/>
        <w:rPr>
          <w:sz w:val="20"/>
          <w:szCs w:val="20"/>
          <w:color w:val="auto"/>
        </w:rPr>
      </w:pPr>
    </w:p>
    <w:p>
      <w:pPr>
        <w:ind w:right="3360"/>
        <w:spacing w:after="0" w:line="261" w:lineRule="auto"/>
        <w:rPr>
          <w:sz w:val="20"/>
          <w:szCs w:val="20"/>
          <w:color w:val="auto"/>
        </w:rPr>
      </w:pPr>
      <w:r>
        <w:rPr>
          <w:rFonts w:ascii="Arial" w:cs="Arial" w:eastAsia="Arial" w:hAnsi="Arial"/>
          <w:sz w:val="18"/>
          <w:szCs w:val="18"/>
          <w:color w:val="auto"/>
        </w:rPr>
        <w:t>Amounts included in the contract liability at the beginning of the period Performance obligations satisfied in previous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recognized in the period from:</w:t>
      </w:r>
    </w:p>
    <w:p>
      <w:pPr>
        <w:spacing w:after="0" w:line="27" w:lineRule="exact"/>
        <w:rPr>
          <w:sz w:val="20"/>
          <w:szCs w:val="20"/>
          <w:color w:val="auto"/>
        </w:rPr>
      </w:pPr>
    </w:p>
    <w:p>
      <w:pPr>
        <w:ind w:right="3360"/>
        <w:spacing w:after="0" w:line="261" w:lineRule="auto"/>
        <w:rPr>
          <w:sz w:val="20"/>
          <w:szCs w:val="20"/>
          <w:color w:val="auto"/>
        </w:rPr>
      </w:pPr>
      <w:r>
        <w:rPr>
          <w:rFonts w:ascii="Arial" w:cs="Arial" w:eastAsia="Arial" w:hAnsi="Arial"/>
          <w:sz w:val="18"/>
          <w:szCs w:val="18"/>
          <w:color w:val="auto"/>
        </w:rPr>
        <w:t>Amounts included in the contract liability at the beginning of the period Performance obligations satisfied in previous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Tau Morphomer Small Molecule – 2018 license agreement with Eli Lilly and 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5715</wp:posOffset>
            </wp:positionV>
            <wp:extent cx="1655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tabs>
          <w:tab w:leader="none" w:pos="13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-130810</wp:posOffset>
            </wp:positionV>
            <wp:extent cx="1655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4" w:lineRule="exact"/>
        <w:rPr>
          <w:sz w:val="20"/>
          <w:szCs w:val="20"/>
          <w:color w:val="auto"/>
        </w:rPr>
      </w:pPr>
    </w:p>
    <w:p>
      <w:pPr>
        <w:ind w:left="1780" w:hanging="1349"/>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417</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32,206—</w:t>
      </w: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Nine Months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5715</wp:posOffset>
            </wp:positionV>
            <wp:extent cx="1655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tabs>
          <w:tab w:leader="none" w:pos="13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-130810</wp:posOffset>
            </wp:positionV>
            <wp:extent cx="1655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4" w:lineRule="exact"/>
        <w:rPr>
          <w:sz w:val="20"/>
          <w:szCs w:val="20"/>
          <w:color w:val="auto"/>
        </w:rPr>
      </w:pPr>
    </w:p>
    <w:p>
      <w:pPr>
        <w:ind w:left="1640" w:hanging="1209"/>
        <w:spacing w:after="0"/>
        <w:tabs>
          <w:tab w:leader="none" w:pos="1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1,230</w:t>
      </w:r>
    </w:p>
    <w:p>
      <w:pPr>
        <w:spacing w:after="0" w:line="46"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2,206—</w:t>
      </w:r>
    </w:p>
    <w:p>
      <w:pPr>
        <w:spacing w:after="0" w:line="594" w:lineRule="exact"/>
        <w:rPr>
          <w:sz w:val="20"/>
          <w:szCs w:val="20"/>
          <w:color w:val="auto"/>
        </w:rPr>
      </w:pPr>
    </w:p>
    <w:p>
      <w:pPr>
        <w:sectPr>
          <w:pgSz w:w="11900" w:h="16838" w:orient="portrait"/>
          <w:cols w:equalWidth="0" w:num="2">
            <w:col w:w="8540" w:space="720"/>
            <w:col w:w="2160"/>
          </w:cols>
          <w:pgMar w:left="240" w:top="824" w:right="239" w:bottom="1440" w:gutter="0" w:footer="0" w:header="0"/>
          <w:type w:val="continuous"/>
        </w:sectPr>
      </w:pPr>
    </w:p>
    <w:p>
      <w:pPr>
        <w:spacing w:after="0" w:line="4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December 2018, we entered into an exclusive, worldwide licensing agreement with Eli Lilly and Company (“Lilly”) to research and develop Tau Morphomer small molecules for the treatment of Alzheimer’s disease and other neurodegenerative diseases. The agreement became effective on January 23, 2019 when the waiting period under the Hart-Scott-Rodino Antitrust Improvements Act of 1976, as amended, expired. On September 19, 2019, the Company and Lilly entered into an amendment to divide the first discretionary milestone payment under the agreement of CHF 60 million into two installments with the first CHF 30 million paid in Q3 2019 and the second CHF 30 million to be paid on or before March 31, 2020 unless Lilly earlier terminates the agreement.</w:t>
      </w: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type w:val="continuous"/>
        </w:sectPr>
      </w:pPr>
    </w:p>
    <w:bookmarkStart w:id="48" w:name="page49"/>
    <w:bookmarkEnd w:id="48"/>
    <w:p>
      <w:pPr>
        <w:ind w:firstLine="324"/>
        <w:spacing w:after="0" w:line="259"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February 2019. The Company is conducting the development of Tau Morphomer small molecules through the completion of Phase 1, which commenced in the first half of 2019. Lilly will lead and fund further clinical development and will retain global commercialization rights for all indications, including Alzheimer’s disease, Progressive Supranuclear Palsy and other neurodegenerative diseases.</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Per the terms of the agreement, the Company may become eligible to receive additional milestone payments totaling up to approximately CHF 840 million for clinical and regulatory milestones and CHF 900 million upon achievement of certain commercial milestones. In addition to milestones, we will be eligible to receive royalties on sales at a percentage rate ranging from the low-double digits to the mid-teens. The agreement will terminate by the date of expiration of the last royalty term for the last licensed product. However, under the terms of the agreement, Lilly may terminate the agreement at any time after March 31, 2020 by providing three months’ notice to us.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The valuation of each performance obligation involves estimates and assumptions with revenue recognition timing to be determined either by delivery or the provision of services.</w:t>
      </w:r>
    </w:p>
    <w:p>
      <w:pPr>
        <w:spacing w:after="0" w:line="187"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are expected to be delivered over time as the services are performed. For these services, revenue will be recognized over time using the input method, based on costs incurred to perform the services, since the level of costs incurred over time is thought to best reflect the transfer of services to Lilly. The Company determined the value of the research and development activities to be CHF 6.9 million and deferred this balance from the effective date. As of September 30, 2019, the Company has released CHF 1.5 million of deferred income (contract liability) yielding a balance of CHF 5.5 million of which CHF 1.1 million is long-term. The remaining CHF 73.1 million from the upfront payment was allocated to the right-of-use license and recognized on the effective date. Additionally, as recognized in the amendment, the Company earned and received a CHF 30 million milestone payment as of September 30, 2019.</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inception, none of the clinical, regulatory or commercial milestones had been included in the transaction price, as all milestone amounts were fully constrained.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antibody targeting misfolded Abeta. The value of this partnership is potentially greater than USD 340 (CHF 341) million.</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notice is given.</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9" w:name="page50"/>
    <w:bookmarkEnd w:id="49"/>
    <w:p>
      <w:pPr>
        <w:ind w:right="20" w:firstLine="324"/>
        <w:spacing w:after="0" w:line="297" w:lineRule="auto"/>
        <w:rPr>
          <w:sz w:val="20"/>
          <w:szCs w:val="20"/>
          <w:color w:val="auto"/>
        </w:rPr>
      </w:pPr>
      <w:r>
        <w:rPr>
          <w:rFonts w:ascii="Arial" w:cs="Arial" w:eastAsia="Arial" w:hAnsi="Arial"/>
          <w:sz w:val="16"/>
          <w:szCs w:val="16"/>
          <w:color w:val="auto"/>
        </w:rPr>
        <w:t>Genentech commenced a first Phase 3 clinical study in March 2016 for crenezumab (CREAD 1). In March 2017, Genentech started a second Phase 3 clinical trial (CREAD 2). Since 2013, Crenezumab is also studied in a Phase 2 trial in individuals who carry the PSEN1 E280A autosomal-dominant mutation and do not meet the criteria for mild cognitive impairment due to AD or dementia due to AD and are, thus, in a preclinical phase of AD (autosomal dominant AD (ADAD)). In 2019, Genentech initiated a Tau Positron Emission Tomography (PET) substudy to the ongoing Phase 2 trial in ADAD to evaluate the effect of crenezumab on tau burden which may also increase the understanding of disease progression in the preclinical stage of ADAD.</w:t>
      </w:r>
    </w:p>
    <w:p>
      <w:pPr>
        <w:spacing w:after="0" w:line="15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If crenezumab receives regulatory approval, we will be entitled to receive royalties that are tied to annual sales volumes with different royalty rates applicable in the U.S. and Europe. To date, we have received total milestone payments of USD 65 million (CHF 70.1 million) comprised of a USD 25 (CHF 31.6) million up-front payment and USD 40 (CHF 38.2) million for clinical development milestones achieved all in prior to January 1, 2017. Genentech may terminate the agreement at any time by providing three months’ notice to us. In such event all costs incurred are still refundable.</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276)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January 30, 2019, we announced that Roche, the parent of Genentech, is discontinuing the CREAD 1 and CREAD 2 (BN29552 and BN29553) Phase 3 studies of crenezumab in people with prodromal to 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Crenezumab continues to be studied in the Phase 2 preventive trial, which began in 2013, of cognitively healthy individuals in Columbia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nine months ended September 30, 2019 and 2018,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June 2012, we entered into a second agreement with Genentech to research, develop and commercialize our anti-Tau antibodies for use as immunotherapeutics.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two additional indications built on the same anti-Tau antibody program as well as potential anti-Tau diagnostic products.</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0" w:name="page51"/>
    <w:bookmarkEnd w:id="50"/>
    <w:p>
      <w:pPr>
        <w:ind w:right="1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notice is given.</w:t>
      </w:r>
    </w:p>
    <w:p>
      <w:pPr>
        <w:spacing w:after="0" w:line="18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To date, we have received payments totaling CHF 59 million, including a CHF 14 million milestone payment received and recognized in the fourth quarter of 2017 associated with the first patient dosing in a Phase 2 clinical trial for AD with an anti-Tau monoclonal body known as semorinemab, a CHF 14 million milestone payment recognized in the second quarter of 2016 and received in July 2016, associated with the announcement of the commencement of the Phase 1 clinical study of the lead anti-Tau antibody candidate and a CHF 14 million milestone payment received in 2015 in connection with the ED-GO decision. As we met all performance obligations on reaching these milestones, we have recognized revenue in the respective periods. Genentech may terminate the agreement at any time by providing three months’ notice to us.</w:t>
      </w:r>
    </w:p>
    <w:p>
      <w:pPr>
        <w:spacing w:after="0" w:line="17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nine months ended September 30, 2019 and 2018,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July 2017 and January 2019, the Companies entered into the Second and Third Amendments, respectively. These Amendments allow for the alignment of certain payment and activity provisions with the Development Plan and Research Plan activities. We and Janssen will co-develop second generation lead therapeutic vaccines, ACI-35.030 and JACI-35.054, through Phase 1b/2a completion. AC Immune and Janssen will jointly share R&amp;D costs until the completion of the first Phase 2b. From Phase 2b and onwards, Janssen will assume responsibility for the clinical development, manufacturing and commercialization of the second generation vaccines.</w:t>
      </w:r>
    </w:p>
    <w:p>
      <w:pPr>
        <w:spacing w:after="0" w:line="197"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1" w:name="page52"/>
    <w:bookmarkEnd w:id="51"/>
    <w:p>
      <w:pPr>
        <w:jc w:val="both"/>
        <w:ind w:right="220" w:firstLine="324"/>
        <w:spacing w:after="0" w:line="264"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first Phase 1b study. As we met all performance obligations on reaching the milestone, we have recognized this income as revenue.</w:t>
      </w:r>
    </w:p>
    <w:p>
      <w:pPr>
        <w:spacing w:after="0" w:line="18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first Phase 1b study in May 2016. The Company could also receive up to more than CHF 458 million in clinical, regulatory and commercial milestones as well as tiered, low-double digit to mid-teen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9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For the three months ended September 30, 2019 and 2018 we have recognized CHF 0.7 million and CHF 1.1 million, respectively. For the nine months ended September 30, 2019 and 2018 we have recognized CHF 1.4 million and CHF 1.8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–2014 agreement with Life Molecular Imaging (formerly Piramal Imaging SA)</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May 2014, we entered into an agreement, our first diagnostic partnership, with Life Molecular Imaging (“Life Molecular”), the former Piramal Imaging SA. The partnership with Life Molecular is an exclusive, worldwide licensing agreement for the research, development and commercialization of the Company’s Tau protein Positron Emission Tomography (PET) tracers supporting the early diagnosis and clinical management of AD and other Tau-related disorders and includes upfront and sales milestone payments totaling up to EUR 159 (CHF 174.4) million, plus royalties on sales at a percentage rate ranging from mid-single digits to low double digits. If not earlier terminated, the agreement shall continue until the date of expiration of the last to expire royalty term.</w:t>
      </w:r>
    </w:p>
    <w:p>
      <w:pPr>
        <w:spacing w:after="0" w:line="1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connection with this agreement, AC Immune received a EUR 500 (CHF 664) thousand payment which was fully recognized in 2015. In Q1 2017, we recorded a EUR 1 (CHF 1.1) million milestone related to the initiation of “Part B” of the first-in-man Phase 1 study. In Q3 2019, the Company recognized EUR 2 (CHF 2.2) million in connection with the initiation of a Phase 2 Trial of Tau PET Tracer in patients with mild cognitive impairment (MCI) and mild to moderate AD in comparison with non-demented control (NDC) participants. As of September 30, 2019, this amount is recorded within “other current receivables” in our balance sheets. The Company is eligible to receive variable consideration related to the achievement of certain clinical milestones totaling EUR 8 (CHF 8.6) million should the compound make it through Phase 3 clinical studies. We are also eligible to receive potential regulatory and sales based milestones totaling EUR 148 (CHF 161.9) million. The Company is also eligible for royalties from the mid-single digits to low-double digits.</w:t>
      </w:r>
    </w:p>
    <w:p>
      <w:pPr>
        <w:spacing w:after="0" w:line="16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AC Immune assessed this arrangement in accordance with IFRS 15 and concluded that Life Molecular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2" w:name="page53"/>
    <w:bookmarkEnd w:id="52"/>
    <w:p>
      <w:pPr>
        <w:ind w:right="320" w:firstLine="324"/>
        <w:spacing w:after="0" w:line="279"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None of the clinical, regulatory and commercial milestones have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71"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Any consideration related to sales-based milestones (including royalties) will be recognized when the related sales occur as these amounts have been determined to relate predominantly to the license granted to Life Molecular and therefore are recognized at the later of when the performance obligation is satisfied or the related sales occur. The Company considered Life Molecular’s right to sublicense and develop the Tau Protein PET tracers, and the fact that Life Molecular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For the three months ended September 30, 2019 and 2018, the Company has recognized CHF 2.2 million and no revenues from this agreement. For the nine months ended September 30, 2019 and 2018, the Company has recognized CHF 2.2 million and no revenues from this agreement.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in AD – 2016 agreement with Biogen</w:t>
      </w:r>
    </w:p>
    <w:p>
      <w:pPr>
        <w:spacing w:after="0" w:line="225"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On April 13, 2016, we entered into a non-exclusive research collaboration agreement with Biogen International GmbH,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own all intellectual property rights to any invention relating to alpha-synuclein or TDP-43 PET tracers.</w:t>
      </w:r>
    </w:p>
    <w:p>
      <w:pPr>
        <w:spacing w:after="0" w:line="16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the three months ended September 30, 2019 and 2018, the Company has recognized nil and CHF 1.0 million, respectively. For the nine months ended September 30, 2019 and 2018, the Company has recognized CHF 1.1 million and CHF 3.1 million, respectively. This collaboration concluded on April 13, 2019.</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Recombinant protein therapeutic candidate –2017 agreement with Essex Bio-Technology Limited</w:t>
      </w:r>
    </w:p>
    <w:p>
      <w:pPr>
        <w:spacing w:after="0" w:line="225"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or Essex, to develop a recombinant protein therapeutic candidate acting on a unique neuroprotective mechanism for treatment of neurological diseases, such as AD and frontotemporal dementia. Essex will provide joint research commitment as well as financial support to AC Immune for the pre-IND development of the biological agent.</w:t>
      </w:r>
    </w:p>
    <w:p>
      <w:pPr>
        <w:spacing w:after="0" w:line="14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Subject to the terms of this agreement, Essex and the Company have the right to terminate by providing 60 days’ notice to the other Party. Otherwise, the agreement shall remain in force until the later of the (i) completion of the Research and Development program or (ii) five years from the Effective date.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3" w:name="page54"/>
    <w:bookmarkEnd w:id="53"/>
    <w:p>
      <w:pPr>
        <w:ind w:right="280" w:firstLine="324"/>
        <w:spacing w:after="0" w:line="277" w:lineRule="auto"/>
        <w:rPr>
          <w:sz w:val="20"/>
          <w:szCs w:val="20"/>
          <w:color w:val="auto"/>
        </w:rPr>
      </w:pPr>
      <w:r>
        <w:rPr>
          <w:rFonts w:ascii="Arial" w:cs="Arial" w:eastAsia="Arial" w:hAnsi="Arial"/>
          <w:sz w:val="18"/>
          <w:szCs w:val="18"/>
          <w:color w:val="auto"/>
        </w:rPr>
        <w:t>As part of this agreement, the parties have agreed to an initial two-year Research Plan, which intends to develop a basic Fibroblast Growth Factor as a therapeutic for the treatment of neurodegenerative diseases and to generate novel antibody therapeutics.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AC Immune assessed this arrangement in accordance with IFRS 15 and concluded that Essex Bio-Technology is a customer. AC Immune has identified that its performance obligation is for full-time employees to provide research support.</w:t>
      </w:r>
    </w:p>
    <w:p>
      <w:pPr>
        <w:spacing w:after="0" w:line="17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The transaction price consists of the contractual amounts to recognize for the full-time employee charges. For the full-time employee charges, we recorded revenues throughout the period based on the contractual rates over the service period as this best depicts the transfer of control to Essex.</w:t>
      </w:r>
    </w:p>
    <w:p>
      <w:pPr>
        <w:spacing w:after="0" w:line="124"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For the three months ended September 30, 2019 and 2018, the Company has recognized less than CHF 0.1 million and CHF 0.2 million, respectively. For the nine months ended September 30, 2019 and 2018, the Company has recognized CHF 0.4 and CHF 0.6 million, respectively.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continuations from the Michael J. Fox Foundation</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September 16, 2017, we formally signed a grant continuation with the Michael J. Fox Foundation for Parkinson’s disease research (“MJFF”). This grant provides funds for the development of PET tracers for pathological forms of the protein alpha-synuclein, to support the early diagnosis and clinical management of Parkinson’s disease. We have since received two additional grants. The first in November 2018 is to conduct a first-in-human (“FiH”) study in 2019. This grant aims to facilitate the execution of a FiH study for a potential alpha-synuclein PET tracer (“PET tracer”) with the current lead compound. The second in August 2019 is a supplement for the further development of the PET tracer.</w:t>
      </w:r>
    </w:p>
    <w:p>
      <w:pPr>
        <w:spacing w:after="0" w:line="173"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As part of both the November 2018 and August 2019 grants, the MJFF expects that AC Immune will complete tasks according to the agreed timelines. AC Immune’s funding is variable depending on the satisfactory achievement of specific tasks. The Company identified various milestones to achieve and these are outputs of the Company’s standard services to develop its PET tracer. The services themselves over time are considered the performance obligation and not each a distinct performance obligation. Therefore, AC Immune has determined it has one performance obligation in the arrangement: the clinical and regulatory services in support of the development of the alpha-synuclein PET tracer.</w:t>
      </w:r>
    </w:p>
    <w:p>
      <w:pPr>
        <w:spacing w:after="0" w:line="1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transaction price consists of the contractual amount of CHF 0.3 million and CHF 0.6 million for the two grants, respectively which is allocated to the services performed. However, the consideration is variable dependent upon AC Immune’s completion of key milestones. Using the most likely amount method, AC Immune assessed the project funding and likelihood of milestone obtainment. Management estimated a 100% likelihood of completing all milestones under the terms of the grant and no discount of the transaction price is taken. The Company therefore recognizes the revenues associated with these grants as services are performed. Quarterly, the Company estimates its progress and whether to constrain further revenue recognition. There are no constraints assessed as of September 30, 2019.</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the three months ended September 30, 2019 and 2018, the Company has recognized CHF 0.2 million and CHF 0.1 million, respectively. For the nine months ended September 30, 2019 and 2018, the Company has recognized CHF 0.4 million and CHF 0.3 million, respectively. The Company has also recorded CHF 0.3 million as short-term deferred income. The Company may expect to recognize approximately CHF 0.5 million through the end of these grants.</w:t>
      </w:r>
    </w:p>
    <w:p>
      <w:pPr>
        <w:spacing w:after="0" w:line="18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Company and Lilly entered into a convertible note agreement effective January 23, 2019 for USD 50.0 (CHF 50.3) million. On April 25,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4" w:name="page55"/>
    <w:bookmarkEnd w:id="54"/>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income/(loss) per share (EPS):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ind w:right="3640"/>
        <w:spacing w:after="0" w:line="250" w:lineRule="auto"/>
        <w:rPr>
          <w:sz w:val="20"/>
          <w:szCs w:val="20"/>
          <w:color w:val="auto"/>
        </w:rPr>
      </w:pPr>
      <w:r>
        <w:rPr>
          <w:rFonts w:ascii="Arial" w:cs="Arial" w:eastAsia="Arial" w:hAnsi="Arial"/>
          <w:sz w:val="18"/>
          <w:szCs w:val="18"/>
          <w:color w:val="auto"/>
        </w:rPr>
        <w:t xml:space="preserve">Net income/(loss) attributable to equity holders of the Company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520"/>
        <w:spacing w:after="0" w:line="341" w:lineRule="auto"/>
        <w:rPr>
          <w:sz w:val="20"/>
          <w:szCs w:val="20"/>
          <w:color w:val="auto"/>
        </w:rPr>
      </w:pPr>
      <w:r>
        <w:rPr>
          <w:rFonts w:ascii="Arial" w:cs="Arial" w:eastAsia="Arial" w:hAnsi="Arial"/>
          <w:sz w:val="16"/>
          <w:szCs w:val="16"/>
          <w:color w:val="auto"/>
        </w:rPr>
        <w:t>Weighted-average number of shares outstanding to equity holders Basic income/(loss) for the period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income/(loss) per share (EPS):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640"/>
        <w:spacing w:after="0" w:line="250" w:lineRule="auto"/>
        <w:rPr>
          <w:sz w:val="20"/>
          <w:szCs w:val="20"/>
          <w:color w:val="auto"/>
        </w:rPr>
      </w:pPr>
      <w:r>
        <w:rPr>
          <w:rFonts w:ascii="Arial" w:cs="Arial" w:eastAsia="Arial" w:hAnsi="Arial"/>
          <w:sz w:val="18"/>
          <w:szCs w:val="18"/>
          <w:color w:val="auto"/>
        </w:rPr>
        <w:t xml:space="preserve">Net income/(loss) attributable to equity holders of the Company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520"/>
        <w:spacing w:after="0" w:line="285" w:lineRule="auto"/>
        <w:rPr>
          <w:sz w:val="20"/>
          <w:szCs w:val="20"/>
          <w:color w:val="auto"/>
        </w:rPr>
      </w:pPr>
      <w:r>
        <w:rPr>
          <w:rFonts w:ascii="Arial" w:cs="Arial" w:eastAsia="Arial" w:hAnsi="Arial"/>
          <w:sz w:val="17"/>
          <w:szCs w:val="17"/>
          <w:color w:val="auto"/>
        </w:rPr>
        <w:t>Weighted-average number of shares outstanding to equity holders Effect of dilutive securities from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5715</wp:posOffset>
            </wp:positionV>
            <wp:extent cx="16554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280"/>
        <w:spacing w:after="0"/>
        <w:tabs>
          <w:tab w:leader="none" w:pos="16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(in CHF thousands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-116205</wp:posOffset>
            </wp:positionV>
            <wp:extent cx="16554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share and per share data)</w:t>
      </w:r>
    </w:p>
    <w:p>
      <w:pPr>
        <w:spacing w:after="0" w:line="200" w:lineRule="exact"/>
        <w:rPr>
          <w:sz w:val="20"/>
          <w:szCs w:val="20"/>
          <w:color w:val="auto"/>
        </w:rPr>
      </w:pPr>
    </w:p>
    <w:p>
      <w:pPr>
        <w:spacing w:after="0" w:line="227" w:lineRule="exact"/>
        <w:rPr>
          <w:sz w:val="20"/>
          <w:szCs w:val="20"/>
          <w:color w:val="auto"/>
        </w:rPr>
      </w:pPr>
    </w:p>
    <w:p>
      <w:pPr>
        <w:jc w:val="both"/>
        <w:ind w:left="480"/>
        <w:spacing w:after="0"/>
        <w:tabs>
          <w:tab w:leader="none" w:pos="1760" w:val="left"/>
        </w:tabs>
        <w:rPr>
          <w:sz w:val="20"/>
          <w:szCs w:val="20"/>
          <w:color w:val="auto"/>
        </w:rPr>
      </w:pPr>
      <w:r>
        <w:rPr>
          <w:rFonts w:ascii="Arial" w:cs="Arial" w:eastAsia="Arial" w:hAnsi="Arial"/>
          <w:sz w:val="18"/>
          <w:szCs w:val="18"/>
          <w:color w:val="auto"/>
        </w:rPr>
        <w:t>18,213</w:t>
      </w:r>
      <w:r>
        <w:rPr>
          <w:sz w:val="20"/>
          <w:szCs w:val="20"/>
          <w:color w:val="auto"/>
        </w:rPr>
        <w:tab/>
      </w:r>
      <w:r>
        <w:rPr>
          <w:rFonts w:ascii="Arial" w:cs="Arial" w:eastAsia="Arial" w:hAnsi="Arial"/>
          <w:sz w:val="18"/>
          <w:szCs w:val="18"/>
          <w:color w:val="auto"/>
        </w:rPr>
        <w:t>(13,516)</w:t>
      </w:r>
    </w:p>
    <w:p>
      <w:pPr>
        <w:spacing w:after="0" w:line="239"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17"/>
          <w:szCs w:val="17"/>
          <w:color w:val="auto"/>
        </w:rPr>
        <w:t>71,822,884</w:t>
      </w:r>
      <w:r>
        <w:rPr>
          <w:sz w:val="20"/>
          <w:szCs w:val="20"/>
          <w:color w:val="auto"/>
        </w:rPr>
        <w:tab/>
      </w:r>
      <w:r>
        <w:rPr>
          <w:rFonts w:ascii="Arial" w:cs="Arial" w:eastAsia="Arial" w:hAnsi="Arial"/>
          <w:sz w:val="17"/>
          <w:szCs w:val="17"/>
          <w:color w:val="auto"/>
        </w:rPr>
        <w:t>64,862,822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22225</wp:posOffset>
            </wp:positionV>
            <wp:extent cx="1655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8" w:lineRule="exact"/>
        <w:rPr>
          <w:sz w:val="20"/>
          <w:szCs w:val="20"/>
          <w:color w:val="auto"/>
        </w:rPr>
      </w:pPr>
    </w:p>
    <w:p>
      <w:pPr>
        <w:jc w:val="right"/>
        <w:ind w:right="40"/>
        <w:spacing w:after="0"/>
        <w:tabs>
          <w:tab w:leader="none" w:pos="420" w:val="left"/>
        </w:tabs>
        <w:rPr>
          <w:sz w:val="20"/>
          <w:szCs w:val="20"/>
          <w:color w:val="auto"/>
        </w:rPr>
      </w:pPr>
      <w:r>
        <w:rPr>
          <w:rFonts w:ascii="Arial" w:cs="Arial" w:eastAsia="Arial" w:hAnsi="Arial"/>
          <w:sz w:val="18"/>
          <w:szCs w:val="18"/>
          <w:color w:val="auto"/>
        </w:rPr>
        <w:t>0.25</w:t>
      </w:r>
      <w:r>
        <w:rPr>
          <w:sz w:val="20"/>
          <w:szCs w:val="20"/>
          <w:color w:val="auto"/>
        </w:rPr>
        <w:tab/>
      </w:r>
      <w:r>
        <w:rPr>
          <w:rFonts w:ascii="Arial" w:cs="Arial" w:eastAsia="Arial" w:hAnsi="Arial"/>
          <w:sz w:val="16"/>
          <w:szCs w:val="16"/>
          <w:color w:val="auto"/>
        </w:rPr>
        <w:t>(0.21)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14605</wp:posOffset>
            </wp:positionV>
            <wp:extent cx="16554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80"/>
        <w:spacing w:after="0"/>
        <w:tabs>
          <w:tab w:leader="none" w:pos="1760" w:val="left"/>
        </w:tabs>
        <w:rPr>
          <w:sz w:val="20"/>
          <w:szCs w:val="20"/>
          <w:color w:val="auto"/>
        </w:rPr>
      </w:pPr>
      <w:r>
        <w:rPr>
          <w:rFonts w:ascii="Arial" w:cs="Arial" w:eastAsia="Arial" w:hAnsi="Arial"/>
          <w:sz w:val="18"/>
          <w:szCs w:val="18"/>
          <w:color w:val="auto"/>
        </w:rPr>
        <w:t>18,213</w:t>
      </w:r>
      <w:r>
        <w:rPr>
          <w:sz w:val="20"/>
          <w:szCs w:val="20"/>
          <w:color w:val="auto"/>
        </w:rPr>
        <w:tab/>
      </w:r>
      <w:r>
        <w:rPr>
          <w:rFonts w:ascii="Arial" w:cs="Arial" w:eastAsia="Arial" w:hAnsi="Arial"/>
          <w:sz w:val="18"/>
          <w:szCs w:val="18"/>
          <w:color w:val="auto"/>
        </w:rPr>
        <w:t>(13,516)</w:t>
      </w:r>
    </w:p>
    <w:p>
      <w:pPr>
        <w:spacing w:after="0" w:line="225"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17"/>
          <w:szCs w:val="17"/>
          <w:color w:val="auto"/>
        </w:rPr>
        <w:t>71,822,884</w:t>
      </w:r>
      <w:r>
        <w:rPr>
          <w:sz w:val="20"/>
          <w:szCs w:val="20"/>
          <w:color w:val="auto"/>
        </w:rPr>
        <w:tab/>
      </w:r>
      <w:r>
        <w:rPr>
          <w:rFonts w:ascii="Arial" w:cs="Arial" w:eastAsia="Arial" w:hAnsi="Arial"/>
          <w:sz w:val="17"/>
          <w:szCs w:val="17"/>
          <w:color w:val="auto"/>
        </w:rPr>
        <w:t>64,862,822</w:t>
      </w:r>
    </w:p>
    <w:p>
      <w:pPr>
        <w:spacing w:after="0" w:line="35" w:lineRule="exact"/>
        <w:rPr>
          <w:sz w:val="20"/>
          <w:szCs w:val="20"/>
          <w:color w:val="auto"/>
        </w:rPr>
      </w:pPr>
    </w:p>
    <w:p>
      <w:pPr>
        <w:ind w:left="400"/>
        <w:spacing w:after="0"/>
        <w:tabs>
          <w:tab w:leader="none" w:pos="2140" w:val="left"/>
        </w:tabs>
        <w:rPr>
          <w:sz w:val="20"/>
          <w:szCs w:val="20"/>
          <w:color w:val="auto"/>
        </w:rPr>
      </w:pPr>
      <w:r>
        <w:rPr>
          <w:rFonts w:ascii="Arial" w:cs="Arial" w:eastAsia="Arial" w:hAnsi="Arial"/>
          <w:sz w:val="18"/>
          <w:szCs w:val="18"/>
          <w:color w:val="auto"/>
        </w:rPr>
        <w:t>458,380</w:t>
      </w:r>
      <w:r>
        <w:rPr>
          <w:sz w:val="20"/>
          <w:szCs w:val="20"/>
          <w:color w:val="auto"/>
        </w:rPr>
        <w:tab/>
      </w:r>
      <w:r>
        <w:rPr>
          <w:rFonts w:ascii="Arial" w:cs="Arial" w:eastAsia="Arial" w:hAnsi="Arial"/>
          <w:sz w:val="18"/>
          <w:szCs w:val="18"/>
          <w:color w:val="auto"/>
        </w:rPr>
        <w:t>—</w:t>
      </w:r>
    </w:p>
    <w:p>
      <w:pPr>
        <w:spacing w:after="0" w:line="42" w:lineRule="exact"/>
        <w:rPr>
          <w:sz w:val="20"/>
          <w:szCs w:val="20"/>
          <w:color w:val="auto"/>
        </w:rPr>
      </w:pPr>
    </w:p>
    <w:p>
      <w:pPr>
        <w:sectPr>
          <w:pgSz w:w="11900" w:h="16838" w:orient="portrait"/>
          <w:cols w:equalWidth="0" w:num="2">
            <w:col w:w="8260" w:space="720"/>
            <w:col w:w="2440"/>
          </w:cols>
          <w:pgMar w:left="240" w:top="796" w:right="239" w:bottom="1440" w:gutter="0" w:footer="0" w:header="0"/>
        </w:sectPr>
      </w:pPr>
    </w:p>
    <w:tbl>
      <w:tblPr>
        <w:tblLayout w:type="fixed"/>
        <w:tblInd w:w="0" w:type="dxa"/>
        <w:tblCellMar>
          <w:top w:w="0" w:type="dxa"/>
          <w:left w:w="0" w:type="dxa"/>
          <w:bottom w:w="0" w:type="dxa"/>
          <w:right w:w="0" w:type="dxa"/>
        </w:tblCellMar>
      </w:tblPr>
      <w:tr>
        <w:trPr>
          <w:trHeight w:val="245"/>
        </w:trPr>
        <w:tc>
          <w:tcPr>
            <w:tcW w:w="8820" w:type="dxa"/>
            <w:vAlign w:val="bottom"/>
            <w:tcBorders>
              <w:bottom w:val="single" w:sz="8" w:color="DCEBF4"/>
            </w:tcBorders>
          </w:tcPr>
          <w:p>
            <w:pPr>
              <w:spacing w:after="0" w:line="205" w:lineRule="exact"/>
              <w:rPr>
                <w:sz w:val="20"/>
                <w:szCs w:val="20"/>
                <w:color w:val="auto"/>
              </w:rPr>
            </w:pPr>
            <w:r>
              <w:rPr>
                <w:rFonts w:ascii="Arial" w:cs="Arial" w:eastAsia="Arial" w:hAnsi="Arial"/>
                <w:sz w:val="18"/>
                <w:szCs w:val="18"/>
                <w:color w:val="auto"/>
              </w:rPr>
              <w:t>Weighted-average number of shares outstanding – diluted to equity holders</w:t>
            </w:r>
          </w:p>
        </w:tc>
        <w:tc>
          <w:tcPr>
            <w:tcW w:w="1240" w:type="dxa"/>
            <w:vAlign w:val="bottom"/>
            <w:tcBorders>
              <w:top w:val="single" w:sz="8" w:color="auto"/>
              <w:bottom w:val="single" w:sz="8" w:color="auto"/>
            </w:tcBorders>
          </w:tcPr>
          <w:p>
            <w:pPr>
              <w:jc w:val="right"/>
              <w:ind w:right="10"/>
              <w:spacing w:after="0" w:line="205" w:lineRule="exact"/>
              <w:rPr>
                <w:sz w:val="20"/>
                <w:szCs w:val="20"/>
                <w:color w:val="auto"/>
              </w:rPr>
            </w:pPr>
            <w:r>
              <w:rPr>
                <w:rFonts w:ascii="Arial" w:cs="Arial" w:eastAsia="Arial" w:hAnsi="Arial"/>
                <w:sz w:val="18"/>
                <w:szCs w:val="18"/>
                <w:color w:val="auto"/>
              </w:rPr>
              <w:t>72,281,264</w:t>
            </w:r>
          </w:p>
        </w:tc>
        <w:tc>
          <w:tcPr>
            <w:tcW w:w="120" w:type="dxa"/>
            <w:vAlign w:val="bottom"/>
            <w:tcBorders>
              <w:bottom w:val="single" w:sz="8" w:color="DCEBF4"/>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line="205" w:lineRule="exact"/>
              <w:rPr>
                <w:sz w:val="20"/>
                <w:szCs w:val="20"/>
                <w:color w:val="auto"/>
              </w:rPr>
            </w:pPr>
            <w:r>
              <w:rPr>
                <w:rFonts w:ascii="Arial" w:cs="Arial" w:eastAsia="Arial" w:hAnsi="Arial"/>
                <w:sz w:val="18"/>
                <w:szCs w:val="18"/>
                <w:color w:val="auto"/>
              </w:rPr>
              <w:t>64,862,822</w:t>
            </w:r>
          </w:p>
        </w:tc>
      </w:tr>
      <w:tr>
        <w:trPr>
          <w:trHeight w:val="197"/>
        </w:trPr>
        <w:tc>
          <w:tcPr>
            <w:tcW w:w="8820" w:type="dxa"/>
            <w:vAlign w:val="bottom"/>
            <w:shd w:val="clear" w:color="auto" w:fill="DCEBF4"/>
          </w:tcPr>
          <w:p>
            <w:pPr>
              <w:spacing w:after="0" w:line="196" w:lineRule="exact"/>
              <w:rPr>
                <w:sz w:val="20"/>
                <w:szCs w:val="20"/>
                <w:color w:val="auto"/>
              </w:rPr>
            </w:pPr>
            <w:r>
              <w:rPr>
                <w:rFonts w:ascii="Arial" w:cs="Arial" w:eastAsia="Arial" w:hAnsi="Arial"/>
                <w:sz w:val="18"/>
                <w:szCs w:val="18"/>
                <w:color w:val="auto"/>
              </w:rPr>
              <w:t>Diluted income/(loss) for the period attributable to equity holders</w:t>
            </w:r>
          </w:p>
        </w:tc>
        <w:tc>
          <w:tcPr>
            <w:tcW w:w="1240" w:type="dxa"/>
            <w:vAlign w:val="bottom"/>
            <w:shd w:val="clear" w:color="auto" w:fill="DCEBF4"/>
          </w:tcPr>
          <w:p>
            <w:pPr>
              <w:jc w:val="right"/>
              <w:ind w:right="10"/>
              <w:spacing w:after="0" w:line="196" w:lineRule="exact"/>
              <w:rPr>
                <w:sz w:val="20"/>
                <w:szCs w:val="20"/>
                <w:color w:val="auto"/>
              </w:rPr>
            </w:pPr>
            <w:r>
              <w:rPr>
                <w:rFonts w:ascii="Arial" w:cs="Arial" w:eastAsia="Arial" w:hAnsi="Arial"/>
                <w:sz w:val="18"/>
                <w:szCs w:val="18"/>
                <w:color w:val="auto"/>
              </w:rPr>
              <w:t>0.25</w:t>
            </w:r>
          </w:p>
        </w:tc>
        <w:tc>
          <w:tcPr>
            <w:tcW w:w="120" w:type="dxa"/>
            <w:vAlign w:val="bottom"/>
            <w:shd w:val="clear" w:color="auto" w:fill="DCEBF4"/>
          </w:tcPr>
          <w:p>
            <w:pPr>
              <w:spacing w:after="0"/>
              <w:rPr>
                <w:sz w:val="17"/>
                <w:szCs w:val="17"/>
                <w:color w:val="auto"/>
              </w:rPr>
            </w:pPr>
          </w:p>
        </w:tc>
        <w:tc>
          <w:tcPr>
            <w:tcW w:w="1240" w:type="dxa"/>
            <w:vAlign w:val="bottom"/>
            <w:shd w:val="clear" w:color="auto" w:fill="DCEBF4"/>
          </w:tcPr>
          <w:p>
            <w:pPr>
              <w:jc w:val="right"/>
              <w:spacing w:after="0" w:line="196" w:lineRule="exact"/>
              <w:rPr>
                <w:sz w:val="20"/>
                <w:szCs w:val="20"/>
                <w:color w:val="auto"/>
              </w:rPr>
            </w:pPr>
            <w:r>
              <w:rPr>
                <w:rFonts w:ascii="Arial" w:cs="Arial" w:eastAsia="Arial" w:hAnsi="Arial"/>
                <w:sz w:val="18"/>
                <w:szCs w:val="18"/>
                <w:color w:val="auto"/>
              </w:rPr>
              <w:t>(0.21)</w:t>
            </w:r>
          </w:p>
        </w:tc>
      </w:tr>
    </w:tbl>
    <w:p>
      <w:pPr>
        <w:spacing w:after="0" w:line="200" w:lineRule="exact"/>
        <w:rPr>
          <w:sz w:val="20"/>
          <w:szCs w:val="20"/>
          <w:color w:val="auto"/>
        </w:rPr>
      </w:pPr>
    </w:p>
    <w:p>
      <w:pPr>
        <w:spacing w:after="0" w:line="268"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auto"/>
        </w:rPr>
        <w:t>For the Nine Months</w:t>
      </w:r>
    </w:p>
    <w:p>
      <w:pPr>
        <w:spacing w:after="0" w:line="27"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655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9260"/>
        <w:spacing w:after="0"/>
        <w:tabs>
          <w:tab w:leader="none" w:pos="106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(in CHF thousands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-130810</wp:posOffset>
            </wp:positionV>
            <wp:extent cx="16554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share and per share data)</w:t>
      </w:r>
    </w:p>
    <w:p>
      <w:pPr>
        <w:sectPr>
          <w:pgSz w:w="11900" w:h="16838" w:orient="portrait"/>
          <w:cols w:equalWidth="0" w:num="1">
            <w:col w:w="11420"/>
          </w:cols>
          <w:pgMar w:left="240" w:top="796"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income/(loss) per share (EPS):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ind w:right="3820"/>
        <w:spacing w:after="0" w:line="250" w:lineRule="auto"/>
        <w:rPr>
          <w:sz w:val="20"/>
          <w:szCs w:val="20"/>
          <w:color w:val="auto"/>
        </w:rPr>
      </w:pPr>
      <w:r>
        <w:rPr>
          <w:rFonts w:ascii="Arial" w:cs="Arial" w:eastAsia="Arial" w:hAnsi="Arial"/>
          <w:sz w:val="18"/>
          <w:szCs w:val="18"/>
          <w:color w:val="auto"/>
        </w:rPr>
        <w:t xml:space="preserve">Net income/(loss) attributable to equity holders of the Company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700"/>
        <w:spacing w:after="0" w:line="321" w:lineRule="auto"/>
        <w:rPr>
          <w:sz w:val="20"/>
          <w:szCs w:val="20"/>
          <w:color w:val="auto"/>
        </w:rPr>
      </w:pPr>
      <w:r>
        <w:rPr>
          <w:rFonts w:ascii="Arial" w:cs="Arial" w:eastAsia="Arial" w:hAnsi="Arial"/>
          <w:sz w:val="16"/>
          <w:szCs w:val="16"/>
          <w:color w:val="auto"/>
        </w:rPr>
        <w:t>Weighted-average number of shares outstanding to equity holders Basic income/(loss) for the period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64,888</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70,184,257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36830</wp:posOffset>
            </wp:positionV>
            <wp:extent cx="7975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(36,274)</w:t>
      </w:r>
    </w:p>
    <w:p>
      <w:pPr>
        <w:spacing w:after="0" w:line="23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59,912,283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29210</wp:posOffset>
            </wp:positionV>
            <wp:extent cx="7886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(0.61)</w:t>
      </w:r>
    </w:p>
    <w:p>
      <w:pPr>
        <w:spacing w:after="0" w:line="43" w:lineRule="exact"/>
        <w:rPr>
          <w:sz w:val="20"/>
          <w:szCs w:val="20"/>
          <w:color w:val="auto"/>
        </w:rPr>
      </w:pPr>
    </w:p>
    <w:p>
      <w:pPr>
        <w:sectPr>
          <w:pgSz w:w="11900" w:h="16838" w:orient="portrait"/>
          <w:cols w:equalWidth="0" w:num="3">
            <w:col w:w="8440" w:space="720"/>
            <w:col w:w="800" w:space="540"/>
            <w:col w:w="92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8820" w:type="dxa"/>
            <w:vAlign w:val="bottom"/>
            <w:tcBorders>
              <w:top w:val="single" w:sz="8" w:color="DCEBF4"/>
            </w:tcBorders>
            <w:shd w:val="clear" w:color="auto" w:fill="DCEBF4"/>
          </w:tcPr>
          <w:p>
            <w:pPr>
              <w:spacing w:after="0"/>
              <w:rPr>
                <w:sz w:val="18"/>
                <w:szCs w:val="18"/>
                <w:color w:val="auto"/>
              </w:rPr>
            </w:pPr>
          </w:p>
        </w:tc>
        <w:tc>
          <w:tcPr>
            <w:tcW w:w="1240" w:type="dxa"/>
            <w:vAlign w:val="bottom"/>
            <w:tcBorders>
              <w:top w:val="single" w:sz="8" w:color="auto"/>
            </w:tcBorders>
            <w:shd w:val="clear" w:color="auto" w:fill="DCEBF4"/>
          </w:tcPr>
          <w:p>
            <w:pPr>
              <w:spacing w:after="0"/>
              <w:rPr>
                <w:sz w:val="18"/>
                <w:szCs w:val="18"/>
                <w:color w:val="auto"/>
              </w:rPr>
            </w:pPr>
          </w:p>
        </w:tc>
        <w:tc>
          <w:tcPr>
            <w:tcW w:w="120" w:type="dxa"/>
            <w:vAlign w:val="bottom"/>
            <w:tcBorders>
              <w:top w:val="single" w:sz="8" w:color="DCEBF4"/>
            </w:tcBorders>
            <w:shd w:val="clear" w:color="auto" w:fill="DCEBF4"/>
          </w:tcPr>
          <w:p>
            <w:pPr>
              <w:spacing w:after="0"/>
              <w:rPr>
                <w:sz w:val="18"/>
                <w:szCs w:val="18"/>
                <w:color w:val="auto"/>
              </w:rPr>
            </w:pPr>
          </w:p>
        </w:tc>
        <w:tc>
          <w:tcPr>
            <w:tcW w:w="1240" w:type="dxa"/>
            <w:vAlign w:val="bottom"/>
            <w:tcBorders>
              <w:top w:val="single" w:sz="8" w:color="auto"/>
            </w:tcBorders>
            <w:shd w:val="clear" w:color="auto" w:fill="DCEBF4"/>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Diluted income/(loss) per share (EPS):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82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Numerator:</w:t>
            </w: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64,888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(36,274)</w:t>
            </w:r>
          </w:p>
        </w:tc>
      </w:tr>
      <w:tr>
        <w:trPr>
          <w:trHeight w:val="216"/>
        </w:trPr>
        <w:tc>
          <w:tcPr>
            <w:tcW w:w="882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Denominator:</w:t>
            </w: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Weighted-average number of shares outstanding to equity holders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70,184,257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59,912,283</w:t>
            </w:r>
          </w:p>
        </w:tc>
      </w:tr>
      <w:tr>
        <w:trPr>
          <w:trHeight w:val="230"/>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Effect of dilutive securities from equity incentive plans</w:t>
            </w: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516,433</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82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Weighted-average number of shares outstanding – diluted to equity holders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70,700,690</w:t>
            </w:r>
          </w:p>
        </w:tc>
        <w:tc>
          <w:tcPr>
            <w:tcW w:w="120" w:type="dxa"/>
            <w:vAlign w:val="bottom"/>
            <w:tcBorders>
              <w:bottom w:val="single" w:sz="8" w:color="DCEBF4"/>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59,912,283</w:t>
            </w:r>
          </w:p>
        </w:tc>
      </w:tr>
      <w:tr>
        <w:trPr>
          <w:trHeight w:val="197"/>
        </w:trPr>
        <w:tc>
          <w:tcPr>
            <w:tcW w:w="8820" w:type="dxa"/>
            <w:vAlign w:val="bottom"/>
            <w:shd w:val="clear" w:color="auto" w:fill="DCEBF4"/>
          </w:tcPr>
          <w:p>
            <w:pPr>
              <w:spacing w:after="0" w:line="196" w:lineRule="exact"/>
              <w:rPr>
                <w:sz w:val="20"/>
                <w:szCs w:val="20"/>
                <w:color w:val="auto"/>
              </w:rPr>
            </w:pPr>
            <w:r>
              <w:rPr>
                <w:rFonts w:ascii="Arial" w:cs="Arial" w:eastAsia="Arial" w:hAnsi="Arial"/>
                <w:sz w:val="18"/>
                <w:szCs w:val="18"/>
                <w:color w:val="auto"/>
              </w:rPr>
              <w:t>Diluted income/(loss) for the period attributable to equity holders</w:t>
            </w:r>
          </w:p>
        </w:tc>
        <w:tc>
          <w:tcPr>
            <w:tcW w:w="1240" w:type="dxa"/>
            <w:vAlign w:val="bottom"/>
            <w:shd w:val="clear" w:color="auto" w:fill="DCEBF4"/>
          </w:tcPr>
          <w:p>
            <w:pPr>
              <w:jc w:val="right"/>
              <w:ind w:right="10"/>
              <w:spacing w:after="0" w:line="196" w:lineRule="exact"/>
              <w:rPr>
                <w:sz w:val="20"/>
                <w:szCs w:val="20"/>
                <w:color w:val="auto"/>
              </w:rPr>
            </w:pPr>
            <w:r>
              <w:rPr>
                <w:rFonts w:ascii="Arial" w:cs="Arial" w:eastAsia="Arial" w:hAnsi="Arial"/>
                <w:sz w:val="18"/>
                <w:szCs w:val="18"/>
                <w:color w:val="auto"/>
              </w:rPr>
              <w:t>0.92</w:t>
            </w:r>
          </w:p>
        </w:tc>
        <w:tc>
          <w:tcPr>
            <w:tcW w:w="120" w:type="dxa"/>
            <w:vAlign w:val="bottom"/>
            <w:shd w:val="clear" w:color="auto" w:fill="DCEBF4"/>
          </w:tcPr>
          <w:p>
            <w:pPr>
              <w:spacing w:after="0"/>
              <w:rPr>
                <w:sz w:val="17"/>
                <w:szCs w:val="17"/>
                <w:color w:val="auto"/>
              </w:rPr>
            </w:pPr>
          </w:p>
        </w:tc>
        <w:tc>
          <w:tcPr>
            <w:tcW w:w="1240" w:type="dxa"/>
            <w:vAlign w:val="bottom"/>
            <w:shd w:val="clear" w:color="auto" w:fill="DCEBF4"/>
          </w:tcPr>
          <w:p>
            <w:pPr>
              <w:jc w:val="right"/>
              <w:spacing w:after="0" w:line="196" w:lineRule="exact"/>
              <w:rPr>
                <w:sz w:val="20"/>
                <w:szCs w:val="20"/>
                <w:color w:val="auto"/>
              </w:rPr>
            </w:pPr>
            <w:r>
              <w:rPr>
                <w:rFonts w:ascii="Arial" w:cs="Arial" w:eastAsia="Arial" w:hAnsi="Arial"/>
                <w:sz w:val="18"/>
                <w:szCs w:val="18"/>
                <w:color w:val="auto"/>
              </w:rPr>
              <w:t>(0.61)</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r>
      <w:tr>
        <w:trPr>
          <w:trHeight w:val="234"/>
        </w:trPr>
        <w:tc>
          <w:tcPr>
            <w:tcW w:w="8820" w:type="dxa"/>
            <w:vAlign w:val="bottom"/>
          </w:tcPr>
          <w:p>
            <w:pPr>
              <w:spacing w:after="0"/>
              <w:rPr>
                <w:sz w:val="20"/>
                <w:szCs w:val="20"/>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September 30,</w:t>
            </w:r>
          </w:p>
        </w:tc>
      </w:tr>
      <w:tr>
        <w:trPr>
          <w:trHeight w:val="223"/>
        </w:trPr>
        <w:tc>
          <w:tcPr>
            <w:tcW w:w="88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Share options issued and outstanding</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1,522,923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1,389,796</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138,548</w:t>
            </w:r>
          </w:p>
        </w:tc>
      </w:tr>
      <w:tr>
        <w:trPr>
          <w:trHeight w:val="427"/>
        </w:trPr>
        <w:tc>
          <w:tcPr>
            <w:tcW w:w="8820" w:type="dxa"/>
            <w:vAlign w:val="bottom"/>
          </w:tcPr>
          <w:p>
            <w:pPr>
              <w:spacing w:after="0"/>
              <w:rPr>
                <w:sz w:val="24"/>
                <w:szCs w:val="24"/>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Nine Months</w:t>
            </w:r>
          </w:p>
        </w:tc>
      </w:tr>
      <w:tr>
        <w:trPr>
          <w:trHeight w:val="234"/>
        </w:trPr>
        <w:tc>
          <w:tcPr>
            <w:tcW w:w="8820" w:type="dxa"/>
            <w:vAlign w:val="bottom"/>
          </w:tcPr>
          <w:p>
            <w:pPr>
              <w:spacing w:after="0"/>
              <w:rPr>
                <w:sz w:val="20"/>
                <w:szCs w:val="20"/>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September 30,</w:t>
            </w:r>
          </w:p>
        </w:tc>
      </w:tr>
      <w:tr>
        <w:trPr>
          <w:trHeight w:val="223"/>
        </w:trPr>
        <w:tc>
          <w:tcPr>
            <w:tcW w:w="88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Share options issued and outstanding</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1,023,279</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1,335,402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123,096</w:t>
            </w:r>
          </w:p>
        </w:tc>
      </w:tr>
      <w:tr>
        <w:trPr>
          <w:trHeight w:val="216"/>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Convertible shares</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1,218,352</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r>
    </w:tbl>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88"/>
              </w:rPr>
              <w:t>As of September 30, 2019</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Leasehold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Furniture</w:t>
            </w: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Computers /IT</w:t>
            </w: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Lab Equipment</w:t>
            </w: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Improvements</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91"/>
              </w:rPr>
              <w:t>(in CHF thousands)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Acquisition cost:</w:t>
            </w:r>
          </w:p>
        </w:tc>
        <w:tc>
          <w:tcPr>
            <w:tcW w:w="128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6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at the end of the previous year</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CEBF4"/>
          </w:tcPr>
          <w:p>
            <w:pPr>
              <w:spacing w:after="0"/>
              <w:rPr>
                <w:sz w:val="20"/>
                <w:szCs w:val="20"/>
                <w:color w:val="auto"/>
              </w:rPr>
            </w:pPr>
            <w:r>
              <w:rPr>
                <w:rFonts w:ascii="Arial" w:cs="Arial" w:eastAsia="Arial" w:hAnsi="Arial"/>
                <w:sz w:val="18"/>
                <w:szCs w:val="18"/>
                <w:color w:val="auto"/>
              </w:rPr>
              <w:t>Acquisitions</w:t>
            </w:r>
          </w:p>
        </w:tc>
        <w:tc>
          <w:tcPr>
            <w:tcW w:w="128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DCEBF4"/>
          </w:tcPr>
          <w:p>
            <w:pPr>
              <w:spacing w:after="0"/>
              <w:rPr>
                <w:sz w:val="18"/>
                <w:szCs w:val="18"/>
                <w:color w:val="auto"/>
              </w:rPr>
            </w:pP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Disposals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DCEBF4"/>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Balance at end</w:t>
            </w:r>
          </w:p>
        </w:tc>
        <w:tc>
          <w:tcPr>
            <w:tcW w:w="1280" w:type="dxa"/>
            <w:vAlign w:val="bottom"/>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153</w:t>
            </w:r>
          </w:p>
        </w:tc>
        <w:tc>
          <w:tcPr>
            <w:tcW w:w="120" w:type="dxa"/>
            <w:vAlign w:val="bottom"/>
            <w:shd w:val="clear" w:color="auto" w:fill="DCEBF4"/>
          </w:tcPr>
          <w:p>
            <w:pPr>
              <w:spacing w:after="0"/>
              <w:rPr>
                <w:sz w:val="18"/>
                <w:szCs w:val="18"/>
                <w:color w:val="auto"/>
              </w:rPr>
            </w:pP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1,117</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6,222</w:t>
            </w: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7,867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Accumulated depreciation:</w:t>
            </w:r>
          </w:p>
        </w:tc>
        <w:tc>
          <w:tcPr>
            <w:tcW w:w="128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6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at the end of the previous year</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CEBF4"/>
          </w:tcPr>
          <w:p>
            <w:pPr>
              <w:spacing w:after="0"/>
              <w:rPr>
                <w:sz w:val="20"/>
                <w:szCs w:val="20"/>
                <w:color w:val="auto"/>
              </w:rPr>
            </w:pPr>
            <w:r>
              <w:rPr>
                <w:rFonts w:ascii="Arial" w:cs="Arial" w:eastAsia="Arial" w:hAnsi="Arial"/>
                <w:sz w:val="18"/>
                <w:szCs w:val="18"/>
                <w:color w:val="auto"/>
              </w:rPr>
              <w:t>Depreciation expense</w:t>
            </w:r>
          </w:p>
        </w:tc>
        <w:tc>
          <w:tcPr>
            <w:tcW w:w="1280" w:type="dxa"/>
            <w:vAlign w:val="bottom"/>
            <w:shd w:val="clear" w:color="auto" w:fill="DCEBF4"/>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CEBF4"/>
          </w:tcPr>
          <w:p>
            <w:pPr>
              <w:spacing w:after="0"/>
              <w:rPr>
                <w:sz w:val="18"/>
                <w:szCs w:val="18"/>
                <w:color w:val="auto"/>
              </w:rPr>
            </w:pPr>
          </w:p>
        </w:tc>
        <w:tc>
          <w:tcPr>
            <w:tcW w:w="1260" w:type="dxa"/>
            <w:vAlign w:val="bottom"/>
            <w:shd w:val="clear" w:color="auto" w:fill="DCEBF4"/>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Disposals</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DCEBF4"/>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Balance at end</w:t>
            </w:r>
          </w:p>
        </w:tc>
        <w:tc>
          <w:tcPr>
            <w:tcW w:w="1280" w:type="dxa"/>
            <w:vAlign w:val="bottom"/>
            <w:shd w:val="clear" w:color="auto" w:fill="DCEBF4"/>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shd w:val="clear" w:color="auto" w:fill="DCEBF4"/>
          </w:tcPr>
          <w:p>
            <w:pPr>
              <w:spacing w:after="0"/>
              <w:rPr>
                <w:sz w:val="18"/>
                <w:szCs w:val="18"/>
                <w:color w:val="auto"/>
              </w:rPr>
            </w:pPr>
          </w:p>
        </w:tc>
        <w:tc>
          <w:tcPr>
            <w:tcW w:w="1260" w:type="dxa"/>
            <w:vAlign w:val="bottom"/>
            <w:shd w:val="clear" w:color="auto" w:fill="DCEBF4"/>
          </w:tcPr>
          <w:p>
            <w:pPr>
              <w:jc w:val="right"/>
              <w:spacing w:after="0"/>
              <w:rPr>
                <w:sz w:val="20"/>
                <w:szCs w:val="20"/>
                <w:color w:val="auto"/>
              </w:rPr>
            </w:pPr>
            <w:r>
              <w:rPr>
                <w:rFonts w:ascii="Arial" w:cs="Arial" w:eastAsia="Arial" w:hAnsi="Arial"/>
                <w:sz w:val="18"/>
                <w:szCs w:val="18"/>
                <w:b w:val="1"/>
                <w:bCs w:val="1"/>
                <w:color w:val="auto"/>
              </w:rPr>
              <w:t>(546)</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b w:val="1"/>
                <w:bCs w:val="1"/>
                <w:color w:val="auto"/>
              </w:rPr>
              <w:t>(3,367)</w:t>
            </w: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b w:val="1"/>
                <w:bCs w:val="1"/>
                <w:color w:val="auto"/>
              </w:rPr>
              <w:t>(4,165)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Carrying amount:</w:t>
            </w:r>
          </w:p>
        </w:tc>
        <w:tc>
          <w:tcPr>
            <w:tcW w:w="128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6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December 31, 2018</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CEBF4"/>
          </w:tcPr>
          <w:p>
            <w:pPr>
              <w:spacing w:after="0"/>
              <w:rPr>
                <w:sz w:val="20"/>
                <w:szCs w:val="20"/>
                <w:color w:val="auto"/>
              </w:rPr>
            </w:pPr>
            <w:r>
              <w:rPr>
                <w:rFonts w:ascii="Arial" w:cs="Arial" w:eastAsia="Arial" w:hAnsi="Arial"/>
                <w:sz w:val="18"/>
                <w:szCs w:val="18"/>
                <w:color w:val="auto"/>
              </w:rPr>
              <w:t>September 30, 2019</w:t>
            </w:r>
          </w:p>
        </w:tc>
        <w:tc>
          <w:tcPr>
            <w:tcW w:w="128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DCEBF4"/>
          </w:tcPr>
          <w:p>
            <w:pPr>
              <w:spacing w:after="0"/>
              <w:rPr>
                <w:sz w:val="18"/>
                <w:szCs w:val="18"/>
                <w:color w:val="auto"/>
              </w:rPr>
            </w:pP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continues to enhance its laboratory equipment to support its research and development activities. This effort has accelerated since the year ended December 31, 2018, with CHF 0.9 million invested in lab equipment representing a 16.3% increase. This is consistent with the Company’s long term strategic plan.</w:t>
      </w:r>
    </w:p>
    <w:p>
      <w:pPr>
        <w:spacing w:after="0" w:line="17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January 1, 2019, the Company recognized CHF 2.2 million of right-of-use of leased assets and lease liabilities. Thereof CHF 2.1 million are related to buildings and CHF 0.1 million to office equipment.</w:t>
      </w:r>
    </w:p>
    <w:p>
      <w:pPr>
        <w:spacing w:after="0" w:line="17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During the interim period, the Company recognized depreciation expense of CHF 0.3 million for buildings and an immaterial amount for office equipment. The Company did not recognize additions of right-of-use of leased assets for buildings or for office equipment for the nine months ended September 30, 2019. Regarding lease liabilities, the amortization depends on the applied incremental borrowing rate for the respective lease component. The weighted averages of the incremental borrowing rates are 2.5% for buildings and 4.2% for office equipment,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movements in the net book values of right-of-use of leased assets for the period ended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Office</w:t>
            </w:r>
          </w:p>
        </w:tc>
        <w:tc>
          <w:tcPr>
            <w:tcW w:w="10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Buildings</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2"/>
              </w:rPr>
              <w:t>Equipment</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7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(in CHF thousands)</w:t>
            </w:r>
          </w:p>
        </w:tc>
        <w:tc>
          <w:tcPr>
            <w:tcW w:w="1080" w:type="dxa"/>
            <w:vAlign w:val="bottom"/>
          </w:tcPr>
          <w:p>
            <w:pPr>
              <w:spacing w:after="0"/>
              <w:rPr>
                <w:sz w:val="18"/>
                <w:szCs w:val="18"/>
                <w:color w:val="auto"/>
              </w:rPr>
            </w:pPr>
          </w:p>
        </w:tc>
      </w:tr>
      <w:tr>
        <w:trPr>
          <w:trHeight w:val="216"/>
        </w:trPr>
        <w:tc>
          <w:tcPr>
            <w:tcW w:w="7320" w:type="dxa"/>
            <w:vAlign w:val="bottom"/>
            <w:shd w:val="clear" w:color="auto" w:fill="DCEBF4"/>
          </w:tcPr>
          <w:p>
            <w:pPr>
              <w:spacing w:after="0"/>
              <w:rPr>
                <w:sz w:val="20"/>
                <w:szCs w:val="20"/>
                <w:color w:val="auto"/>
              </w:rPr>
            </w:pPr>
            <w:r>
              <w:rPr>
                <w:rFonts w:ascii="Arial" w:cs="Arial" w:eastAsia="Arial" w:hAnsi="Arial"/>
                <w:sz w:val="18"/>
                <w:szCs w:val="18"/>
                <w:color w:val="auto"/>
              </w:rPr>
              <w:t>Balance as of January 1, 2019</w:t>
            </w:r>
          </w:p>
        </w:tc>
        <w:tc>
          <w:tcPr>
            <w:tcW w:w="128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2,106</w:t>
            </w:r>
          </w:p>
        </w:tc>
        <w:tc>
          <w:tcPr>
            <w:tcW w:w="1380" w:type="dxa"/>
            <w:vAlign w:val="bottom"/>
            <w:gridSpan w:val="2"/>
            <w:shd w:val="clear" w:color="auto" w:fill="DCEBF4"/>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DCEBF4"/>
          </w:tcPr>
          <w:p>
            <w:pPr>
              <w:spacing w:after="0"/>
              <w:rPr>
                <w:sz w:val="18"/>
                <w:szCs w:val="18"/>
                <w:color w:val="auto"/>
              </w:rPr>
            </w:pPr>
          </w:p>
        </w:tc>
        <w:tc>
          <w:tcPr>
            <w:tcW w:w="240" w:type="dxa"/>
            <w:vAlign w:val="bottom"/>
            <w:shd w:val="clear" w:color="auto" w:fill="DCEBF4"/>
          </w:tcPr>
          <w:p>
            <w:pPr>
              <w:spacing w:after="0"/>
              <w:rPr>
                <w:sz w:val="18"/>
                <w:szCs w:val="18"/>
                <w:color w:val="auto"/>
              </w:rPr>
            </w:pPr>
          </w:p>
        </w:tc>
        <w:tc>
          <w:tcPr>
            <w:tcW w:w="108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2,185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16"/>
        </w:trPr>
        <w:tc>
          <w:tcPr>
            <w:tcW w:w="7320" w:type="dxa"/>
            <w:vAlign w:val="bottom"/>
            <w:shd w:val="clear" w:color="auto" w:fill="DCEBF4"/>
          </w:tcPr>
          <w:p>
            <w:pPr>
              <w:spacing w:after="0"/>
              <w:rPr>
                <w:sz w:val="20"/>
                <w:szCs w:val="20"/>
                <w:color w:val="auto"/>
              </w:rPr>
            </w:pPr>
            <w:r>
              <w:rPr>
                <w:rFonts w:ascii="Arial" w:cs="Arial" w:eastAsia="Arial" w:hAnsi="Arial"/>
                <w:sz w:val="18"/>
                <w:szCs w:val="18"/>
                <w:color w:val="auto"/>
              </w:rPr>
              <w:t>Disposals</w:t>
            </w:r>
          </w:p>
        </w:tc>
        <w:tc>
          <w:tcPr>
            <w:tcW w:w="128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CEBF4"/>
          </w:tcPr>
          <w:p>
            <w:pPr>
              <w:spacing w:after="0"/>
              <w:rPr>
                <w:sz w:val="18"/>
                <w:szCs w:val="18"/>
                <w:color w:val="auto"/>
              </w:rPr>
            </w:pPr>
          </w:p>
        </w:tc>
        <w:tc>
          <w:tcPr>
            <w:tcW w:w="240" w:type="dxa"/>
            <w:vAlign w:val="bottom"/>
            <w:shd w:val="clear" w:color="auto" w:fill="DCEBF4"/>
          </w:tcPr>
          <w:p>
            <w:pPr>
              <w:spacing w:after="0"/>
              <w:rPr>
                <w:sz w:val="18"/>
                <w:szCs w:val="18"/>
                <w:color w:val="auto"/>
              </w:rPr>
            </w:pPr>
          </w:p>
        </w:tc>
        <w:tc>
          <w:tcPr>
            <w:tcW w:w="1080" w:type="dxa"/>
            <w:vAlign w:val="bottom"/>
            <w:shd w:val="clear" w:color="auto" w:fill="DCEBF4"/>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Depreciation</w:t>
            </w:r>
          </w:p>
        </w:tc>
        <w:tc>
          <w:tcPr>
            <w:tcW w:w="1280" w:type="dxa"/>
            <w:vAlign w:val="bottom"/>
          </w:tcPr>
          <w:p>
            <w:pPr>
              <w:jc w:val="right"/>
              <w:spacing w:after="0"/>
              <w:rPr>
                <w:sz w:val="20"/>
                <w:szCs w:val="20"/>
                <w:color w:val="auto"/>
              </w:rPr>
            </w:pPr>
            <w:r>
              <w:rPr>
                <w:rFonts w:ascii="Arial" w:cs="Arial" w:eastAsia="Arial" w:hAnsi="Arial"/>
                <w:sz w:val="18"/>
                <w:szCs w:val="18"/>
                <w:color w:val="auto"/>
              </w:rPr>
              <w:t>(299)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10"/>
        </w:trPr>
        <w:tc>
          <w:tcPr>
            <w:tcW w:w="7320" w:type="dxa"/>
            <w:vAlign w:val="bottom"/>
            <w:tcBorders>
              <w:top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280" w:type="dxa"/>
            <w:vAlign w:val="bottom"/>
            <w:tcBorders>
              <w:top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1,807</w:t>
            </w:r>
          </w:p>
        </w:tc>
        <w:tc>
          <w:tcPr>
            <w:tcW w:w="100" w:type="dxa"/>
            <w:vAlign w:val="bottom"/>
            <w:tcBorders>
              <w:top w:val="single" w:sz="8" w:color="DCEBF4"/>
            </w:tcBorders>
            <w:shd w:val="clear" w:color="auto" w:fill="DCEBF4"/>
          </w:tcPr>
          <w:p>
            <w:pPr>
              <w:spacing w:after="0"/>
              <w:rPr>
                <w:sz w:val="18"/>
                <w:szCs w:val="18"/>
                <w:color w:val="auto"/>
              </w:rPr>
            </w:pPr>
          </w:p>
        </w:tc>
        <w:tc>
          <w:tcPr>
            <w:tcW w:w="1280" w:type="dxa"/>
            <w:vAlign w:val="bottom"/>
            <w:tcBorders>
              <w:top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top w:val="single" w:sz="8" w:color="DCEBF4"/>
            </w:tcBorders>
            <w:shd w:val="clear" w:color="auto" w:fill="DCEBF4"/>
          </w:tcPr>
          <w:p>
            <w:pPr>
              <w:spacing w:after="0"/>
              <w:rPr>
                <w:sz w:val="18"/>
                <w:szCs w:val="18"/>
                <w:color w:val="auto"/>
              </w:rPr>
            </w:pPr>
          </w:p>
        </w:tc>
        <w:tc>
          <w:tcPr>
            <w:tcW w:w="240" w:type="dxa"/>
            <w:vAlign w:val="bottom"/>
            <w:tcBorders>
              <w:top w:val="single" w:sz="8" w:color="auto"/>
            </w:tcBorders>
            <w:shd w:val="clear" w:color="auto" w:fill="DCEBF4"/>
          </w:tcPr>
          <w:p>
            <w:pPr>
              <w:spacing w:after="0"/>
              <w:rPr>
                <w:sz w:val="18"/>
                <w:szCs w:val="18"/>
                <w:color w:val="auto"/>
              </w:rPr>
            </w:pPr>
          </w:p>
        </w:tc>
        <w:tc>
          <w:tcPr>
            <w:tcW w:w="1080" w:type="dxa"/>
            <w:vAlign w:val="bottom"/>
            <w:tcBorders>
              <w:top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1,893</w:t>
            </w:r>
          </w:p>
        </w:tc>
      </w:tr>
    </w:tbl>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6" w:name="page57"/>
    <w:bookmarkEnd w:id="56"/>
    <w:p>
      <w:pPr>
        <w:ind w:right="120" w:firstLine="324"/>
        <w:spacing w:after="0" w:line="264" w:lineRule="auto"/>
        <w:rPr>
          <w:sz w:val="20"/>
          <w:szCs w:val="20"/>
          <w:color w:val="auto"/>
        </w:rPr>
      </w:pPr>
      <w:r>
        <w:rPr>
          <w:rFonts w:ascii="Arial" w:cs="Arial" w:eastAsia="Arial" w:hAnsi="Arial"/>
          <w:sz w:val="18"/>
          <w:szCs w:val="18"/>
          <w:color w:val="auto"/>
        </w:rPr>
        <w:t>The Company’s total expense for short-term leases and leases of low-value was CHF 0.1 million and CHF 0.4 million for the three and nine months ended September 30, 2019. There are no variable lease payments which are not included in the measurement of lease obligations. All extension options have been included in the measurement of lease obligations.</w:t>
      </w:r>
    </w:p>
    <w:p>
      <w:pPr>
        <w:sectPr>
          <w:pgSz w:w="11900" w:h="16838" w:orient="portrait"/>
          <w:cols w:equalWidth="0" w:num="1">
            <w:col w:w="11420"/>
          </w:cols>
          <w:pgMar w:left="240" w:top="800" w:right="239"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contractual undiscounted cash flows for lease obligations as of September 30, 2019: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 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28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(in CHF</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5"/>
          <w:szCs w:val="15"/>
          <w:b w:val="1"/>
          <w:bCs w:val="1"/>
          <w:color w:val="auto"/>
        </w:rPr>
        <w:t>thousands)</w:t>
      </w:r>
    </w:p>
    <w:p>
      <w:pPr>
        <w:spacing w:after="0" w:line="4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470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14605</wp:posOffset>
            </wp:positionV>
            <wp:extent cx="7886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17145</wp:posOffset>
            </wp:positionV>
            <wp:extent cx="7886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34290</wp:posOffset>
            </wp:positionV>
            <wp:extent cx="7886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9660" w:space="720"/>
            <w:col w:w="1040"/>
          </w:cols>
          <w:pgMar w:left="240" w:top="800" w:right="239" w:bottom="1440" w:gutter="0" w:footer="0" w:header="0"/>
          <w:type w:val="continuous"/>
        </w:sectPr>
      </w:pPr>
    </w:p>
    <w:p>
      <w:pPr>
        <w:spacing w:after="0" w:line="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Prepaid expenses include prepaid research and development costs, administrative costs and net employee defined benefit liability expenses totaling CHF 3.0 million and CHF 2.4 million as of September 30, 2019 and December 31, 2018, respectively.</w:t>
      </w:r>
    </w:p>
    <w:p>
      <w:pPr>
        <w:spacing w:after="0" w:line="16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summarizes the Company’s cash and cash equivalents and short-term financial assets as of September 30, 2019 and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88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8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882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30"/>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212,457</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156,462</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212,457</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156,462</w:t>
            </w:r>
          </w:p>
        </w:tc>
      </w:tr>
      <w:tr>
        <w:trPr>
          <w:trHeight w:val="20"/>
        </w:trPr>
        <w:tc>
          <w:tcPr>
            <w:tcW w:w="8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21"/>
        </w:trPr>
        <w:tc>
          <w:tcPr>
            <w:tcW w:w="8820" w:type="dxa"/>
            <w:vAlign w:val="bottom"/>
          </w:tcPr>
          <w:p>
            <w:pPr>
              <w:spacing w:after="0"/>
              <w:rPr>
                <w:sz w:val="24"/>
                <w:szCs w:val="24"/>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88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8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882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30"/>
        </w:trPr>
        <w:tc>
          <w:tcPr>
            <w:tcW w:w="8820" w:type="dxa"/>
            <w:vAlign w:val="bottom"/>
            <w:shd w:val="clear" w:color="auto" w:fill="DCEBF4"/>
          </w:tcPr>
          <w:p>
            <w:pPr>
              <w:spacing w:after="0"/>
              <w:rPr>
                <w:sz w:val="20"/>
                <w:szCs w:val="20"/>
                <w:color w:val="auto"/>
              </w:rPr>
            </w:pPr>
            <w:r>
              <w:rPr>
                <w:rFonts w:ascii="Arial" w:cs="Arial" w:eastAsia="Arial" w:hAnsi="Arial"/>
                <w:sz w:val="18"/>
                <w:szCs w:val="18"/>
                <w:color w:val="auto"/>
              </w:rPr>
              <w:t>Short-term financial assets due in one year or less</w:t>
            </w: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90,000</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30,000</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90,000</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30,000</w:t>
            </w:r>
          </w:p>
        </w:tc>
      </w:tr>
      <w:tr>
        <w:trPr>
          <w:trHeight w:val="20"/>
        </w:trPr>
        <w:tc>
          <w:tcPr>
            <w:tcW w:w="8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also has two deposits in escrow accounts totaling CHF 0.3 million for the lease of the Company’s premises as of September 30, 2019 and December 31,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Financing obligation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57" w:name="page58"/>
    <w:bookmarkEnd w:id="57"/>
    <w:p>
      <w:pPr>
        <w:ind w:right="420" w:firstLine="324"/>
        <w:spacing w:after="0" w:line="264" w:lineRule="auto"/>
        <w:rPr>
          <w:sz w:val="20"/>
          <w:szCs w:val="20"/>
          <w:color w:val="auto"/>
        </w:rPr>
      </w:pPr>
      <w:r>
        <w:rPr>
          <w:rFonts w:ascii="Arial" w:cs="Arial" w:eastAsia="Arial" w:hAnsi="Arial"/>
          <w:sz w:val="18"/>
          <w:szCs w:val="18"/>
          <w:color w:val="auto"/>
        </w:rPr>
        <w:t>On October 31, 2018, LuMind and the Company modified the repayment terms in an effort to fund a Down Syndrome Clinical Trials Network. The repayment terms were modified such that the Company will repay the outstanding balance in three installments in 2018, 2019 and 2020, with the total repayment to equal the total the Company is to receive in funding with the additional 25% interest.</w:t>
      </w:r>
    </w:p>
    <w:p>
      <w:pPr>
        <w:spacing w:after="0" w:line="181"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The Company reclassified a certain portion of long-term financing obligation from non-current to current liabilities in the balance sheets to reflect the amended repayment terms. Additionally, per this modified payment term, the Company and LuMind memorialized the receipt of one final USD 200 (CHF</w:t>
      </w:r>
    </w:p>
    <w:p>
      <w:pPr>
        <w:ind w:right="160" w:firstLine="8"/>
        <w:spacing w:after="0" w:line="323" w:lineRule="auto"/>
        <w:tabs>
          <w:tab w:leader="none" w:pos="3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thousand payment due from LuMind in 2019. The Company recorded this as a finance receivable and an increase to the obligation accordingly. As of September 30, 2019 and December 31, 2018, we had finance receivables of USD 100 (CHF 100) thousand and USD 200 (CHF 199) thousand, respectively.</w:t>
      </w:r>
    </w:p>
    <w:p>
      <w:pPr>
        <w:spacing w:after="0" w:line="1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September 30, 2019 and December 31, 2018, AC Immune has recorded in current liabilities a short-term financing obligation for the total USD 333 (CHF 334) thousand and USD 333 (CHF 332) thousand committed, respectively. As of September 30, 2019 and December 31, 2018, the Company recorded a long-term financing obligation for the total USD 297 (CHF 297) thousand and USD 187 (CHF 186) thousand,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Finance result, net</w:t>
      </w:r>
    </w:p>
    <w:p>
      <w:pPr>
        <w:spacing w:after="0" w:line="229"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For the three months ended September 30, 2019 and 2018, the Company recorded CHF 0.2 million in net financial gains and CHF 1.3 million in net financial losses, respectively. The Company incurred CHF 0.1 million in interest expense during the period. Finally, the Company had CHF 0.3 million in foreign currency remeasurement gains.</w:t>
      </w:r>
    </w:p>
    <w:p>
      <w:pPr>
        <w:spacing w:after="0" w:line="181"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For the nine months ended September 30, 2019 and 2018, the Company recorded CHF 1.5 million in net financial gains and CHF 1.2 million in net financial losses, respectively. For the period, CHF 4.5 million related to a gain on the conversion feature of the convertible loan due to Lilly. This gain was offset by CHF 1.2 million related to a loss on the settlement of the convertible loan and CHF 1.6 million in interest expense of which CHF 1.4 million was effective interest recorded to amortize the host debt per the convertible loan due to Lilly. Finally, the Company had CHF 0.3 million in foreign currency remeasurement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interim condensed financial statements, for appropriate accounting and disclosures. The Company has determined that there were no such events that warrant disclosure or recognition in these interim condensed financial statements.</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and nine months ended September 30, 2019 included as Exhibit 99.1 to this Report on Form 6-K. We also recommend that you read our management’s discussion and analysis and our audited financial statements and the notes thereto, which appear in our Annual Report on Form 20-F for the year ended December 31, 2018 on file with the U.S. Securities and Exchange Commission (the “SEC”).</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the “Company,” “we,” “our,” “ours,” or “us” or similar terms refer to AC Immune SA.</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November 13,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For the three and nine months ended September 30, 2019, AC Immune generated revenues of CHF 33.4 million and CHF 110.0 million compared with CHF 2.3 million and CHF 5.8 million for the comparable periods in 2018, respectively. This represents an increase of CHF 31.1 million and CHF 104.2 million, respectively. The following table summarizes our revenues during the three and nine months ended September 30, 2019 and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For the Three Months</w:t>
            </w:r>
          </w:p>
        </w:tc>
        <w:tc>
          <w:tcPr>
            <w:tcW w:w="124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(in CHF thousands, unaudited)</w:t>
            </w:r>
          </w:p>
        </w:tc>
      </w:tr>
      <w:tr>
        <w:trPr>
          <w:trHeight w:val="230"/>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Contract revenue</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color w:val="auto"/>
              </w:rPr>
              <w:t>33,411</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31,106</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33,411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2,305</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31,106</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21"/>
        </w:trPr>
        <w:tc>
          <w:tcPr>
            <w:tcW w:w="7440" w:type="dxa"/>
            <w:vAlign w:val="bottom"/>
          </w:tcPr>
          <w:p>
            <w:pPr>
              <w:spacing w:after="0"/>
              <w:rPr>
                <w:sz w:val="24"/>
                <w:szCs w:val="24"/>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For the Nine Months</w:t>
            </w:r>
          </w:p>
        </w:tc>
        <w:tc>
          <w:tcPr>
            <w:tcW w:w="1240" w:type="dxa"/>
            <w:vAlign w:val="bottom"/>
          </w:tcPr>
          <w:p>
            <w:pPr>
              <w:spacing w:after="0"/>
              <w:rPr>
                <w:sz w:val="24"/>
                <w:szCs w:val="24"/>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(in CHF thousands, unaudited)</w:t>
            </w:r>
          </w:p>
        </w:tc>
      </w:tr>
      <w:tr>
        <w:trPr>
          <w:trHeight w:val="230"/>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Contract revenue</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color w:val="auto"/>
              </w:rPr>
              <w:t>109,964</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5,791</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104,173</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109,964</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5,791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104,173</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For the three months ended September 30, 2019, the increase in collaboration revenues compared to the three months ended September 30, 2018 was principally due to recognition of CHF 30.0 million for the first installment of the first milestone achieved with Lilly and CHF 2.2 million in connection with the initiation of a Phase 2 Trial of Tau PET Tracer with Life Molecular Imaging.</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9" w:name="page60"/>
    <w:bookmarkEnd w:id="59"/>
    <w:p>
      <w:pPr>
        <w:ind w:right="60" w:firstLine="324"/>
        <w:spacing w:after="0" w:line="257" w:lineRule="auto"/>
        <w:rPr>
          <w:sz w:val="20"/>
          <w:szCs w:val="20"/>
          <w:color w:val="auto"/>
        </w:rPr>
      </w:pPr>
      <w:r>
        <w:rPr>
          <w:rFonts w:ascii="Arial" w:cs="Arial" w:eastAsia="Arial" w:hAnsi="Arial"/>
          <w:sz w:val="18"/>
          <w:szCs w:val="18"/>
          <w:color w:val="auto"/>
        </w:rPr>
        <w:t>For the nine months ended September 30, 2019, the increase in collaboration revenues compared to the nine months ended September 30, 2018 was principally due to recognition of a CHF 73.1 million upfront payment for a right-of-use license fee and CHF 30.0 million for the first installment of the first milestone achieved with Lilly. Additionally, the Company recognized CHF 1.5 million for research and development activities associated with our agreement to research and develop tau morphomer molecules for the potential treatment of Alzheimer's disease (AD) and other neurodegenerative diseases. There were no similar revenue generating activities in 2018.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completed our research and development spending for both of our Genentech collaborations. From Phase 2b and onwards, Janssen will assume responsibility for the clinical development, manufacturing and commercialization of selected second generation anti-Tau vaccines.</w:t>
      </w:r>
    </w:p>
    <w:p>
      <w:pPr>
        <w:spacing w:after="0" w:line="1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the three and nine months ended September 30, 2019, research and development expenses totaled CHF 11.5 million and CHF 35.8 million compared with CHF 11.5 million and CHF 32.2 million for the comparable periods in 2018, respectively. This represents a decrease of CHF 0.1 million and an increase of CHF 3.6 million for the three and nine month periods, respectively. The following table presents the research and development expenses during the three and nine months ended September 30,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For the Three Months</w:t>
            </w:r>
          </w:p>
        </w:tc>
        <w:tc>
          <w:tcPr>
            <w:tcW w:w="124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(in CHF thousands, unaudited)</w:t>
            </w:r>
          </w:p>
        </w:tc>
      </w:tr>
      <w:tr>
        <w:trPr>
          <w:trHeight w:val="216"/>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Operating expenses(1)</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8,205</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8,818</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744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Salaries and related costs(2)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3,273</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w:t>
            </w:r>
          </w:p>
        </w:tc>
      </w:tr>
      <w:tr>
        <w:trPr>
          <w:trHeight w:val="223"/>
        </w:trPr>
        <w:tc>
          <w:tcPr>
            <w:tcW w:w="744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11,478</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11,546</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(68)</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21"/>
        </w:trPr>
        <w:tc>
          <w:tcPr>
            <w:tcW w:w="7440" w:type="dxa"/>
            <w:vAlign w:val="bottom"/>
          </w:tcPr>
          <w:p>
            <w:pPr>
              <w:spacing w:after="0"/>
              <w:rPr>
                <w:sz w:val="24"/>
                <w:szCs w:val="24"/>
                <w:color w:val="auto"/>
              </w:rPr>
            </w:pPr>
          </w:p>
        </w:tc>
        <w:tc>
          <w:tcPr>
            <w:tcW w:w="2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For the Nine Months</w:t>
            </w:r>
          </w:p>
        </w:tc>
        <w:tc>
          <w:tcPr>
            <w:tcW w:w="1240" w:type="dxa"/>
            <w:vAlign w:val="bottom"/>
          </w:tcPr>
          <w:p>
            <w:pPr>
              <w:spacing w:after="0"/>
              <w:rPr>
                <w:sz w:val="24"/>
                <w:szCs w:val="24"/>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(in CHF thousands, unaudited)</w:t>
            </w:r>
          </w:p>
        </w:tc>
      </w:tr>
      <w:tr>
        <w:trPr>
          <w:trHeight w:val="216"/>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Operating expenses(1)</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26,069</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24,051</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2,018</w:t>
            </w:r>
          </w:p>
        </w:tc>
      </w:tr>
      <w:tr>
        <w:trPr>
          <w:trHeight w:val="230"/>
        </w:trPr>
        <w:tc>
          <w:tcPr>
            <w:tcW w:w="744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Salaries and related costs(2)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9,701</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8,099</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1,602</w:t>
            </w:r>
          </w:p>
        </w:tc>
      </w:tr>
      <w:tr>
        <w:trPr>
          <w:trHeight w:val="223"/>
        </w:trPr>
        <w:tc>
          <w:tcPr>
            <w:tcW w:w="744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35,770</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32,150</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3,620</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w:t>
      </w:r>
    </w:p>
    <w:p>
      <w:pPr>
        <w:spacing w:after="0" w:line="21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share-based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the research and development expenses by our major development programs during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For the Three Months</w:t>
            </w:r>
          </w:p>
        </w:tc>
        <w:tc>
          <w:tcPr>
            <w:tcW w:w="124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Ended September 30,</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Alzheimer’s disease</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4,952</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(1,619)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16"/>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Diagnostics</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5</w:t>
            </w:r>
          </w:p>
        </w:tc>
      </w:tr>
      <w:tr>
        <w:trPr>
          <w:trHeight w:val="230"/>
        </w:trPr>
        <w:tc>
          <w:tcPr>
            <w:tcW w:w="744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New discovery programs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2,518</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r>
      <w:tr>
        <w:trPr>
          <w:trHeight w:val="210"/>
        </w:trPr>
        <w:tc>
          <w:tcPr>
            <w:tcW w:w="744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Total programs</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7,562</w:t>
            </w:r>
          </w:p>
        </w:tc>
        <w:tc>
          <w:tcPr>
            <w:tcW w:w="12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8,286</w:t>
            </w:r>
          </w:p>
        </w:tc>
        <w:tc>
          <w:tcPr>
            <w:tcW w:w="12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(724)</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Research and development expenses not allocated to specific programs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3,916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656</w:t>
            </w:r>
          </w:p>
        </w:tc>
      </w:tr>
      <w:tr>
        <w:trPr>
          <w:trHeight w:val="243"/>
        </w:trPr>
        <w:tc>
          <w:tcPr>
            <w:tcW w:w="744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11,478</w:t>
            </w:r>
          </w:p>
        </w:tc>
        <w:tc>
          <w:tcPr>
            <w:tcW w:w="120" w:type="dxa"/>
            <w:vAlign w:val="bottom"/>
            <w:tcBorders>
              <w:bottom w:val="single" w:sz="8" w:color="DCEBF4"/>
            </w:tcBorders>
            <w:shd w:val="clear" w:color="auto" w:fill="DCEBF4"/>
          </w:tcPr>
          <w:p>
            <w:pPr>
              <w:spacing w:after="0"/>
              <w:rPr>
                <w:sz w:val="21"/>
                <w:szCs w:val="21"/>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11,546</w:t>
            </w:r>
          </w:p>
        </w:tc>
        <w:tc>
          <w:tcPr>
            <w:tcW w:w="120" w:type="dxa"/>
            <w:vAlign w:val="bottom"/>
            <w:tcBorders>
              <w:bottom w:val="single" w:sz="8" w:color="DCEBF4"/>
            </w:tcBorders>
            <w:shd w:val="clear" w:color="auto" w:fill="DCEBF4"/>
          </w:tcPr>
          <w:p>
            <w:pPr>
              <w:spacing w:after="0"/>
              <w:rPr>
                <w:sz w:val="21"/>
                <w:szCs w:val="21"/>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(68)</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ind w:left="480"/>
              <w:spacing w:after="0"/>
              <w:rPr>
                <w:sz w:val="20"/>
                <w:szCs w:val="20"/>
                <w:color w:val="auto"/>
              </w:rPr>
            </w:pPr>
            <w:r>
              <w:rPr>
                <w:rFonts w:ascii="Arial" w:cs="Arial" w:eastAsia="Arial" w:hAnsi="Arial"/>
                <w:sz w:val="18"/>
                <w:szCs w:val="18"/>
                <w:b w:val="1"/>
                <w:bCs w:val="1"/>
                <w:color w:val="auto"/>
              </w:rPr>
              <w:t>For the Nine Months</w:t>
            </w:r>
          </w:p>
        </w:tc>
        <w:tc>
          <w:tcPr>
            <w:tcW w:w="124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ind w:left="500"/>
              <w:spacing w:after="0"/>
              <w:rPr>
                <w:sz w:val="20"/>
                <w:szCs w:val="20"/>
                <w:color w:val="auto"/>
              </w:rPr>
            </w:pPr>
            <w:r>
              <w:rPr>
                <w:rFonts w:ascii="Arial" w:cs="Arial" w:eastAsia="Arial" w:hAnsi="Arial"/>
                <w:sz w:val="18"/>
                <w:szCs w:val="18"/>
                <w:b w:val="1"/>
                <w:bCs w:val="1"/>
                <w:color w:val="auto"/>
              </w:rPr>
              <w:t>Ended September 30,</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Alzheimer’s disease</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11,994</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12,646</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1,315</w:t>
            </w:r>
          </w:p>
        </w:tc>
      </w:tr>
      <w:tr>
        <w:trPr>
          <w:trHeight w:val="216"/>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Diagnostics</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1,678</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744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New discovery programs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7,669</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6,620</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1,049</w:t>
            </w:r>
          </w:p>
        </w:tc>
      </w:tr>
      <w:tr>
        <w:trPr>
          <w:trHeight w:val="210"/>
        </w:trPr>
        <w:tc>
          <w:tcPr>
            <w:tcW w:w="744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Total programs</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24,123</w:t>
            </w:r>
          </w:p>
        </w:tc>
        <w:tc>
          <w:tcPr>
            <w:tcW w:w="12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22,623</w:t>
            </w:r>
          </w:p>
        </w:tc>
        <w:tc>
          <w:tcPr>
            <w:tcW w:w="12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1,500</w:t>
            </w:r>
          </w:p>
        </w:tc>
      </w:tr>
      <w:tr>
        <w:trPr>
          <w:trHeight w:val="210"/>
        </w:trPr>
        <w:tc>
          <w:tcPr>
            <w:tcW w:w="744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Research and development expenses not allocated to specific programs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11,647</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9,527</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2,120</w:t>
            </w:r>
          </w:p>
        </w:tc>
      </w:tr>
      <w:tr>
        <w:trPr>
          <w:trHeight w:val="223"/>
        </w:trPr>
        <w:tc>
          <w:tcPr>
            <w:tcW w:w="744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35,770</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32,150</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3,620</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CHF 1.6 million decrease in expenditures in Alzheimer’s disease programs for the three months ended September 30, 2019 predominantly relates to a CHF 1.1 million decrease for ACI-35 due to the completion of certain toxicology and manufacturing work in the prior year as well as a CHF 0.5 million decrease for ACI-24 AD related to higher costs for the initiation of the Phase 2 study in the prior period. The CHF 0.6 million increase in non-Alzheimer’s disease programs predominantly relates to a CHF 0.1 million increase for research and preclinical activities associated with our morphomer alpha-synuclein program and a CHF 0.4 million increase in ACI-24 in Down Syndrome related to increased manufacturing activities and preparation of the Phase 2 study. The CHF 0.3 million in new discovery programs is driven predominantly by a CHF 0.2 million increase for manufacturing activities for our anti-a-Synuclein antibody.</w:t>
      </w:r>
    </w:p>
    <w:p>
      <w:pPr>
        <w:spacing w:after="0" w:line="18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CHF 0.7 million decrease in expenditures in Alzheimer’s disease programs for the nine months ended September 30, 2019 predominantly relates to a CHF 0.2 million decrease million decrease for ACI-35 due to the completion of certain toxicology and manufacturing work in the prior year as well as a CHF 0.5 million decrease for ACI-24 AD related to higher costs for the initiation of the Phase 2 study in the prior period. The CHF 1.3 million increase in non-Alzheimer’s disease programs predominantly relates to a CHF 0.6 million increase for research and preclinical activities associated with our morphomer alpha-synuclein program and a CHF 0.6 million increase in ACI-24 in Down Syndrome related to increased manufacturing activities and preparation of the Phase 2 study. The CHF 1.0 million in new discovery programs is driven by a CHF 0.2 million increase for our TDP-43 antibody related to research activities in collaboration with the University of Pennsylvania, a CHF 0.4 million increase for research activities for our anti-a-Synuclein antibody and a CHF 0.3 million increase for research in our neuroinflammation discovery programs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such as legal and accounting related services and other operating expenses.</w:t>
      </w:r>
    </w:p>
    <w:p>
      <w:pPr>
        <w:spacing w:after="0" w:line="170"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For the three and nine months ended September 30, 2019, general and administrative expenses amounted to CHF 4.0 million and CHF 10.8 million compared with CHF 2.9 million and CHF 8.7 million for the comparable periods in 2018, respectively. This represents an increase of CHF 1.0 million and CHF 2.1 million, respectively. The increase is predominantly associated with increases in our payroll expense due to an increase from 15 to 21 FTEs.</w:t>
      </w:r>
    </w:p>
    <w:p>
      <w:pPr>
        <w:spacing w:after="0" w:line="14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For the three months ended September 30, 2019, there was a CHF 0.3 million increase in rental and IT related expenditures and a CHF 0.5 million increase in salaries and share based compensation, offset by a decrease of less than CHF 0.1 million for professional services. For the nine months ended September 30, 2019, there was a CHF 1.0 million increase in rental and IT related expenditures, a CHF 0.8 million increase in salaries and share based compensation and a CHF 0.4 million increase in investor relations offset by a decrease of CHF 0.2 million for professional services. The remaining CHF 0.1 million increase for the three and nine months ended September 30, 2019 are across various other categories and immaterial. The following tables present the general and administrative expenses for the three and nine months ended September 30, 2019 and 2018:</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For the Three Months</w:t>
            </w:r>
          </w:p>
        </w:tc>
        <w:tc>
          <w:tcPr>
            <w:tcW w:w="124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(in CHF thousands, unaudited)</w:t>
            </w:r>
          </w:p>
        </w:tc>
      </w:tr>
      <w:tr>
        <w:trPr>
          <w:trHeight w:val="216"/>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Operating expenses(1)</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475</w:t>
            </w:r>
          </w:p>
        </w:tc>
      </w:tr>
      <w:tr>
        <w:trPr>
          <w:trHeight w:val="230"/>
        </w:trPr>
        <w:tc>
          <w:tcPr>
            <w:tcW w:w="744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Salaries and related costs(2)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2,386</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551</w:t>
            </w:r>
          </w:p>
        </w:tc>
      </w:tr>
      <w:tr>
        <w:trPr>
          <w:trHeight w:val="223"/>
        </w:trPr>
        <w:tc>
          <w:tcPr>
            <w:tcW w:w="744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3,956</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2,930</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1,026</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21"/>
        </w:trPr>
        <w:tc>
          <w:tcPr>
            <w:tcW w:w="7440" w:type="dxa"/>
            <w:vAlign w:val="bottom"/>
          </w:tcPr>
          <w:p>
            <w:pPr>
              <w:spacing w:after="0"/>
              <w:rPr>
                <w:sz w:val="24"/>
                <w:szCs w:val="24"/>
                <w:color w:val="auto"/>
              </w:rPr>
            </w:pPr>
          </w:p>
        </w:tc>
        <w:tc>
          <w:tcPr>
            <w:tcW w:w="2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For the Nine Months</w:t>
            </w:r>
          </w:p>
        </w:tc>
        <w:tc>
          <w:tcPr>
            <w:tcW w:w="1240" w:type="dxa"/>
            <w:vAlign w:val="bottom"/>
          </w:tcPr>
          <w:p>
            <w:pPr>
              <w:spacing w:after="0"/>
              <w:rPr>
                <w:sz w:val="24"/>
                <w:szCs w:val="24"/>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(in CHF thousands, unaudited)</w:t>
            </w:r>
          </w:p>
        </w:tc>
      </w:tr>
      <w:tr>
        <w:trPr>
          <w:trHeight w:val="216"/>
        </w:trPr>
        <w:tc>
          <w:tcPr>
            <w:tcW w:w="7440" w:type="dxa"/>
            <w:vAlign w:val="bottom"/>
            <w:shd w:val="clear" w:color="auto" w:fill="DCEBF4"/>
          </w:tcPr>
          <w:p>
            <w:pPr>
              <w:spacing w:after="0"/>
              <w:rPr>
                <w:sz w:val="20"/>
                <w:szCs w:val="20"/>
                <w:color w:val="auto"/>
              </w:rPr>
            </w:pPr>
            <w:r>
              <w:rPr>
                <w:rFonts w:ascii="Arial" w:cs="Arial" w:eastAsia="Arial" w:hAnsi="Arial"/>
                <w:sz w:val="18"/>
                <w:szCs w:val="18"/>
                <w:color w:val="auto"/>
              </w:rPr>
              <w:t>Operating expenses(1)</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1,141</w:t>
            </w:r>
          </w:p>
        </w:tc>
      </w:tr>
      <w:tr>
        <w:trPr>
          <w:trHeight w:val="230"/>
        </w:trPr>
        <w:tc>
          <w:tcPr>
            <w:tcW w:w="744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Salaries and related costs(2)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6,469</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5,478</w:t>
            </w:r>
          </w:p>
        </w:tc>
        <w:tc>
          <w:tcPr>
            <w:tcW w:w="120" w:type="dxa"/>
            <w:vAlign w:val="bottom"/>
            <w:tcBorders>
              <w:bottom w:val="single" w:sz="8" w:color="DCEBF4"/>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w:t>
            </w:r>
          </w:p>
        </w:tc>
      </w:tr>
      <w:tr>
        <w:trPr>
          <w:trHeight w:val="223"/>
        </w:trPr>
        <w:tc>
          <w:tcPr>
            <w:tcW w:w="744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10,835</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8,703</w:t>
            </w:r>
          </w:p>
        </w:tc>
        <w:tc>
          <w:tcPr>
            <w:tcW w:w="120" w:type="dxa"/>
            <w:vAlign w:val="bottom"/>
            <w:tcBorders>
              <w:bottom w:val="single" w:sz="8" w:color="DCEBF4"/>
            </w:tcBorders>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2,132</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w:t>
      </w:r>
    </w:p>
    <w:p>
      <w:pPr>
        <w:spacing w:after="0" w:line="21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25" w:lineRule="exact"/>
        <w:rPr>
          <w:rFonts w:ascii="Arial" w:cs="Arial" w:eastAsia="Arial" w:hAnsi="Arial"/>
          <w:sz w:val="18"/>
          <w:szCs w:val="18"/>
          <w:color w:val="auto"/>
        </w:rPr>
      </w:pPr>
    </w:p>
    <w:p>
      <w:pPr>
        <w:ind w:left="340" w:right="7920" w:hanging="332"/>
        <w:spacing w:after="0" w:line="50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Includes share-based compensation expense </w:t>
      </w:r>
      <w:r>
        <w:rPr>
          <w:rFonts w:ascii="Arial" w:cs="Arial" w:eastAsia="Arial" w:hAnsi="Arial"/>
          <w:sz w:val="18"/>
          <w:szCs w:val="18"/>
          <w:i w:val="1"/>
          <w:iCs w:val="1"/>
          <w:color w:val="auto"/>
        </w:rPr>
        <w:t>Finance result, net</w:t>
      </w:r>
    </w:p>
    <w:p>
      <w:pPr>
        <w:ind w:left="340"/>
        <w:spacing w:after="0"/>
        <w:rPr>
          <w:rFonts w:ascii="Arial" w:cs="Arial" w:eastAsia="Arial" w:hAnsi="Arial"/>
          <w:sz w:val="18"/>
          <w:szCs w:val="18"/>
          <w:color w:val="auto"/>
        </w:rPr>
      </w:pPr>
      <w:r>
        <w:rPr>
          <w:rFonts w:ascii="Arial" w:cs="Arial" w:eastAsia="Arial" w:hAnsi="Arial"/>
          <w:sz w:val="17"/>
          <w:szCs w:val="17"/>
          <w:color w:val="auto"/>
        </w:rPr>
        <w:t>The following table presents the net financial income and expenses during the three and nine months ended September 30, 2019 and 2018:</w:t>
      </w:r>
    </w:p>
    <w:p>
      <w:pPr>
        <w:sectPr>
          <w:pgSz w:w="11900" w:h="16838" w:orient="portrait"/>
          <w:cols w:equalWidth="0" w:num="1">
            <w:col w:w="11420"/>
          </w:cols>
          <w:pgMar w:left="240" w:top="8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remeasurement gain/(loss),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finance income/(expense)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remeasurement gain/(loss),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finance income/(expense)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For the Three Months</w:t>
            </w:r>
          </w:p>
        </w:tc>
        <w:tc>
          <w:tcPr>
            <w:tcW w:w="1240" w:type="dxa"/>
            <w:vAlign w:val="bottom"/>
          </w:tcPr>
          <w:p>
            <w:pPr>
              <w:spacing w:after="0"/>
              <w:rPr>
                <w:sz w:val="18"/>
                <w:szCs w:val="18"/>
                <w:color w:val="auto"/>
              </w:rPr>
            </w:pPr>
          </w:p>
        </w:tc>
      </w:tr>
      <w:tr>
        <w:trPr>
          <w:trHeight w:val="234"/>
        </w:trPr>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1240" w:type="dxa"/>
            <w:vAlign w:val="bottom"/>
          </w:tcPr>
          <w:p>
            <w:pPr>
              <w:spacing w:after="0"/>
              <w:rPr>
                <w:sz w:val="20"/>
                <w:szCs w:val="20"/>
                <w:color w:val="auto"/>
              </w:rPr>
            </w:pPr>
          </w:p>
        </w:tc>
      </w:tr>
      <w:tr>
        <w:trPr>
          <w:trHeight w:val="223"/>
        </w:trPr>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195"/>
        </w:trPr>
        <w:tc>
          <w:tcPr>
            <w:tcW w:w="3980" w:type="dxa"/>
            <w:vAlign w:val="bottom"/>
            <w:gridSpan w:val="5"/>
          </w:tcPr>
          <w:p>
            <w:pPr>
              <w:jc w:val="center"/>
              <w:spacing w:after="0" w:line="195" w:lineRule="exact"/>
              <w:rPr>
                <w:sz w:val="20"/>
                <w:szCs w:val="20"/>
                <w:color w:val="auto"/>
              </w:rPr>
            </w:pPr>
            <w:r>
              <w:rPr>
                <w:rFonts w:ascii="Arial" w:cs="Arial" w:eastAsia="Arial" w:hAnsi="Arial"/>
                <w:sz w:val="18"/>
                <w:szCs w:val="18"/>
                <w:b w:val="1"/>
                <w:bCs w:val="1"/>
                <w:color w:val="auto"/>
                <w:w w:val="90"/>
              </w:rPr>
              <w:t>(in CHF thousands, unaudited)</w:t>
            </w: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1,568</w:t>
            </w:r>
          </w:p>
        </w:tc>
      </w:tr>
      <w:tr>
        <w:trPr>
          <w:trHeight w:val="230"/>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r>
      <w:tr>
        <w:trPr>
          <w:trHeight w:val="223"/>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236</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1,581</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21"/>
        </w:trPr>
        <w:tc>
          <w:tcPr>
            <w:tcW w:w="2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For the Nine Months</w:t>
            </w:r>
          </w:p>
        </w:tc>
        <w:tc>
          <w:tcPr>
            <w:tcW w:w="1240" w:type="dxa"/>
            <w:vAlign w:val="bottom"/>
          </w:tcPr>
          <w:p>
            <w:pPr>
              <w:spacing w:after="0"/>
              <w:rPr>
                <w:sz w:val="24"/>
                <w:szCs w:val="24"/>
                <w:color w:val="auto"/>
              </w:rPr>
            </w:pPr>
          </w:p>
        </w:tc>
      </w:tr>
      <w:tr>
        <w:trPr>
          <w:trHeight w:val="234"/>
        </w:trPr>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1240" w:type="dxa"/>
            <w:vAlign w:val="bottom"/>
          </w:tcPr>
          <w:p>
            <w:pPr>
              <w:spacing w:after="0"/>
              <w:rPr>
                <w:sz w:val="20"/>
                <w:szCs w:val="20"/>
                <w:color w:val="auto"/>
              </w:rPr>
            </w:pPr>
          </w:p>
        </w:tc>
      </w:tr>
      <w:tr>
        <w:trPr>
          <w:trHeight w:val="223"/>
        </w:trPr>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195"/>
        </w:trPr>
        <w:tc>
          <w:tcPr>
            <w:tcW w:w="3980" w:type="dxa"/>
            <w:vAlign w:val="bottom"/>
            <w:gridSpan w:val="5"/>
          </w:tcPr>
          <w:p>
            <w:pPr>
              <w:jc w:val="center"/>
              <w:spacing w:after="0" w:line="195" w:lineRule="exact"/>
              <w:rPr>
                <w:sz w:val="20"/>
                <w:szCs w:val="20"/>
                <w:color w:val="auto"/>
              </w:rPr>
            </w:pPr>
            <w:r>
              <w:rPr>
                <w:rFonts w:ascii="Arial" w:cs="Arial" w:eastAsia="Arial" w:hAnsi="Arial"/>
                <w:sz w:val="18"/>
                <w:szCs w:val="18"/>
                <w:b w:val="1"/>
                <w:bCs w:val="1"/>
                <w:color w:val="auto"/>
                <w:w w:val="90"/>
              </w:rPr>
              <w:t>(in CHF thousands, unaudited)</w:t>
            </w: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(1,620)</w:t>
            </w:r>
          </w:p>
        </w:tc>
      </w:tr>
      <w:tr>
        <w:trPr>
          <w:trHeight w:val="216"/>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4,542</w:t>
            </w: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815</w:t>
            </w:r>
          </w:p>
        </w:tc>
      </w:tr>
      <w:tr>
        <w:trPr>
          <w:trHeight w:val="230"/>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r>
      <w:tr>
        <w:trPr>
          <w:trHeight w:val="223"/>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1,529</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(2,741)</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-2203450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-1929130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-1645920</wp:posOffset>
            </wp:positionV>
            <wp:extent cx="72466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-736600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-462280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-179705</wp:posOffset>
            </wp:positionV>
            <wp:extent cx="72466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980"/>
          </w:cols>
          <w:pgMar w:left="240" w:top="824" w:right="239" w:bottom="1440" w:gutter="0" w:footer="0" w:header="0"/>
          <w:type w:val="continuous"/>
        </w:sectPr>
      </w:pPr>
    </w:p>
    <w:p>
      <w:pPr>
        <w:spacing w:after="0" w:line="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the three and nine months ended September 30, 2019 and 2018, the Company reported CHF 0.2 million and CHF 1.5 million in net financial gains compared with CHF 1.3 million and CHF 1.2 million in net financial losses for the comparable periods in 2018, respectively. This represents a difference of CHF 1.6 million and CHF 2.7 million, respectively.</w:t>
      </w:r>
    </w:p>
    <w:p>
      <w:pPr>
        <w:spacing w:after="0" w:line="181"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key drivers for the financial losses during the three months ended September 30, 2019 relate to a strengthening of the USD against the Swiss Franc resulting in a CHF 0.3 million foreign currency gain compared to a CHF 1.3 million foreign currency loss in the comparable period.</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type w:val="continuous"/>
        </w:sectPr>
      </w:pPr>
    </w:p>
    <w:bookmarkStart w:id="62" w:name="page63"/>
    <w:bookmarkEnd w:id="62"/>
    <w:p>
      <w:pPr>
        <w:ind w:right="300" w:firstLine="324"/>
        <w:spacing w:after="0" w:line="276" w:lineRule="auto"/>
        <w:rPr>
          <w:sz w:val="20"/>
          <w:szCs w:val="20"/>
          <w:color w:val="auto"/>
        </w:rPr>
      </w:pPr>
      <w:r>
        <w:rPr>
          <w:rFonts w:ascii="Arial" w:cs="Arial" w:eastAsia="Arial" w:hAnsi="Arial"/>
          <w:sz w:val="17"/>
          <w:szCs w:val="17"/>
          <w:color w:val="auto"/>
        </w:rPr>
        <w:t>The key drivers for the financial gains during the nine months ended September 30, 2019 relate to a CHF 4.5 million change in the fair value of the conversion feature for the convertible loan due to Lilly. This gain was offset by CHF 1.6 million in interest expense, of which CHF 1.4 million is effective interest to amortize the host debt for the convertible loan. The Company also recorded a CHF 1.2 million loss associated with the revaluation of the convertible loan prior to its settlement in April 2019. Finally, as the USD fluctuated throughout the nine month period, the Company recorded a CHF 0.3 million foreign currency loss compared to a CHF 1.1 million foreign currency loss in the comparable period.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To date, the Company has financed its cash requirements primarily from its public offerings,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As of September 30, 2019, we had cash and cash equivalents of CHF 212.5 million and short-term financial assets of CHF 90.0 million for a total liquidity balance of CHF 302.5 million.</w:t>
      </w:r>
    </w:p>
    <w:p>
      <w:pPr>
        <w:spacing w:after="0" w:line="15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trade and other payables and accrued expenses. We expect to incur expenses in connection with a number of our product candidates in various stages of clinical development including co-funding ACI-35 to the end of the Phase 1b/2a clinical study, expenditures for clinical activities in accordance with our agreement with Lilly, ACI-24 in AD and ACI-24 in Down syndrome, our PET tracer candidates focused on alpha-synuclein and TDP-43 and a number of research initiatives focused on neurodegenerative orphan diseases other than AD.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plan to continue to fund our operating and capital funding needs through proceeds received from licensing and collaboration agreements and through equity or other forms of financing. We may also consider entering into additional collaboration agreements and selectively partnering for clinical development and commercialization.</w:t>
      </w:r>
    </w:p>
    <w:p>
      <w:pPr>
        <w:sectPr>
          <w:pgSz w:w="11900" w:h="16838" w:orient="portrait"/>
          <w:cols w:equalWidth="0" w:num="1">
            <w:col w:w="11420"/>
          </w:cols>
          <w:pgMar w:left="240" w:top="800" w:right="239"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For the Nine Months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6725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460"/>
        <w:spacing w:after="0"/>
        <w:tabs>
          <w:tab w:leader="none" w:pos="1800" w:val="left"/>
          <w:tab w:leader="none" w:pos="30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Change</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5298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67,964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(32,322)</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100,286</w:t>
            </w: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(61,307)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(59,598)</w:t>
            </w:r>
          </w:p>
        </w:tc>
      </w:tr>
      <w:tr>
        <w:trPr>
          <w:trHeight w:val="230"/>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49,624</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109,877</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(60,253)</w:t>
            </w:r>
          </w:p>
        </w:tc>
      </w:tr>
      <w:tr>
        <w:trPr>
          <w:trHeight w:val="223"/>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56,281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75,846</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(19,565)</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720" w:space="720"/>
            <w:col w:w="3980"/>
          </w:cols>
          <w:pgMar w:left="240" w:top="800" w:right="239" w:bottom="1440" w:gutter="0" w:footer="0" w:header="0"/>
          <w:type w:val="continuous"/>
        </w:sectPr>
      </w:pPr>
    </w:p>
    <w:p>
      <w:pPr>
        <w:spacing w:after="0" w:line="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Net cash provided by operating activities was CHF 68.0 million for the nine months ended September 30, 2019 compared with net cash used in operating activities of CHF 32.3 million for the nine months ended September 30, 2018. The change in cash provided by operating activities for the nine months ended September 30, 2019 was due to the Company’s reporting net income of CHF 64.9 million for the nine months ended September 30, 2019 compared with net loss of CHF 36.3 million for the same period in 2018 driven by (i) an increase of CHF 104.2 million in revenues principally due to recognition of a CHF 73.1 million upfront payment for a right-of-use license fee, CHF 1.5 million for research and development activities and a CHF 30 million payment for the first installment of the first milestone associated with our agreement with Lilly (ii) offset by the increase in research and development costs in the nine months ended September 30, 2019.</w:t>
      </w: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63" w:name="page64"/>
    <w:bookmarkEnd w:id="63"/>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Net cash used in investing activities rose to CHF 61.3 million for the nine months ended September 30, 2019 compared with net cash used in investing activities of CHF 1.7 million for the nine months ended September 30, 2018 due to CHF 60.0 million increase in fixed-term deposits with maturities of six to 12 months as well as a CHF 1.2 million investment in capital expenditures to strengthen our manufacturing and research infrastructure.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Net cash provided by financing activities was CHF 49.6 million for the nine months ended September 30, 2019 compared with net cash provided by financing activities of CHF 109.9 million for the nine months ended September 30, 2018. The decrease of CHF 60.3 million is predominantly related to CHF 109.5 million received from three follow-on offerings completed in July 2018. This increase is offset by CHF 50.3 million received from Lilly for a convertible loan offset by CHF 0.5 million for transaction costs associated with loan settlement.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successfully commercialize, our current or any future product candidates. As of September 30, 2019, we had cash and cash equivalents of CHF 212.5 million and short-term financial assets of CHF 90.0 million, resulting in CHF 302.5 million of liquidity. The increase relative to December 31, 2018 is due to the receipt of a CHF 80 million upfront payment from Lilly, a CHF 30 million for the first milestone payment from Lilly as well as USD 50 (CHF 50.3) million in consideration for the convertible note agreement. These increases in cash receipts were offset by an increase in research and development spending on our major discovery, research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the third quarter of 2023.</w:t>
      </w:r>
    </w:p>
    <w:p>
      <w:pPr>
        <w:spacing w:after="0" w:line="19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other products we may develop;</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cost and timing of managing, protecting, defending and enforcing our portfolio of intellectual property.</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During the three and nine months ended September 30, 2019, there were no significant changes to our quantitative and qualitative disclosures about market risk described under the heading “Management’s Discussion and Analysis of Financial Condition and Results of Operations—Quantitative and Qualitative Disclosures About Market Risk” in the Annual Report on Form 20-F.</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until the earlier of (i) until December 31, 2021 or (ii) our no longer being an “emerging growth company.” In particular, we would cease to be an emerging growth company if (i) we have more than USD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1.07 billion in annual revenue, (ii) we are deemed to be a “large accelerated filer” under the rules of the SEC, which means the market value of our common shares that are held by non-affiliates exceeds USD 700 million as of the most recently completed second fiscal quarter, or (iii) we have issued more than USD 1.0 billion in non-convertible debt during the prior three-year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18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income/(loss). The following table reconciles net income/(loss) to adjusted income/(loss) and adjusted earnings/(loss) per share for the periods presented:</w:t>
      </w: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For the Three Months</w:t>
            </w:r>
          </w:p>
        </w:tc>
        <w:tc>
          <w:tcPr>
            <w:tcW w:w="26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26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340" w:type="dxa"/>
            <w:vAlign w:val="bottom"/>
            <w:gridSpan w:val="7"/>
          </w:tcPr>
          <w:p>
            <w:pPr>
              <w:jc w:val="right"/>
              <w:ind w:right="45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Income/(Loss)</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18,213</w:t>
            </w:r>
          </w:p>
        </w:tc>
        <w:tc>
          <w:tcPr>
            <w:tcW w:w="120" w:type="dxa"/>
            <w:vAlign w:val="bottom"/>
            <w:shd w:val="clear" w:color="auto" w:fill="DCEBF4"/>
          </w:tcPr>
          <w:p>
            <w:pPr>
              <w:spacing w:after="0"/>
              <w:rPr>
                <w:sz w:val="19"/>
                <w:szCs w:val="19"/>
                <w:color w:val="auto"/>
              </w:rPr>
            </w:pPr>
          </w:p>
        </w:tc>
        <w:tc>
          <w:tcPr>
            <w:tcW w:w="126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(13,516)</w:t>
            </w:r>
          </w:p>
        </w:tc>
        <w:tc>
          <w:tcPr>
            <w:tcW w:w="10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64,888</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(36,274)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CEBF4"/>
          </w:tcPr>
          <w:p>
            <w:pPr>
              <w:spacing w:after="0"/>
              <w:rPr>
                <w:sz w:val="20"/>
                <w:szCs w:val="20"/>
                <w:color w:val="auto"/>
              </w:rPr>
            </w:pPr>
            <w:r>
              <w:rPr>
                <w:rFonts w:ascii="Arial" w:cs="Arial" w:eastAsia="Arial" w:hAnsi="Arial"/>
                <w:sz w:val="18"/>
                <w:szCs w:val="18"/>
                <w:color w:val="auto"/>
              </w:rPr>
              <w:t>Non-cash share-based payments (a)</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DCEBF4"/>
          </w:tcPr>
          <w:p>
            <w:pPr>
              <w:spacing w:after="0"/>
              <w:rPr>
                <w:sz w:val="18"/>
                <w:szCs w:val="18"/>
                <w:color w:val="auto"/>
              </w:rPr>
            </w:pPr>
          </w:p>
        </w:tc>
        <w:tc>
          <w:tcPr>
            <w:tcW w:w="126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Foreign currency (gains)/ losses (b)</w:t>
            </w:r>
          </w:p>
        </w:tc>
        <w:tc>
          <w:tcPr>
            <w:tcW w:w="12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CEBF4"/>
          </w:tcPr>
          <w:p>
            <w:pPr>
              <w:spacing w:after="0"/>
              <w:rPr>
                <w:sz w:val="20"/>
                <w:szCs w:val="20"/>
                <w:color w:val="auto"/>
              </w:rPr>
            </w:pPr>
            <w:r>
              <w:rPr>
                <w:rFonts w:ascii="Arial" w:cs="Arial" w:eastAsia="Arial" w:hAnsi="Arial"/>
                <w:sz w:val="18"/>
                <w:szCs w:val="18"/>
                <w:color w:val="auto"/>
              </w:rPr>
              <w:t>Effective interest expense (c)</w:t>
            </w:r>
          </w:p>
        </w:tc>
        <w:tc>
          <w:tcPr>
            <w:tcW w:w="1380" w:type="dxa"/>
            <w:vAlign w:val="bottom"/>
            <w:gridSpan w:val="2"/>
            <w:shd w:val="clear" w:color="auto" w:fill="DCEBF4"/>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CEBF4"/>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DCEBF4"/>
          </w:tcPr>
          <w:p>
            <w:pPr>
              <w:spacing w:after="0"/>
              <w:rPr>
                <w:sz w:val="18"/>
                <w:szCs w:val="18"/>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Change in fair value of conversion feature (d)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Adjusted Income/(Loss)</w:t>
            </w:r>
          </w:p>
        </w:tc>
        <w:tc>
          <w:tcPr>
            <w:tcW w:w="1260" w:type="dxa"/>
            <w:vAlign w:val="bottom"/>
            <w:tcBorders>
              <w:top w:val="single" w:sz="8" w:color="auto"/>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18,823</w:t>
            </w:r>
          </w:p>
        </w:tc>
        <w:tc>
          <w:tcPr>
            <w:tcW w:w="120" w:type="dxa"/>
            <w:vAlign w:val="bottom"/>
            <w:tcBorders>
              <w:top w:val="single" w:sz="8" w:color="DCEBF4"/>
            </w:tcBorders>
            <w:shd w:val="clear" w:color="auto" w:fill="DCEBF4"/>
          </w:tcPr>
          <w:p>
            <w:pPr>
              <w:spacing w:after="0"/>
              <w:rPr>
                <w:sz w:val="18"/>
                <w:szCs w:val="18"/>
                <w:color w:val="auto"/>
              </w:rPr>
            </w:pPr>
          </w:p>
        </w:tc>
        <w:tc>
          <w:tcPr>
            <w:tcW w:w="126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(11,637)</w:t>
            </w:r>
          </w:p>
        </w:tc>
        <w:tc>
          <w:tcPr>
            <w:tcW w:w="100" w:type="dxa"/>
            <w:vAlign w:val="bottom"/>
            <w:tcBorders>
              <w:top w:val="single" w:sz="8" w:color="DCEBF4"/>
            </w:tcBorders>
            <w:shd w:val="clear" w:color="auto" w:fill="DCEBF4"/>
          </w:tcPr>
          <w:p>
            <w:pPr>
              <w:spacing w:after="0"/>
              <w:rPr>
                <w:sz w:val="18"/>
                <w:szCs w:val="18"/>
                <w:color w:val="auto"/>
              </w:rPr>
            </w:pPr>
          </w:p>
        </w:tc>
        <w:tc>
          <w:tcPr>
            <w:tcW w:w="1240" w:type="dxa"/>
            <w:vAlign w:val="bottom"/>
            <w:tcBorders>
              <w:top w:val="single" w:sz="8" w:color="auto"/>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64,014</w:t>
            </w:r>
          </w:p>
        </w:tc>
        <w:tc>
          <w:tcPr>
            <w:tcW w:w="120" w:type="dxa"/>
            <w:vAlign w:val="bottom"/>
            <w:tcBorders>
              <w:top w:val="single" w:sz="8" w:color="DCEBF4"/>
            </w:tcBorders>
            <w:shd w:val="clear" w:color="auto" w:fill="DCEBF4"/>
          </w:tcPr>
          <w:p>
            <w:pPr>
              <w:spacing w:after="0"/>
              <w:rPr>
                <w:sz w:val="18"/>
                <w:szCs w:val="18"/>
                <w:color w:val="auto"/>
              </w:rPr>
            </w:pPr>
          </w:p>
        </w:tc>
        <w:tc>
          <w:tcPr>
            <w:tcW w:w="12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(33,276)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Earnings/(Loss) per share – basic</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DCEBF4"/>
          </w:tcPr>
          <w:p>
            <w:pPr>
              <w:spacing w:after="0"/>
              <w:rPr>
                <w:sz w:val="19"/>
                <w:szCs w:val="19"/>
                <w:color w:val="auto"/>
              </w:rPr>
            </w:pPr>
          </w:p>
        </w:tc>
        <w:tc>
          <w:tcPr>
            <w:tcW w:w="126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DCEBF4"/>
          </w:tcPr>
          <w:p>
            <w:pPr>
              <w:spacing w:after="0"/>
              <w:rPr>
                <w:sz w:val="19"/>
                <w:szCs w:val="19"/>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Earnings/(Loss) per share – diluted</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DCEBF4"/>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Adjustment to earnings/(loss) per share – basic</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DCEBF4"/>
          </w:tcPr>
          <w:p>
            <w:pPr>
              <w:spacing w:after="0"/>
              <w:rPr>
                <w:sz w:val="18"/>
                <w:szCs w:val="18"/>
                <w:color w:val="auto"/>
              </w:rPr>
            </w:pPr>
          </w:p>
        </w:tc>
        <w:tc>
          <w:tcPr>
            <w:tcW w:w="126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Adjustment to earnings/(loss) per share – diluted</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DCEBF4"/>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Adjusted earnings/(loss) per share – basic</w:t>
            </w:r>
          </w:p>
        </w:tc>
        <w:tc>
          <w:tcPr>
            <w:tcW w:w="1260" w:type="dxa"/>
            <w:vAlign w:val="bottom"/>
            <w:tcBorders>
              <w:bottom w:val="single" w:sz="8" w:color="auto"/>
            </w:tcBorders>
            <w:shd w:val="clear" w:color="auto" w:fill="DCEBF4"/>
          </w:tcPr>
          <w:p>
            <w:pPr>
              <w:jc w:val="right"/>
              <w:ind w:right="30"/>
              <w:spacing w:after="0"/>
              <w:rPr>
                <w:sz w:val="20"/>
                <w:szCs w:val="20"/>
                <w:color w:val="auto"/>
              </w:rPr>
            </w:pPr>
            <w:r>
              <w:rPr>
                <w:rFonts w:ascii="Arial" w:cs="Arial" w:eastAsia="Arial" w:hAnsi="Arial"/>
                <w:sz w:val="18"/>
                <w:szCs w:val="18"/>
                <w:b w:val="1"/>
                <w:bCs w:val="1"/>
                <w:color w:val="auto"/>
              </w:rPr>
              <w:t>0.26</w:t>
            </w:r>
          </w:p>
        </w:tc>
        <w:tc>
          <w:tcPr>
            <w:tcW w:w="120" w:type="dxa"/>
            <w:vAlign w:val="bottom"/>
            <w:shd w:val="clear" w:color="auto" w:fill="DCEBF4"/>
          </w:tcPr>
          <w:p>
            <w:pPr>
              <w:spacing w:after="0"/>
              <w:rPr>
                <w:sz w:val="18"/>
                <w:szCs w:val="18"/>
                <w:color w:val="auto"/>
              </w:rPr>
            </w:pPr>
          </w:p>
        </w:tc>
        <w:tc>
          <w:tcPr>
            <w:tcW w:w="126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(0.18)</w:t>
            </w:r>
          </w:p>
        </w:tc>
        <w:tc>
          <w:tcPr>
            <w:tcW w:w="10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ind w:right="10"/>
              <w:spacing w:after="0"/>
              <w:rPr>
                <w:sz w:val="20"/>
                <w:szCs w:val="20"/>
                <w:color w:val="auto"/>
              </w:rPr>
            </w:pPr>
            <w:r>
              <w:rPr>
                <w:rFonts w:ascii="Arial" w:cs="Arial" w:eastAsia="Arial" w:hAnsi="Arial"/>
                <w:sz w:val="18"/>
                <w:szCs w:val="18"/>
                <w:b w:val="1"/>
                <w:bCs w:val="1"/>
                <w:color w:val="auto"/>
              </w:rPr>
              <w:t>0.91</w:t>
            </w:r>
          </w:p>
        </w:tc>
        <w:tc>
          <w:tcPr>
            <w:tcW w:w="120" w:type="dxa"/>
            <w:vAlign w:val="bottom"/>
            <w:shd w:val="clear" w:color="auto" w:fill="DCEBF4"/>
          </w:tcPr>
          <w:p>
            <w:pPr>
              <w:spacing w:after="0"/>
              <w:rPr>
                <w:sz w:val="18"/>
                <w:szCs w:val="18"/>
                <w:color w:val="auto"/>
              </w:rPr>
            </w:pPr>
          </w:p>
        </w:tc>
        <w:tc>
          <w:tcPr>
            <w:tcW w:w="12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Adjusted earnings/(loss) per share – diluted</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0.26</w:t>
            </w:r>
          </w:p>
        </w:tc>
        <w:tc>
          <w:tcPr>
            <w:tcW w:w="120" w:type="dxa"/>
            <w:vAlign w:val="bottom"/>
            <w:tcBorders>
              <w:bottom w:val="single" w:sz="8" w:color="DCEBF4"/>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(0.18)</w:t>
            </w:r>
          </w:p>
        </w:tc>
        <w:tc>
          <w:tcPr>
            <w:tcW w:w="10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0.91</w:t>
            </w:r>
          </w:p>
        </w:tc>
        <w:tc>
          <w:tcPr>
            <w:tcW w:w="120" w:type="dxa"/>
            <w:vAlign w:val="bottom"/>
            <w:tcBorders>
              <w:bottom w:val="single" w:sz="8" w:color="DCEBF4"/>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DCEBF4"/>
          </w:tcPr>
          <w:p>
            <w:pPr>
              <w:spacing w:after="0" w:line="182" w:lineRule="exact"/>
              <w:rPr>
                <w:sz w:val="20"/>
                <w:szCs w:val="20"/>
                <w:color w:val="auto"/>
              </w:rPr>
            </w:pPr>
            <w:r>
              <w:rPr>
                <w:rFonts w:ascii="Arial" w:cs="Arial" w:eastAsia="Arial" w:hAnsi="Arial"/>
                <w:sz w:val="18"/>
                <w:szCs w:val="18"/>
                <w:color w:val="auto"/>
                <w:w w:val="91"/>
              </w:rPr>
              <w:t>Weighted-average number of shares used to compute Adjusted earnings/(loss) per</w:t>
            </w:r>
          </w:p>
        </w:tc>
        <w:tc>
          <w:tcPr>
            <w:tcW w:w="1260" w:type="dxa"/>
            <w:vAlign w:val="bottom"/>
            <w:shd w:val="clear" w:color="auto" w:fill="DCEBF4"/>
          </w:tcPr>
          <w:p>
            <w:pPr>
              <w:spacing w:after="0"/>
              <w:rPr>
                <w:sz w:val="15"/>
                <w:szCs w:val="15"/>
                <w:color w:val="auto"/>
              </w:rPr>
            </w:pPr>
          </w:p>
        </w:tc>
        <w:tc>
          <w:tcPr>
            <w:tcW w:w="120" w:type="dxa"/>
            <w:vAlign w:val="bottom"/>
            <w:shd w:val="clear" w:color="auto" w:fill="DCEBF4"/>
          </w:tcPr>
          <w:p>
            <w:pPr>
              <w:spacing w:after="0"/>
              <w:rPr>
                <w:sz w:val="15"/>
                <w:szCs w:val="15"/>
                <w:color w:val="auto"/>
              </w:rPr>
            </w:pPr>
          </w:p>
        </w:tc>
        <w:tc>
          <w:tcPr>
            <w:tcW w:w="1260" w:type="dxa"/>
            <w:vAlign w:val="bottom"/>
            <w:shd w:val="clear" w:color="auto" w:fill="DCEBF4"/>
          </w:tcPr>
          <w:p>
            <w:pPr>
              <w:spacing w:after="0"/>
              <w:rPr>
                <w:sz w:val="15"/>
                <w:szCs w:val="15"/>
                <w:color w:val="auto"/>
              </w:rPr>
            </w:pPr>
          </w:p>
        </w:tc>
        <w:tc>
          <w:tcPr>
            <w:tcW w:w="100" w:type="dxa"/>
            <w:vAlign w:val="bottom"/>
            <w:shd w:val="clear" w:color="auto" w:fill="DCEBF4"/>
          </w:tcPr>
          <w:p>
            <w:pPr>
              <w:spacing w:after="0"/>
              <w:rPr>
                <w:sz w:val="15"/>
                <w:szCs w:val="15"/>
                <w:color w:val="auto"/>
              </w:rPr>
            </w:pPr>
          </w:p>
        </w:tc>
        <w:tc>
          <w:tcPr>
            <w:tcW w:w="1240" w:type="dxa"/>
            <w:vAlign w:val="bottom"/>
            <w:shd w:val="clear" w:color="auto" w:fill="DCEBF4"/>
          </w:tcPr>
          <w:p>
            <w:pPr>
              <w:spacing w:after="0"/>
              <w:rPr>
                <w:sz w:val="15"/>
                <w:szCs w:val="15"/>
                <w:color w:val="auto"/>
              </w:rPr>
            </w:pPr>
          </w:p>
        </w:tc>
        <w:tc>
          <w:tcPr>
            <w:tcW w:w="120" w:type="dxa"/>
            <w:vAlign w:val="bottom"/>
            <w:shd w:val="clear" w:color="auto" w:fill="DCEBF4"/>
          </w:tcPr>
          <w:p>
            <w:pPr>
              <w:spacing w:after="0"/>
              <w:rPr>
                <w:sz w:val="15"/>
                <w:szCs w:val="15"/>
                <w:color w:val="auto"/>
              </w:rPr>
            </w:pPr>
          </w:p>
        </w:tc>
        <w:tc>
          <w:tcPr>
            <w:tcW w:w="1240" w:type="dxa"/>
            <w:vAlign w:val="bottom"/>
            <w:shd w:val="clear" w:color="auto" w:fill="DCEBF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DCEBF4"/>
          </w:tcPr>
          <w:p>
            <w:pPr>
              <w:spacing w:after="0"/>
              <w:rPr>
                <w:sz w:val="20"/>
                <w:szCs w:val="20"/>
                <w:color w:val="auto"/>
              </w:rPr>
            </w:pPr>
            <w:r>
              <w:rPr>
                <w:rFonts w:ascii="Arial" w:cs="Arial" w:eastAsia="Arial" w:hAnsi="Arial"/>
                <w:sz w:val="18"/>
                <w:szCs w:val="18"/>
                <w:color w:val="auto"/>
              </w:rPr>
              <w:t>share – basic</w:t>
            </w:r>
          </w:p>
        </w:tc>
        <w:tc>
          <w:tcPr>
            <w:tcW w:w="1260" w:type="dxa"/>
            <w:vAlign w:val="bottom"/>
            <w:shd w:val="clear" w:color="auto" w:fill="DCEBF4"/>
          </w:tcPr>
          <w:p>
            <w:pPr>
              <w:jc w:val="right"/>
              <w:ind w:right="30"/>
              <w:spacing w:after="0"/>
              <w:rPr>
                <w:sz w:val="20"/>
                <w:szCs w:val="20"/>
                <w:color w:val="auto"/>
              </w:rPr>
            </w:pPr>
            <w:r>
              <w:rPr>
                <w:rFonts w:ascii="Arial" w:cs="Arial" w:eastAsia="Arial" w:hAnsi="Arial"/>
                <w:sz w:val="18"/>
                <w:szCs w:val="18"/>
                <w:color w:val="auto"/>
              </w:rPr>
              <w:t>71,822,884</w:t>
            </w:r>
          </w:p>
        </w:tc>
        <w:tc>
          <w:tcPr>
            <w:tcW w:w="120" w:type="dxa"/>
            <w:vAlign w:val="bottom"/>
            <w:shd w:val="clear" w:color="auto" w:fill="DCEBF4"/>
          </w:tcPr>
          <w:p>
            <w:pPr>
              <w:spacing w:after="0"/>
              <w:rPr>
                <w:sz w:val="20"/>
                <w:szCs w:val="20"/>
                <w:color w:val="auto"/>
              </w:rPr>
            </w:pPr>
          </w:p>
        </w:tc>
        <w:tc>
          <w:tcPr>
            <w:tcW w:w="126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64,862,822</w:t>
            </w:r>
          </w:p>
        </w:tc>
        <w:tc>
          <w:tcPr>
            <w:tcW w:w="100" w:type="dxa"/>
            <w:vAlign w:val="bottom"/>
            <w:shd w:val="clear" w:color="auto" w:fill="DCEBF4"/>
          </w:tcPr>
          <w:p>
            <w:pPr>
              <w:spacing w:after="0"/>
              <w:rPr>
                <w:sz w:val="20"/>
                <w:szCs w:val="20"/>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70,184,257</w:t>
            </w:r>
          </w:p>
        </w:tc>
        <w:tc>
          <w:tcPr>
            <w:tcW w:w="120" w:type="dxa"/>
            <w:vAlign w:val="bottom"/>
            <w:shd w:val="clear" w:color="auto" w:fill="DCEBF4"/>
          </w:tcPr>
          <w:p>
            <w:pPr>
              <w:spacing w:after="0"/>
              <w:rPr>
                <w:sz w:val="20"/>
                <w:szCs w:val="20"/>
                <w:color w:val="auto"/>
              </w:rPr>
            </w:pPr>
          </w:p>
        </w:tc>
        <w:tc>
          <w:tcPr>
            <w:tcW w:w="124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auto"/>
              </w:rPr>
              <w:t>59,912,283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1"/>
              </w:rPr>
              <w:t>Weighted-average number of shares used to compute Adjusted earnings/(loss) per</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share – diluted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72,281,264</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64,862,822</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70,700,690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59,912,283</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_________________</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7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23" w:lineRule="exact"/>
        <w:rPr>
          <w:rFonts w:ascii="Arial" w:cs="Arial" w:eastAsia="Arial" w:hAnsi="Arial"/>
          <w:sz w:val="16"/>
          <w:szCs w:val="16"/>
          <w:color w:val="auto"/>
        </w:rPr>
      </w:pPr>
    </w:p>
    <w:p>
      <w:pPr>
        <w:ind w:left="340" w:right="3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 interest expense for the period relates to the accretion of the Company’s convertible loan in accordance with the effective interest method.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22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For the three and nine months ended September 30, 2019, adjustments increased net income and decreased net income by CHF 0.6 million and CHF 0.9 million compared with decreases to the net losses by CHF 1.9 million and CHF 3.0 million for the comparable periods in 2018, respectively. The Company recorded CHF 0.9 million and CHF 2.0 million for the three and nine months, respectively, for share-based compensation expenses. There were foreign currency remeasurement gains of CHF 0.3 million and remeasurement losses of CHF 0.3 million, respectively, related to foreign currency fluctuations. The Company recorded nil and CHF 1.4 million for amortization of effective interest for the three and nine months ended September 30, 2019, respectively. Finally, the Company recognized nil and a CHF 4.5 million gain for the change in fair value of the liability related to the conversion feature.</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6" w:name="page67"/>
    <w:bookmarkEnd w:id="66"/>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described under the sections in the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697990" cy="531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Immune Q3 2019 Financial Results and Business Update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CHF 32 Million in Milestone Revenues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Multiple Upcoming Catalysts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Execution Across Clinical and Preclinical Neurodegenerative Development Pipeline</w:t>
      </w: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November 13, 2019 </w:t>
      </w:r>
      <w:r>
        <w:rPr>
          <w:rFonts w:ascii="Arial" w:cs="Arial" w:eastAsia="Arial" w:hAnsi="Arial"/>
          <w:sz w:val="18"/>
          <w:szCs w:val="18"/>
          <w:color w:val="auto"/>
        </w:rPr>
        <w:t>– AC Immune SA (NASDAQ: ACIU), a Swiss-based biopharmaceutical company with a broad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clinical-stage pipeline focused on neurodegenerative diseases, today provided a business and clinical update and reported its consolidated financial results for the third quarter of 2019.</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Prof. Andrea Pfeifer, Ph.D., CEO of AC Immune, commented: </w:t>
      </w:r>
      <w:r>
        <w:rPr>
          <w:rFonts w:ascii="Arial" w:cs="Arial" w:eastAsia="Arial" w:hAnsi="Arial"/>
          <w:sz w:val="18"/>
          <w:szCs w:val="18"/>
          <w:color w:val="auto"/>
        </w:rPr>
        <w:t>“AC Immune, together with our leading pharmaceutical partners, is advancing</w:t>
      </w:r>
      <w:r>
        <w:rPr>
          <w:rFonts w:ascii="Arial" w:cs="Arial" w:eastAsia="Arial" w:hAnsi="Arial"/>
          <w:sz w:val="18"/>
          <w:szCs w:val="18"/>
          <w:b w:val="1"/>
          <w:bCs w:val="1"/>
          <w:color w:val="auto"/>
        </w:rPr>
        <w:t xml:space="preserve"> </w:t>
      </w:r>
      <w:r>
        <w:rPr>
          <w:rFonts w:ascii="Arial" w:cs="Arial" w:eastAsia="Arial" w:hAnsi="Arial"/>
          <w:sz w:val="18"/>
          <w:szCs w:val="18"/>
          <w:color w:val="auto"/>
        </w:rPr>
        <w:t>one of the industry’s broadest, most diversified development pipelines targeting neurodegenerative diseases. This quarter, we continued to demonstrate strong progress across our pipeline of potentially best-in-class small molecule, antibody, and vaccine therapeutics, as well as our cutting-edge diagnostic agents. This resulted in milestones achieved totaling CHF 32 million which were comprised of CHF 30 million from Eli Lilly and Company and EUR 2 million (CHF 2.2 million) from Life Molecular Imaging.”</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Prof. Pfeifer continued, “We anticipate multiple catalysts in 2019 and 2020, highlighted by expected Phase 2 data for semorinemab, our anti-Tau antibody partnered with Genentech/Roche, which we anticipate will be the first Phase 2 data available for a Tau-targeted therapy in Alzheimer’s disease (AD). We also anticipate achieving further progress across our development pipeline with both early and late stage data readouts that we believe will build substantial value for the Company.”</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Immune’s unique, multi-pronged approach is designed to address the full spectrum of neurodegenerative diseases. By selectively targeting misfolded pathological proteins both intracellularly and extracellularly, and by creating state-of-the-art diagnostic imaging agents that enable early detection of multiple disease pathologies and tracking of disease progression, AC Immune is pioneering a personalized medicine approach to deliver the right therapy to the right patient at the right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Highlights</w:t>
      </w:r>
    </w:p>
    <w:p>
      <w:pPr>
        <w:spacing w:after="0" w:line="220" w:lineRule="exact"/>
        <w:rPr>
          <w:sz w:val="20"/>
          <w:szCs w:val="20"/>
          <w:color w:val="auto"/>
        </w:rPr>
      </w:pPr>
    </w:p>
    <w:p>
      <w:pPr>
        <w:ind w:left="340" w:hanging="332"/>
        <w:spacing w:after="0" w:line="246" w:lineRule="auto"/>
        <w:tabs>
          <w:tab w:leader="none" w:pos="340" w:val="left"/>
        </w:tabs>
        <w:numPr>
          <w:ilvl w:val="0"/>
          <w:numId w:val="22"/>
        </w:numPr>
        <w:rPr>
          <w:rFonts w:ascii="Arial" w:cs="Arial" w:eastAsia="Arial" w:hAnsi="Arial"/>
          <w:sz w:val="18"/>
          <w:szCs w:val="18"/>
          <w:color w:val="C00000"/>
        </w:rPr>
      </w:pPr>
      <w:r>
        <w:rPr>
          <w:rFonts w:ascii="Arial" w:cs="Arial" w:eastAsia="Arial" w:hAnsi="Arial"/>
          <w:sz w:val="18"/>
          <w:szCs w:val="18"/>
          <w:color w:val="auto"/>
        </w:rPr>
        <w:t xml:space="preserve">Earned a EUR 2 million (CHF 2.2 million) </w:t>
      </w:r>
      <w:r>
        <w:rPr>
          <w:rFonts w:ascii="Arial" w:cs="Arial" w:eastAsia="Arial" w:hAnsi="Arial"/>
          <w:sz w:val="18"/>
          <w:szCs w:val="18"/>
          <w:u w:val="single" w:color="auto"/>
          <w:color w:val="0000FF"/>
        </w:rPr>
        <w:t>milestone</w:t>
      </w:r>
      <w:r>
        <w:rPr>
          <w:rFonts w:ascii="Arial" w:cs="Arial" w:eastAsia="Arial" w:hAnsi="Arial"/>
          <w:sz w:val="18"/>
          <w:szCs w:val="18"/>
          <w:color w:val="auto"/>
        </w:rPr>
        <w:t xml:space="preserve"> following initiation of longitudinal Phase 2 clinical development of next-generation Tau positron emission tomography (PET) tracer PI-2620 by partner Life Molecular Imaging</w:t>
      </w:r>
    </w:p>
    <w:p>
      <w:pPr>
        <w:spacing w:after="0" w:line="183" w:lineRule="exact"/>
        <w:rPr>
          <w:rFonts w:ascii="Arial" w:cs="Arial" w:eastAsia="Arial" w:hAnsi="Arial"/>
          <w:sz w:val="18"/>
          <w:szCs w:val="18"/>
          <w:color w:val="C00000"/>
        </w:rPr>
      </w:pPr>
    </w:p>
    <w:p>
      <w:pPr>
        <w:jc w:val="both"/>
        <w:ind w:left="340" w:hanging="332"/>
        <w:spacing w:after="0"/>
        <w:tabs>
          <w:tab w:leader="none" w:pos="340" w:val="left"/>
        </w:tabs>
        <w:numPr>
          <w:ilvl w:val="0"/>
          <w:numId w:val="22"/>
        </w:numPr>
        <w:rPr>
          <w:rFonts w:ascii="Arial" w:cs="Arial" w:eastAsia="Arial" w:hAnsi="Arial"/>
          <w:sz w:val="18"/>
          <w:szCs w:val="18"/>
          <w:color w:val="C00000"/>
        </w:rPr>
      </w:pPr>
      <w:r>
        <w:rPr>
          <w:rFonts w:ascii="Arial" w:cs="Arial" w:eastAsia="Arial" w:hAnsi="Arial"/>
          <w:sz w:val="18"/>
          <w:szCs w:val="18"/>
          <w:color w:val="auto"/>
        </w:rPr>
        <w:t xml:space="preserve">Received first CHF 30 million </w:t>
      </w:r>
      <w:r>
        <w:rPr>
          <w:rFonts w:ascii="Arial" w:cs="Arial" w:eastAsia="Arial" w:hAnsi="Arial"/>
          <w:sz w:val="18"/>
          <w:szCs w:val="18"/>
          <w:u w:val="single" w:color="auto"/>
          <w:color w:val="0000FF"/>
        </w:rPr>
        <w:t>milestone payment</w:t>
      </w:r>
      <w:r>
        <w:rPr>
          <w:rFonts w:ascii="Arial" w:cs="Arial" w:eastAsia="Arial" w:hAnsi="Arial"/>
          <w:sz w:val="18"/>
          <w:szCs w:val="18"/>
          <w:color w:val="auto"/>
        </w:rPr>
        <w:t xml:space="preserve"> from Lilly based on achievement of preclinical milestones related to the oral small molecule Tau Morphomer™ program, which is currently advancing in a Phase 1 clinical study. A second CHF 30 million milestone payment is scheduled for Q1 2020, linked to achievement of further development milestones</w:t>
      </w:r>
    </w:p>
    <w:p>
      <w:pPr>
        <w:spacing w:after="0" w:line="2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8" w:name="page69"/>
    <w:bookmarkEnd w:id="68"/>
    <w:p>
      <w:pPr>
        <w:ind w:left="340" w:hanging="332"/>
        <w:spacing w:after="0" w:line="246" w:lineRule="auto"/>
        <w:tabs>
          <w:tab w:leader="none" w:pos="340" w:val="left"/>
        </w:tabs>
        <w:numPr>
          <w:ilvl w:val="0"/>
          <w:numId w:val="23"/>
        </w:numPr>
        <w:rPr>
          <w:rFonts w:ascii="Arial" w:cs="Arial" w:eastAsia="Arial" w:hAnsi="Arial"/>
          <w:sz w:val="18"/>
          <w:szCs w:val="18"/>
          <w:color w:val="C00000"/>
        </w:rPr>
      </w:pPr>
      <w:r>
        <w:rPr>
          <w:rFonts w:ascii="Arial" w:cs="Arial" w:eastAsia="Arial" w:hAnsi="Arial"/>
          <w:sz w:val="18"/>
          <w:szCs w:val="18"/>
          <w:color w:val="auto"/>
        </w:rPr>
        <w:t xml:space="preserve">Vaccinated the first patient in a </w:t>
      </w:r>
      <w:r>
        <w:rPr>
          <w:rFonts w:ascii="Arial" w:cs="Arial" w:eastAsia="Arial" w:hAnsi="Arial"/>
          <w:sz w:val="18"/>
          <w:szCs w:val="18"/>
          <w:u w:val="single" w:color="auto"/>
          <w:color w:val="0000FF"/>
        </w:rPr>
        <w:t>Phase 1b/2a study</w:t>
      </w:r>
      <w:r>
        <w:rPr>
          <w:rFonts w:ascii="Arial" w:cs="Arial" w:eastAsia="Arial" w:hAnsi="Arial"/>
          <w:sz w:val="18"/>
          <w:szCs w:val="18"/>
          <w:color w:val="auto"/>
        </w:rPr>
        <w:t xml:space="preserve"> of anti-phospho-Tau (anti-pTau) vaccine candidate ACI-35.030 in collaboration with Janssen Pharmaceuticals. ACI-35.030 is intended as a disease-modifying treatment for AD and other Tauopathies</w:t>
      </w:r>
    </w:p>
    <w:p>
      <w:pPr>
        <w:spacing w:after="0" w:line="183" w:lineRule="exact"/>
        <w:rPr>
          <w:rFonts w:ascii="Arial" w:cs="Arial" w:eastAsia="Arial" w:hAnsi="Arial"/>
          <w:sz w:val="18"/>
          <w:szCs w:val="18"/>
          <w:color w:val="C00000"/>
        </w:rPr>
      </w:pPr>
    </w:p>
    <w:p>
      <w:pPr>
        <w:jc w:val="both"/>
        <w:ind w:left="340" w:hanging="332"/>
        <w:spacing w:after="0" w:line="209" w:lineRule="auto"/>
        <w:tabs>
          <w:tab w:leader="none" w:pos="340" w:val="left"/>
        </w:tabs>
        <w:numPr>
          <w:ilvl w:val="0"/>
          <w:numId w:val="23"/>
        </w:numPr>
        <w:rPr>
          <w:rFonts w:ascii="Arial" w:cs="Arial" w:eastAsia="Arial" w:hAnsi="Arial"/>
          <w:sz w:val="18"/>
          <w:szCs w:val="18"/>
          <w:color w:val="C00000"/>
        </w:rPr>
      </w:pPr>
      <w:r>
        <w:rPr>
          <w:rFonts w:ascii="Arial" w:cs="Arial" w:eastAsia="Arial" w:hAnsi="Arial"/>
          <w:sz w:val="18"/>
          <w:szCs w:val="18"/>
          <w:color w:val="auto"/>
        </w:rPr>
        <w:t xml:space="preserve">Recently hosted a </w:t>
      </w:r>
      <w:r>
        <w:rPr>
          <w:rFonts w:ascii="Arial" w:cs="Arial" w:eastAsia="Arial" w:hAnsi="Arial"/>
          <w:sz w:val="18"/>
          <w:szCs w:val="18"/>
          <w:u w:val="single" w:color="auto"/>
          <w:color w:val="0000FF"/>
        </w:rPr>
        <w:t>key opinion leader (KOL)</w:t>
      </w:r>
      <w:r>
        <w:rPr>
          <w:rFonts w:ascii="Arial" w:cs="Arial" w:eastAsia="Arial" w:hAnsi="Arial"/>
          <w:sz w:val="18"/>
          <w:szCs w:val="18"/>
          <w:color w:val="auto"/>
        </w:rPr>
        <w:t xml:space="preserve"> event focused on the therapeutic and diagnostic potential of targeting Tau pathology, which highlighted AC Immune’s differentiated Tau pipeline candidates and key updates from the ACI-3024 Tau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small molecule and ACI-35.030 programs</w:t>
      </w:r>
    </w:p>
    <w:p>
      <w:pPr>
        <w:spacing w:after="0" w:line="189" w:lineRule="exact"/>
        <w:rPr>
          <w:rFonts w:ascii="Arial" w:cs="Arial" w:eastAsia="Arial" w:hAnsi="Arial"/>
          <w:sz w:val="18"/>
          <w:szCs w:val="18"/>
          <w:color w:val="C00000"/>
        </w:rPr>
      </w:pPr>
    </w:p>
    <w:p>
      <w:pPr>
        <w:jc w:val="both"/>
        <w:ind w:left="340" w:hanging="332"/>
        <w:spacing w:after="0"/>
        <w:tabs>
          <w:tab w:leader="none" w:pos="340" w:val="left"/>
        </w:tabs>
        <w:numPr>
          <w:ilvl w:val="0"/>
          <w:numId w:val="23"/>
        </w:numPr>
        <w:rPr>
          <w:rFonts w:ascii="Arial" w:cs="Arial" w:eastAsia="Arial" w:hAnsi="Arial"/>
          <w:sz w:val="18"/>
          <w:szCs w:val="18"/>
          <w:color w:val="C00000"/>
        </w:rPr>
      </w:pPr>
      <w:r>
        <w:rPr>
          <w:rFonts w:ascii="Arial" w:cs="Arial" w:eastAsia="Arial" w:hAnsi="Arial"/>
          <w:sz w:val="18"/>
          <w:szCs w:val="18"/>
          <w:color w:val="auto"/>
        </w:rPr>
        <w:t xml:space="preserve">Awarded a new </w:t>
      </w:r>
      <w:r>
        <w:rPr>
          <w:rFonts w:ascii="Arial" w:cs="Arial" w:eastAsia="Arial" w:hAnsi="Arial"/>
          <w:sz w:val="18"/>
          <w:szCs w:val="18"/>
          <w:u w:val="single" w:color="auto"/>
          <w:color w:val="0000FF"/>
        </w:rPr>
        <w:t>grant</w:t>
      </w:r>
      <w:r>
        <w:rPr>
          <w:rFonts w:ascii="Arial" w:cs="Arial" w:eastAsia="Arial" w:hAnsi="Arial"/>
          <w:sz w:val="18"/>
          <w:szCs w:val="18"/>
          <w:color w:val="auto"/>
        </w:rPr>
        <w:t xml:space="preserve"> from The Michael J. Fox Foundation for the Company’s pioneering alpha-synuclein (a-syn) PET tracer program. If successful, AC Immune’s program could deliver the world’s first imaging agent capable of accurately detecting and monitoring progression of Parkinson’s disease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Statements for the Three and Nine Months Ended September 30, 2019</w:t>
      </w:r>
    </w:p>
    <w:p>
      <w:pPr>
        <w:spacing w:after="0" w:line="198" w:lineRule="exact"/>
        <w:rPr>
          <w:sz w:val="20"/>
          <w:szCs w:val="20"/>
          <w:color w:val="auto"/>
        </w:rPr>
      </w:pPr>
    </w:p>
    <w:p>
      <w:pPr>
        <w:jc w:val="both"/>
        <w:ind w:left="340" w:hanging="332"/>
        <w:spacing w:after="0" w:line="242" w:lineRule="auto"/>
        <w:tabs>
          <w:tab w:leader="none" w:pos="340" w:val="left"/>
        </w:tabs>
        <w:numPr>
          <w:ilvl w:val="0"/>
          <w:numId w:val="24"/>
        </w:numPr>
        <w:rPr>
          <w:rFonts w:ascii="Arial" w:cs="Arial" w:eastAsia="Arial" w:hAnsi="Arial"/>
          <w:sz w:val="18"/>
          <w:szCs w:val="18"/>
          <w:color w:val="C00000"/>
        </w:rPr>
      </w:pPr>
      <w:r>
        <w:rPr>
          <w:rFonts w:ascii="Arial" w:cs="Arial" w:eastAsia="Arial" w:hAnsi="Arial"/>
          <w:sz w:val="18"/>
          <w:szCs w:val="18"/>
          <w:b w:val="1"/>
          <w:bCs w:val="1"/>
          <w:color w:val="auto"/>
        </w:rPr>
        <w:t>Cash Position</w:t>
      </w:r>
      <w:r>
        <w:rPr>
          <w:rFonts w:ascii="Arial" w:cs="Arial" w:eastAsia="Arial" w:hAnsi="Arial"/>
          <w:sz w:val="18"/>
          <w:szCs w:val="18"/>
          <w:color w:val="auto"/>
        </w:rPr>
        <w:t>: The Company had a total cash balance of CHF 302.5 million, comprised of CHF 212.5 million in cash and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CHF 90.0 million in short-term financial assets. This compares to a total cash balance of CHF 186.5 million as of December 31, 2018. The increase of CHF 116 million is principally due to the CHF 80 million upfront payment, USD 50 million convertible equity note, and CHF 30 million milestone payment related to the agreement with Lilly. The total shareholders’ equity position increased from December 31, 2018 to CHF 292.4 million from CHF 177.6 million. Further details are available in our corresponding Financial Statements filed on the accompanying Form 6-K</w:t>
      </w:r>
    </w:p>
    <w:p>
      <w:pPr>
        <w:spacing w:after="0" w:line="165" w:lineRule="exact"/>
        <w:rPr>
          <w:rFonts w:ascii="Arial" w:cs="Arial" w:eastAsia="Arial" w:hAnsi="Arial"/>
          <w:sz w:val="18"/>
          <w:szCs w:val="18"/>
          <w:color w:val="C00000"/>
        </w:rPr>
      </w:pPr>
    </w:p>
    <w:p>
      <w:pPr>
        <w:jc w:val="both"/>
        <w:ind w:left="260" w:hanging="252"/>
        <w:spacing w:after="0" w:line="242" w:lineRule="auto"/>
        <w:tabs>
          <w:tab w:leader="none" w:pos="260" w:val="left"/>
        </w:tabs>
        <w:numPr>
          <w:ilvl w:val="0"/>
          <w:numId w:val="24"/>
        </w:numPr>
        <w:rPr>
          <w:rFonts w:ascii="Arial" w:cs="Arial" w:eastAsia="Arial" w:hAnsi="Arial"/>
          <w:sz w:val="18"/>
          <w:szCs w:val="18"/>
          <w:color w:val="C00000"/>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for the three and nine months ended September 30, 2019 totaled CHF 33.4 million and CHF 110 million,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This represents an increase of CHF 31.1 million and CHF 104.2 million compared to the respective periods in 2018. The increase for the three-month period relates to the recognition of CHF 30.0 million for the first installment of the first milestone achieved with Lilly and EUR 2 million (CHF 2.2 million) in connection with the initiation of a Phase 2 Trial of Tau PET Tracer with Life Molecular Imaging. The increase for the nine-month period is driven by the recognition of CHF 74.6 million from the right-of-use license and research and development activities linked to the 2018 Lilly agreement and a CHF 30 million payment for the first installment of the first milestone achieved with Lilly</w:t>
      </w:r>
    </w:p>
    <w:p>
      <w:pPr>
        <w:spacing w:after="0" w:line="165" w:lineRule="exact"/>
        <w:rPr>
          <w:rFonts w:ascii="Arial" w:cs="Arial" w:eastAsia="Arial" w:hAnsi="Arial"/>
          <w:sz w:val="18"/>
          <w:szCs w:val="18"/>
          <w:color w:val="C00000"/>
        </w:rPr>
      </w:pPr>
    </w:p>
    <w:p>
      <w:pPr>
        <w:jc w:val="both"/>
        <w:ind w:left="260" w:hanging="252"/>
        <w:spacing w:after="0" w:line="227" w:lineRule="auto"/>
        <w:tabs>
          <w:tab w:leader="none" w:pos="260" w:val="left"/>
        </w:tabs>
        <w:numPr>
          <w:ilvl w:val="0"/>
          <w:numId w:val="24"/>
        </w:numPr>
        <w:rPr>
          <w:rFonts w:ascii="Arial" w:cs="Arial" w:eastAsia="Arial" w:hAnsi="Arial"/>
          <w:sz w:val="18"/>
          <w:szCs w:val="18"/>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expenditures decreased by CHF 0.1 million (-0.6%) and increased CHF 3.6 million (+11%) for the three and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2019 compared to the comparable periods in 2018, respectively. The increase in R&amp;D expenditures in 2019 was largely due to increased investments in non-AD and new discovery programs. For non-AD, the Company increased investment in its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alpha-synuclein programs and continued to advance the clinical development of its anti-Abeta vaccine ACI-24 in Down Syndrome (DS). In new discovery, the Company continued to focus on its neuroinflammation discovery programs while also increasing investment in its anti-a-synuclein antibody. For AD, the Company’s expenditures for the anti-pTau vaccine program decreased due to the completion of certain toxicology and manufacturing work in the prior year as well as a decrease for ACI-24 related to higher costs for the initiation of the Phase 2 study in the prior period</w:t>
      </w:r>
    </w:p>
    <w:p>
      <w:pPr>
        <w:spacing w:after="0" w:line="2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69" w:name="page70"/>
    <w:bookmarkEnd w:id="69"/>
    <w:p>
      <w:pPr>
        <w:ind w:left="260" w:hanging="252"/>
        <w:spacing w:after="0" w:line="271" w:lineRule="auto"/>
        <w:tabs>
          <w:tab w:leader="none" w:pos="260" w:val="left"/>
        </w:tabs>
        <w:numPr>
          <w:ilvl w:val="0"/>
          <w:numId w:val="25"/>
        </w:numPr>
        <w:rPr>
          <w:rFonts w:ascii="Arial" w:cs="Arial" w:eastAsia="Arial" w:hAnsi="Arial"/>
          <w:sz w:val="18"/>
          <w:szCs w:val="18"/>
          <w:color w:val="C00000"/>
        </w:rPr>
      </w:pPr>
      <w:r>
        <w:rPr>
          <w:rFonts w:ascii="Arial" w:cs="Arial" w:eastAsia="Arial" w:hAnsi="Arial"/>
          <w:sz w:val="18"/>
          <w:szCs w:val="18"/>
          <w:b w:val="1"/>
          <w:bCs w:val="1"/>
          <w:color w:val="auto"/>
        </w:rPr>
        <w:t>G&amp;A Expenses</w:t>
      </w:r>
      <w:r>
        <w:rPr>
          <w:rFonts w:ascii="Arial" w:cs="Arial" w:eastAsia="Arial" w:hAnsi="Arial"/>
          <w:sz w:val="18"/>
          <w:szCs w:val="18"/>
          <w:color w:val="auto"/>
        </w:rPr>
        <w:t>: For the three and nine months ended September 30, 2019, G&amp;A increased CHF 1.0 million (+35%) and CHF 2.1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(+24%) to CHF 4.0 million and CHF 10.8 million, respectively. Increases are driven by rental, personnel and IT expenses</w:t>
      </w:r>
    </w:p>
    <w:p>
      <w:pPr>
        <w:spacing w:after="0" w:line="140" w:lineRule="exact"/>
        <w:rPr>
          <w:rFonts w:ascii="Arial" w:cs="Arial" w:eastAsia="Arial" w:hAnsi="Arial"/>
          <w:sz w:val="18"/>
          <w:szCs w:val="18"/>
          <w:color w:val="C00000"/>
        </w:rPr>
      </w:pPr>
    </w:p>
    <w:p>
      <w:pPr>
        <w:jc w:val="both"/>
        <w:ind w:left="260" w:hanging="252"/>
        <w:spacing w:after="0" w:line="253" w:lineRule="auto"/>
        <w:tabs>
          <w:tab w:leader="none" w:pos="260" w:val="left"/>
        </w:tabs>
        <w:numPr>
          <w:ilvl w:val="0"/>
          <w:numId w:val="25"/>
        </w:numPr>
        <w:rPr>
          <w:rFonts w:ascii="Arial" w:cs="Arial" w:eastAsia="Arial" w:hAnsi="Arial"/>
          <w:sz w:val="18"/>
          <w:szCs w:val="18"/>
          <w:color w:val="C00000"/>
        </w:rPr>
      </w:pPr>
      <w:r>
        <w:rPr>
          <w:rFonts w:ascii="Arial" w:cs="Arial" w:eastAsia="Arial" w:hAnsi="Arial"/>
          <w:sz w:val="18"/>
          <w:szCs w:val="18"/>
          <w:b w:val="1"/>
          <w:bCs w:val="1"/>
          <w:color w:val="auto"/>
        </w:rPr>
        <w:t xml:space="preserve">IFRS Income/(Loss) for the period: </w:t>
      </w:r>
      <w:r>
        <w:rPr>
          <w:rFonts w:ascii="Arial" w:cs="Arial" w:eastAsia="Arial" w:hAnsi="Arial"/>
          <w:sz w:val="18"/>
          <w:szCs w:val="18"/>
          <w:color w:val="auto"/>
        </w:rPr>
        <w:t>The Company recorded net income after taxes of CHF 18.2 million and CHF 64.9 million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and nine months ended September 30, 2019, respectively, compared with net losses of CHF 13.5 million and CHF 36.3 million for the comparable periods in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0"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is utilizing two proprietary discovery platforms, 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five currently in clinical trials. It has collaborations with major pharmaceutical companies including Roche/Genentech, Lilly and Janssen Pharmaceuticals Inc.</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As a strategic leader in the field of neurodegenerative diseases, AC Immune has developed a five-point </w:t>
      </w:r>
      <w:r>
        <w:rPr>
          <w:rFonts w:ascii="Arial" w:cs="Arial" w:eastAsia="Arial" w:hAnsi="Arial"/>
          <w:sz w:val="18"/>
          <w:szCs w:val="18"/>
          <w:i w:val="1"/>
          <w:iCs w:val="1"/>
          <w:u w:val="single" w:color="auto"/>
          <w:color w:val="0000FF"/>
        </w:rPr>
        <w:t>Roadmap to Successful Therapies for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Neurodegenerative Diseases</w:t>
      </w:r>
      <w:r>
        <w:rPr>
          <w:rFonts w:ascii="Arial" w:cs="Arial" w:eastAsia="Arial" w:hAnsi="Arial"/>
          <w:sz w:val="18"/>
          <w:szCs w:val="18"/>
          <w:i w:val="1"/>
          <w:iCs w:val="1"/>
          <w:color w:val="0000FF"/>
        </w:rPr>
        <w:t xml:space="preserve"> </w:t>
      </w:r>
      <w:r>
        <w:rPr>
          <w:rFonts w:ascii="Arial" w:cs="Arial" w:eastAsia="Arial" w:hAnsi="Arial"/>
          <w:sz w:val="18"/>
          <w:szCs w:val="18"/>
          <w:color w:val="000000"/>
        </w:rPr>
        <w:t>that recognizes the importance of treating earlier, targeting Tau, focusing on more homogeneous patient</w:t>
      </w:r>
      <w:r>
        <w:rPr>
          <w:rFonts w:ascii="Arial" w:cs="Arial" w:eastAsia="Arial" w:hAnsi="Arial"/>
          <w:sz w:val="18"/>
          <w:szCs w:val="18"/>
          <w:i w:val="1"/>
          <w:iCs w:val="1"/>
          <w:color w:val="0000FF"/>
        </w:rPr>
        <w:t xml:space="preserve"> </w:t>
      </w:r>
      <w:r>
        <w:rPr>
          <w:rFonts w:ascii="Arial" w:cs="Arial" w:eastAsia="Arial" w:hAnsi="Arial"/>
          <w:sz w:val="18"/>
          <w:szCs w:val="18"/>
          <w:color w:val="000000"/>
        </w:rPr>
        <w:t>populations, precision medicine and exploring neuroinflammation as a target.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20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91"/>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U.S. Investors</w:t>
            </w:r>
          </w:p>
        </w:tc>
        <w:tc>
          <w:tcPr>
            <w:tcW w:w="4180" w:type="dxa"/>
            <w:vAlign w:val="bottom"/>
            <w:gridSpan w:val="2"/>
          </w:tcPr>
          <w:p>
            <w:pPr>
              <w:ind w:left="6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39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18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3980" w:type="dxa"/>
            <w:vAlign w:val="bottom"/>
            <w:gridSpan w:val="3"/>
          </w:tcPr>
          <w:p>
            <w:pPr>
              <w:spacing w:after="0" w:line="202" w:lineRule="exact"/>
              <w:rPr>
                <w:sz w:val="20"/>
                <w:szCs w:val="20"/>
                <w:color w:val="auto"/>
              </w:rPr>
            </w:pPr>
            <w:r>
              <w:rPr>
                <w:rFonts w:ascii="Arial" w:cs="Arial" w:eastAsia="Arial" w:hAnsi="Arial"/>
                <w:sz w:val="18"/>
                <w:szCs w:val="18"/>
                <w:color w:val="auto"/>
              </w:rPr>
              <w:t>AC Immune Investor Relations</w:t>
            </w:r>
          </w:p>
        </w:tc>
        <w:tc>
          <w:tcPr>
            <w:tcW w:w="418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3980" w:type="dxa"/>
            <w:vAlign w:val="bottom"/>
            <w:gridSpan w:val="3"/>
          </w:tcPr>
          <w:p>
            <w:pPr>
              <w:spacing w:after="0" w:line="202" w:lineRule="exact"/>
              <w:rPr>
                <w:sz w:val="20"/>
                <w:szCs w:val="20"/>
                <w:color w:val="auto"/>
              </w:rPr>
            </w:pPr>
            <w:r>
              <w:rPr>
                <w:rFonts w:ascii="Arial" w:cs="Arial" w:eastAsia="Arial" w:hAnsi="Arial"/>
                <w:sz w:val="18"/>
                <w:szCs w:val="18"/>
                <w:color w:val="auto"/>
              </w:rPr>
              <w:t>Phone: +1 646 876 5538</w:t>
            </w:r>
          </w:p>
        </w:tc>
        <w:tc>
          <w:tcPr>
            <w:tcW w:w="418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39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4180" w:type="dxa"/>
            <w:vAlign w:val="bottom"/>
            <w:gridSpan w:val="2"/>
          </w:tcPr>
          <w:p>
            <w:pPr>
              <w:ind w:left="6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6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Head of Global Communication</w:t>
            </w:r>
          </w:p>
        </w:tc>
        <w:tc>
          <w:tcPr>
            <w:tcW w:w="3500" w:type="dxa"/>
            <w:vAlign w:val="bottom"/>
            <w:gridSpan w:val="2"/>
          </w:tcPr>
          <w:p>
            <w:pPr>
              <w:ind w:left="820"/>
              <w:spacing w:after="0"/>
              <w:rPr>
                <w:sz w:val="20"/>
                <w:szCs w:val="20"/>
                <w:color w:val="auto"/>
              </w:rPr>
            </w:pPr>
            <w:r>
              <w:rPr>
                <w:rFonts w:ascii="Arial" w:cs="Arial" w:eastAsia="Arial" w:hAnsi="Arial"/>
                <w:sz w:val="18"/>
                <w:szCs w:val="18"/>
                <w:b w:val="1"/>
                <w:bCs w:val="1"/>
                <w:color w:val="auto"/>
              </w:rPr>
              <w:t>European Investors</w:t>
            </w:r>
          </w:p>
        </w:tc>
      </w:tr>
      <w:tr>
        <w:trPr>
          <w:trHeight w:val="203"/>
        </w:trPr>
        <w:tc>
          <w:tcPr>
            <w:tcW w:w="3760" w:type="dxa"/>
            <w:vAlign w:val="bottom"/>
            <w:gridSpan w:val="3"/>
          </w:tcPr>
          <w:p>
            <w:pPr>
              <w:spacing w:after="0" w:line="202" w:lineRule="exact"/>
              <w:rPr>
                <w:sz w:val="20"/>
                <w:szCs w:val="20"/>
                <w:color w:val="auto"/>
              </w:rPr>
            </w:pPr>
            <w:r>
              <w:rPr>
                <w:rFonts w:ascii="Arial" w:cs="Arial" w:eastAsia="Arial" w:hAnsi="Arial"/>
                <w:sz w:val="18"/>
                <w:szCs w:val="18"/>
                <w:color w:val="auto"/>
              </w:rPr>
              <w:t>Judith Moore</w:t>
            </w:r>
          </w:p>
        </w:tc>
        <w:tc>
          <w:tcPr>
            <w:tcW w:w="35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376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5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3760" w:type="dxa"/>
            <w:vAlign w:val="bottom"/>
            <w:gridSpan w:val="3"/>
          </w:tcPr>
          <w:p>
            <w:pPr>
              <w:spacing w:after="0" w:line="202" w:lineRule="exact"/>
              <w:rPr>
                <w:sz w:val="20"/>
                <w:szCs w:val="20"/>
                <w:color w:val="auto"/>
              </w:rPr>
            </w:pPr>
            <w:r>
              <w:rPr>
                <w:rFonts w:ascii="Arial" w:cs="Arial" w:eastAsia="Arial" w:hAnsi="Arial"/>
                <w:sz w:val="18"/>
                <w:szCs w:val="18"/>
                <w:color w:val="auto"/>
              </w:rPr>
              <w:t>Phone: +41 79 826 63 82</w:t>
            </w:r>
          </w:p>
        </w:tc>
        <w:tc>
          <w:tcPr>
            <w:tcW w:w="35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Phone: +41 79 367 6254</w:t>
            </w:r>
          </w:p>
        </w:tc>
      </w:tr>
      <w:tr>
        <w:trPr>
          <w:trHeight w:val="176"/>
        </w:trPr>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judith.moore@acimmune.com</w:t>
            </w:r>
          </w:p>
        </w:tc>
        <w:tc>
          <w:tcPr>
            <w:tcW w:w="3500" w:type="dxa"/>
            <w:vAlign w:val="bottom"/>
            <w:gridSpan w:val="2"/>
          </w:tcPr>
          <w:p>
            <w:pPr>
              <w:ind w:left="82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chris@lifesciadvisors.com</w:t>
            </w:r>
          </w:p>
        </w:tc>
      </w:tr>
      <w:tr>
        <w:trPr>
          <w:trHeight w:val="20"/>
        </w:trPr>
        <w:tc>
          <w:tcPr>
            <w:tcW w:w="5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r>
      <w:tr>
        <w:trPr>
          <w:trHeight w:val="426"/>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Forward-looking statements</w:t>
            </w:r>
          </w:p>
        </w:tc>
        <w:tc>
          <w:tcPr>
            <w:tcW w:w="142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w:t>
      </w:r>
    </w:p>
    <w:p>
      <w:pPr>
        <w:spacing w:after="0" w:line="2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70" w:name="page71"/>
    <w:bookmarkEnd w:id="70"/>
    <w:p>
      <w:pPr>
        <w:jc w:val="both"/>
        <w:spacing w:after="0" w:line="237" w:lineRule="auto"/>
        <w:rPr>
          <w:sz w:val="20"/>
          <w:szCs w:val="20"/>
          <w:color w:val="auto"/>
        </w:rPr>
      </w:pPr>
      <w:r>
        <w:rPr>
          <w:rFonts w:ascii="Arial" w:cs="Arial" w:eastAsia="Arial" w:hAnsi="Arial"/>
          <w:sz w:val="18"/>
          <w:szCs w:val="18"/>
          <w:color w:val="auto"/>
        </w:rPr>
        <w:t>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8"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As of</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148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136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Borders>
              <w:bottom w:val="single" w:sz="8" w:color="DCEBF4"/>
            </w:tcBorders>
          </w:tcPr>
          <w:p>
            <w:pPr>
              <w:spacing w:after="0"/>
              <w:rPr>
                <w:sz w:val="19"/>
                <w:szCs w:val="19"/>
                <w:color w:val="auto"/>
              </w:rPr>
            </w:pPr>
          </w:p>
        </w:tc>
        <w:tc>
          <w:tcPr>
            <w:tcW w:w="12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DCEBF4"/>
            </w:tcBorders>
          </w:tcPr>
          <w:p>
            <w:pPr>
              <w:spacing w:after="0"/>
              <w:rPr>
                <w:sz w:val="19"/>
                <w:szCs w:val="19"/>
                <w:color w:val="auto"/>
              </w:rPr>
            </w:pPr>
          </w:p>
        </w:tc>
        <w:tc>
          <w:tcPr>
            <w:tcW w:w="1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DCEBF4"/>
          </w:tcPr>
          <w:p>
            <w:pPr>
              <w:spacing w:after="0" w:line="196" w:lineRule="exact"/>
              <w:rPr>
                <w:sz w:val="20"/>
                <w:szCs w:val="20"/>
                <w:color w:val="auto"/>
              </w:rPr>
            </w:pPr>
            <w:r>
              <w:rPr>
                <w:rFonts w:ascii="Arial" w:cs="Arial" w:eastAsia="Arial" w:hAnsi="Arial"/>
                <w:sz w:val="18"/>
                <w:szCs w:val="18"/>
                <w:color w:val="auto"/>
              </w:rPr>
              <w:t>in CHF thousands</w:t>
            </w:r>
          </w:p>
        </w:tc>
        <w:tc>
          <w:tcPr>
            <w:tcW w:w="128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6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b w:val="1"/>
                <w:bCs w:val="1"/>
                <w:color w:val="auto"/>
              </w:rPr>
              <w:t>ASSETS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560" w:type="dxa"/>
            <w:vAlign w:val="bottom"/>
            <w:shd w:val="clear" w:color="auto" w:fill="DCEBF4"/>
          </w:tcPr>
          <w:p>
            <w:pPr>
              <w:spacing w:after="0"/>
              <w:rPr>
                <w:sz w:val="17"/>
                <w:szCs w:val="17"/>
                <w:color w:val="auto"/>
              </w:rPr>
            </w:pPr>
          </w:p>
        </w:tc>
        <w:tc>
          <w:tcPr>
            <w:tcW w:w="128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6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38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3,702</w:t>
            </w:r>
          </w:p>
        </w:tc>
        <w:tc>
          <w:tcPr>
            <w:tcW w:w="100" w:type="dxa"/>
            <w:vAlign w:val="bottom"/>
            <w:shd w:val="clear" w:color="auto" w:fill="DCEBF4"/>
          </w:tcPr>
          <w:p>
            <w:pPr>
              <w:spacing w:after="0"/>
              <w:rPr>
                <w:sz w:val="17"/>
                <w:szCs w:val="17"/>
                <w:color w:val="auto"/>
              </w:rPr>
            </w:pPr>
          </w:p>
        </w:tc>
        <w:tc>
          <w:tcPr>
            <w:tcW w:w="136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1,893</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CEBF4"/>
          </w:tcPr>
          <w:p>
            <w:pPr>
              <w:spacing w:after="0"/>
              <w:rPr>
                <w:sz w:val="20"/>
                <w:szCs w:val="20"/>
                <w:color w:val="auto"/>
              </w:rPr>
            </w:pPr>
            <w:r>
              <w:rPr>
                <w:rFonts w:ascii="Arial" w:cs="Arial" w:eastAsia="Arial" w:hAnsi="Arial"/>
                <w:sz w:val="18"/>
                <w:szCs w:val="18"/>
                <w:color w:val="auto"/>
              </w:rPr>
              <w:t>Long-term financial assets</w:t>
            </w:r>
          </w:p>
        </w:tc>
        <w:tc>
          <w:tcPr>
            <w:tcW w:w="138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DCEBF4"/>
          </w:tcPr>
          <w:p>
            <w:pPr>
              <w:spacing w:after="0"/>
              <w:rPr>
                <w:sz w:val="18"/>
                <w:szCs w:val="18"/>
                <w:color w:val="auto"/>
              </w:rPr>
            </w:pPr>
          </w:p>
        </w:tc>
        <w:tc>
          <w:tcPr>
            <w:tcW w:w="136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tcBorders>
              <w:bottom w:val="single" w:sz="8" w:color="DCEBF4"/>
            </w:tcBorders>
          </w:tcPr>
          <w:p>
            <w:pPr>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5,899</w:t>
            </w:r>
          </w:p>
        </w:tc>
        <w:tc>
          <w:tcPr>
            <w:tcW w:w="100" w:type="dxa"/>
            <w:vAlign w:val="bottom"/>
            <w:tcBorders>
              <w:bottom w:val="single" w:sz="8" w:color="DCEBF4"/>
            </w:tcBorders>
          </w:tcPr>
          <w:p>
            <w:pPr>
              <w:spacing w:after="0"/>
              <w:rPr>
                <w:sz w:val="17"/>
                <w:szCs w:val="17"/>
                <w:color w:val="auto"/>
              </w:rPr>
            </w:pPr>
          </w:p>
        </w:tc>
        <w:tc>
          <w:tcPr>
            <w:tcW w:w="100" w:type="dxa"/>
            <w:vAlign w:val="bottom"/>
            <w:tcBorders>
              <w:bottom w:val="single" w:sz="8" w:color="DCEBF4"/>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3,628</w:t>
            </w:r>
          </w:p>
        </w:tc>
        <w:tc>
          <w:tcPr>
            <w:tcW w:w="100" w:type="dxa"/>
            <w:vAlign w:val="bottom"/>
            <w:tcBorders>
              <w:bottom w:val="single" w:sz="8" w:color="DCEBF4"/>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560" w:type="dxa"/>
            <w:vAlign w:val="bottom"/>
            <w:shd w:val="clear" w:color="auto" w:fill="DCEBF4"/>
          </w:tcPr>
          <w:p>
            <w:pPr>
              <w:spacing w:after="0"/>
              <w:rPr>
                <w:sz w:val="17"/>
                <w:szCs w:val="17"/>
                <w:color w:val="auto"/>
              </w:rPr>
            </w:pPr>
          </w:p>
        </w:tc>
        <w:tc>
          <w:tcPr>
            <w:tcW w:w="128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6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Prepaid expenses</w:t>
            </w:r>
          </w:p>
        </w:tc>
        <w:tc>
          <w:tcPr>
            <w:tcW w:w="138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2,997</w:t>
            </w:r>
          </w:p>
        </w:tc>
        <w:tc>
          <w:tcPr>
            <w:tcW w:w="100" w:type="dxa"/>
            <w:vAlign w:val="bottom"/>
            <w:shd w:val="clear" w:color="auto" w:fill="DCEBF4"/>
          </w:tcPr>
          <w:p>
            <w:pPr>
              <w:spacing w:after="0"/>
              <w:rPr>
                <w:sz w:val="17"/>
                <w:szCs w:val="17"/>
                <w:color w:val="auto"/>
              </w:rPr>
            </w:pPr>
          </w:p>
        </w:tc>
        <w:tc>
          <w:tcPr>
            <w:tcW w:w="136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Accrued income</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939</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Finance receivable</w:t>
            </w:r>
          </w:p>
        </w:tc>
        <w:tc>
          <w:tcPr>
            <w:tcW w:w="138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DCEBF4"/>
          </w:tcPr>
          <w:p>
            <w:pPr>
              <w:spacing w:after="0"/>
              <w:rPr>
                <w:sz w:val="17"/>
                <w:szCs w:val="17"/>
                <w:color w:val="auto"/>
              </w:rPr>
            </w:pPr>
          </w:p>
        </w:tc>
        <w:tc>
          <w:tcPr>
            <w:tcW w:w="136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Other current receivables</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2,957</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Short-term financial assets</w:t>
            </w:r>
          </w:p>
        </w:tc>
        <w:tc>
          <w:tcPr>
            <w:tcW w:w="138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90,000</w:t>
            </w:r>
          </w:p>
        </w:tc>
        <w:tc>
          <w:tcPr>
            <w:tcW w:w="100" w:type="dxa"/>
            <w:vAlign w:val="bottom"/>
            <w:shd w:val="clear" w:color="auto" w:fill="DCEBF4"/>
          </w:tcPr>
          <w:p>
            <w:pPr>
              <w:spacing w:after="0"/>
              <w:rPr>
                <w:sz w:val="17"/>
                <w:szCs w:val="17"/>
                <w:color w:val="auto"/>
              </w:rPr>
            </w:pPr>
          </w:p>
        </w:tc>
        <w:tc>
          <w:tcPr>
            <w:tcW w:w="136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212,457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156,462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tcBorders>
              <w:top w:val="single" w:sz="8" w:color="DCEBF4"/>
            </w:tcBorders>
            <w:shd w:val="clear" w:color="auto" w:fill="DCEBF4"/>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128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309,450</w:t>
            </w:r>
          </w:p>
        </w:tc>
        <w:tc>
          <w:tcPr>
            <w:tcW w:w="100" w:type="dxa"/>
            <w:vAlign w:val="bottom"/>
            <w:tcBorders>
              <w:top w:val="single" w:sz="8" w:color="DCEBF4"/>
            </w:tcBorders>
            <w:shd w:val="clear" w:color="auto" w:fill="DCEBF4"/>
          </w:tcPr>
          <w:p>
            <w:pPr>
              <w:spacing w:after="0"/>
              <w:rPr>
                <w:sz w:val="17"/>
                <w:szCs w:val="17"/>
                <w:color w:val="auto"/>
              </w:rPr>
            </w:pPr>
          </w:p>
        </w:tc>
        <w:tc>
          <w:tcPr>
            <w:tcW w:w="100" w:type="dxa"/>
            <w:vAlign w:val="bottom"/>
            <w:tcBorders>
              <w:top w:val="single" w:sz="8" w:color="DCEBF4"/>
            </w:tcBorders>
            <w:shd w:val="clear" w:color="auto" w:fill="DCEBF4"/>
          </w:tcPr>
          <w:p>
            <w:pPr>
              <w:spacing w:after="0"/>
              <w:rPr>
                <w:sz w:val="17"/>
                <w:szCs w:val="17"/>
                <w:color w:val="auto"/>
              </w:rPr>
            </w:pPr>
          </w:p>
        </w:tc>
        <w:tc>
          <w:tcPr>
            <w:tcW w:w="126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192,928</w:t>
            </w:r>
          </w:p>
        </w:tc>
        <w:tc>
          <w:tcPr>
            <w:tcW w:w="100" w:type="dxa"/>
            <w:vAlign w:val="bottom"/>
            <w:tcBorders>
              <w:top w:val="single" w:sz="8" w:color="DCEBF4"/>
            </w:tcBorders>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315,349</w:t>
            </w:r>
          </w:p>
        </w:tc>
        <w:tc>
          <w:tcPr>
            <w:tcW w:w="100" w:type="dxa"/>
            <w:vAlign w:val="bottom"/>
            <w:tcBorders>
              <w:bottom w:val="single" w:sz="8" w:color="DCEBF4"/>
            </w:tcBorders>
          </w:tcPr>
          <w:p>
            <w:pPr>
              <w:spacing w:after="0"/>
              <w:rPr>
                <w:sz w:val="21"/>
                <w:szCs w:val="21"/>
                <w:color w:val="auto"/>
              </w:rPr>
            </w:pPr>
          </w:p>
        </w:tc>
        <w:tc>
          <w:tcPr>
            <w:tcW w:w="100" w:type="dxa"/>
            <w:vAlign w:val="bottom"/>
            <w:tcBorders>
              <w:bottom w:val="single" w:sz="8" w:color="DCEBF4"/>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196,556</w:t>
            </w:r>
          </w:p>
        </w:tc>
        <w:tc>
          <w:tcPr>
            <w:tcW w:w="100" w:type="dxa"/>
            <w:vAlign w:val="bottom"/>
            <w:tcBorders>
              <w:bottom w:val="single" w:sz="8" w:color="DCEBF4"/>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560" w:type="dxa"/>
            <w:vAlign w:val="bottom"/>
            <w:shd w:val="clear" w:color="auto" w:fill="DCEBF4"/>
          </w:tcPr>
          <w:p>
            <w:pPr>
              <w:spacing w:after="0"/>
              <w:rPr>
                <w:sz w:val="15"/>
                <w:szCs w:val="15"/>
                <w:color w:val="auto"/>
              </w:rPr>
            </w:pPr>
          </w:p>
        </w:tc>
        <w:tc>
          <w:tcPr>
            <w:tcW w:w="1280" w:type="dxa"/>
            <w:vAlign w:val="bottom"/>
            <w:shd w:val="clear" w:color="auto" w:fill="DCEBF4"/>
          </w:tcPr>
          <w:p>
            <w:pPr>
              <w:spacing w:after="0"/>
              <w:rPr>
                <w:sz w:val="15"/>
                <w:szCs w:val="15"/>
                <w:color w:val="auto"/>
              </w:rPr>
            </w:pPr>
          </w:p>
        </w:tc>
        <w:tc>
          <w:tcPr>
            <w:tcW w:w="100" w:type="dxa"/>
            <w:vAlign w:val="bottom"/>
            <w:shd w:val="clear" w:color="auto" w:fill="DCEBF4"/>
          </w:tcPr>
          <w:p>
            <w:pPr>
              <w:spacing w:after="0"/>
              <w:rPr>
                <w:sz w:val="15"/>
                <w:szCs w:val="15"/>
                <w:color w:val="auto"/>
              </w:rPr>
            </w:pPr>
          </w:p>
        </w:tc>
        <w:tc>
          <w:tcPr>
            <w:tcW w:w="100" w:type="dxa"/>
            <w:vAlign w:val="bottom"/>
            <w:shd w:val="clear" w:color="auto" w:fill="DCEBF4"/>
          </w:tcPr>
          <w:p>
            <w:pPr>
              <w:spacing w:after="0"/>
              <w:rPr>
                <w:sz w:val="15"/>
                <w:szCs w:val="15"/>
                <w:color w:val="auto"/>
              </w:rPr>
            </w:pPr>
          </w:p>
        </w:tc>
        <w:tc>
          <w:tcPr>
            <w:tcW w:w="1260" w:type="dxa"/>
            <w:vAlign w:val="bottom"/>
            <w:shd w:val="clear" w:color="auto" w:fill="DCEBF4"/>
          </w:tcPr>
          <w:p>
            <w:pPr>
              <w:spacing w:after="0"/>
              <w:rPr>
                <w:sz w:val="15"/>
                <w:szCs w:val="15"/>
                <w:color w:val="auto"/>
              </w:rPr>
            </w:pPr>
          </w:p>
        </w:tc>
        <w:tc>
          <w:tcPr>
            <w:tcW w:w="100" w:type="dxa"/>
            <w:vAlign w:val="bottom"/>
            <w:shd w:val="clear" w:color="auto" w:fill="DCEBF4"/>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SHAREHOLDERS’ EQUITY AND LIABILITIES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560" w:type="dxa"/>
            <w:vAlign w:val="bottom"/>
            <w:shd w:val="clear" w:color="auto" w:fill="DCEBF4"/>
          </w:tcPr>
          <w:p>
            <w:pPr>
              <w:spacing w:after="0"/>
              <w:rPr>
                <w:sz w:val="17"/>
                <w:szCs w:val="17"/>
                <w:color w:val="auto"/>
              </w:rPr>
            </w:pPr>
          </w:p>
        </w:tc>
        <w:tc>
          <w:tcPr>
            <w:tcW w:w="128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6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Share capital</w:t>
            </w:r>
          </w:p>
        </w:tc>
        <w:tc>
          <w:tcPr>
            <w:tcW w:w="138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1,436</w:t>
            </w:r>
          </w:p>
        </w:tc>
        <w:tc>
          <w:tcPr>
            <w:tcW w:w="100" w:type="dxa"/>
            <w:vAlign w:val="bottom"/>
            <w:shd w:val="clear" w:color="auto" w:fill="DCEBF4"/>
          </w:tcPr>
          <w:p>
            <w:pPr>
              <w:spacing w:after="0"/>
              <w:rPr>
                <w:sz w:val="17"/>
                <w:szCs w:val="17"/>
                <w:color w:val="auto"/>
              </w:rPr>
            </w:pPr>
          </w:p>
        </w:tc>
        <w:tc>
          <w:tcPr>
            <w:tcW w:w="136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Share premium</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346,479</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CEBF4"/>
          </w:tcPr>
          <w:p>
            <w:pPr>
              <w:spacing w:after="0"/>
              <w:rPr>
                <w:sz w:val="20"/>
                <w:szCs w:val="20"/>
                <w:color w:val="auto"/>
              </w:rPr>
            </w:pPr>
            <w:r>
              <w:rPr>
                <w:rFonts w:ascii="Arial" w:cs="Arial" w:eastAsia="Arial" w:hAnsi="Arial"/>
                <w:sz w:val="18"/>
                <w:szCs w:val="18"/>
                <w:color w:val="auto"/>
              </w:rPr>
              <w:t>Accumulated losses</w:t>
            </w:r>
          </w:p>
        </w:tc>
        <w:tc>
          <w:tcPr>
            <w:tcW w:w="1380" w:type="dxa"/>
            <w:vAlign w:val="bottom"/>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(55,532)</w:t>
            </w:r>
          </w:p>
        </w:tc>
        <w:tc>
          <w:tcPr>
            <w:tcW w:w="100" w:type="dxa"/>
            <w:vAlign w:val="bottom"/>
            <w:shd w:val="clear" w:color="auto" w:fill="DCEBF4"/>
          </w:tcPr>
          <w:p>
            <w:pPr>
              <w:spacing w:after="0"/>
              <w:rPr>
                <w:sz w:val="18"/>
                <w:szCs w:val="18"/>
                <w:color w:val="auto"/>
              </w:rPr>
            </w:pPr>
          </w:p>
        </w:tc>
        <w:tc>
          <w:tcPr>
            <w:tcW w:w="1360" w:type="dxa"/>
            <w:vAlign w:val="bottom"/>
            <w:gridSpan w:val="2"/>
            <w:shd w:val="clear" w:color="auto" w:fill="DCEBF4"/>
          </w:tcPr>
          <w:p>
            <w:pPr>
              <w:jc w:val="right"/>
              <w:ind w:right="40"/>
              <w:spacing w:after="0"/>
              <w:rPr>
                <w:sz w:val="20"/>
                <w:szCs w:val="20"/>
                <w:color w:val="auto"/>
              </w:rPr>
            </w:pPr>
            <w:r>
              <w:rPr>
                <w:rFonts w:ascii="Arial" w:cs="Arial" w:eastAsia="Arial" w:hAnsi="Arial"/>
                <w:sz w:val="18"/>
                <w:szCs w:val="18"/>
                <w:color w:val="auto"/>
              </w:rPr>
              <w:t>(121,877)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tcBorders>
              <w:bottom w:val="single" w:sz="8" w:color="DCEBF4"/>
            </w:tcBorders>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292,383</w:t>
            </w:r>
          </w:p>
        </w:tc>
        <w:tc>
          <w:tcPr>
            <w:tcW w:w="100" w:type="dxa"/>
            <w:vAlign w:val="bottom"/>
            <w:tcBorders>
              <w:bottom w:val="single" w:sz="8" w:color="DCEBF4"/>
            </w:tcBorders>
          </w:tcPr>
          <w:p>
            <w:pPr>
              <w:spacing w:after="0"/>
              <w:rPr>
                <w:sz w:val="17"/>
                <w:szCs w:val="17"/>
                <w:color w:val="auto"/>
              </w:rPr>
            </w:pPr>
          </w:p>
        </w:tc>
        <w:tc>
          <w:tcPr>
            <w:tcW w:w="100" w:type="dxa"/>
            <w:vAlign w:val="bottom"/>
            <w:tcBorders>
              <w:bottom w:val="single" w:sz="8" w:color="DCEBF4"/>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177,623</w:t>
            </w:r>
          </w:p>
        </w:tc>
        <w:tc>
          <w:tcPr>
            <w:tcW w:w="100" w:type="dxa"/>
            <w:vAlign w:val="bottom"/>
            <w:tcBorders>
              <w:bottom w:val="single" w:sz="8" w:color="DCEBF4"/>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560" w:type="dxa"/>
            <w:vAlign w:val="bottom"/>
            <w:shd w:val="clear" w:color="auto" w:fill="DCEBF4"/>
          </w:tcPr>
          <w:p>
            <w:pPr>
              <w:spacing w:after="0"/>
              <w:rPr>
                <w:sz w:val="17"/>
                <w:szCs w:val="17"/>
                <w:color w:val="auto"/>
              </w:rPr>
            </w:pPr>
          </w:p>
        </w:tc>
        <w:tc>
          <w:tcPr>
            <w:tcW w:w="128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6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Non-current liabilities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Long-term financing obligation</w:t>
            </w:r>
          </w:p>
        </w:tc>
        <w:tc>
          <w:tcPr>
            <w:tcW w:w="138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297</w:t>
            </w:r>
          </w:p>
        </w:tc>
        <w:tc>
          <w:tcPr>
            <w:tcW w:w="100" w:type="dxa"/>
            <w:vAlign w:val="bottom"/>
            <w:shd w:val="clear" w:color="auto" w:fill="DCEBF4"/>
          </w:tcPr>
          <w:p>
            <w:pPr>
              <w:spacing w:after="0"/>
              <w:rPr>
                <w:sz w:val="17"/>
                <w:szCs w:val="17"/>
                <w:color w:val="auto"/>
              </w:rPr>
            </w:pPr>
          </w:p>
        </w:tc>
        <w:tc>
          <w:tcPr>
            <w:tcW w:w="136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1,467</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Long-term deferred income</w:t>
            </w:r>
          </w:p>
        </w:tc>
        <w:tc>
          <w:tcPr>
            <w:tcW w:w="138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1,092</w:t>
            </w:r>
          </w:p>
        </w:tc>
        <w:tc>
          <w:tcPr>
            <w:tcW w:w="100" w:type="dxa"/>
            <w:vAlign w:val="bottom"/>
            <w:shd w:val="clear" w:color="auto" w:fill="DCEBF4"/>
          </w:tcPr>
          <w:p>
            <w:pPr>
              <w:spacing w:after="0"/>
              <w:rPr>
                <w:sz w:val="17"/>
                <w:szCs w:val="17"/>
                <w:color w:val="auto"/>
              </w:rPr>
            </w:pPr>
          </w:p>
        </w:tc>
        <w:tc>
          <w:tcPr>
            <w:tcW w:w="136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tcBorders>
              <w:top w:val="single" w:sz="8" w:color="DCEBF4"/>
            </w:tcBorders>
            <w:shd w:val="clear" w:color="auto" w:fill="DCEBF4"/>
          </w:tcPr>
          <w:p>
            <w:pPr>
              <w:spacing w:after="0" w:line="196" w:lineRule="exact"/>
              <w:rPr>
                <w:sz w:val="20"/>
                <w:szCs w:val="20"/>
                <w:color w:val="auto"/>
              </w:rPr>
            </w:pPr>
            <w:r>
              <w:rPr>
                <w:rFonts w:ascii="Arial" w:cs="Arial" w:eastAsia="Arial" w:hAnsi="Arial"/>
                <w:sz w:val="18"/>
                <w:szCs w:val="18"/>
                <w:color w:val="auto"/>
              </w:rPr>
              <w:t>Total non-current liabilities</w:t>
            </w:r>
          </w:p>
        </w:tc>
        <w:tc>
          <w:tcPr>
            <w:tcW w:w="128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8,954</w:t>
            </w:r>
          </w:p>
        </w:tc>
        <w:tc>
          <w:tcPr>
            <w:tcW w:w="100" w:type="dxa"/>
            <w:vAlign w:val="bottom"/>
            <w:tcBorders>
              <w:top w:val="single" w:sz="8" w:color="DCEBF4"/>
            </w:tcBorders>
            <w:shd w:val="clear" w:color="auto" w:fill="DCEBF4"/>
          </w:tcPr>
          <w:p>
            <w:pPr>
              <w:spacing w:after="0"/>
              <w:rPr>
                <w:sz w:val="17"/>
                <w:szCs w:val="17"/>
                <w:color w:val="auto"/>
              </w:rPr>
            </w:pPr>
          </w:p>
        </w:tc>
        <w:tc>
          <w:tcPr>
            <w:tcW w:w="100" w:type="dxa"/>
            <w:vAlign w:val="bottom"/>
            <w:tcBorders>
              <w:top w:val="single" w:sz="8" w:color="DCEBF4"/>
            </w:tcBorders>
            <w:shd w:val="clear" w:color="auto" w:fill="DCEBF4"/>
          </w:tcPr>
          <w:p>
            <w:pPr>
              <w:spacing w:after="0"/>
              <w:rPr>
                <w:sz w:val="17"/>
                <w:szCs w:val="17"/>
                <w:color w:val="auto"/>
              </w:rPr>
            </w:pPr>
          </w:p>
        </w:tc>
        <w:tc>
          <w:tcPr>
            <w:tcW w:w="126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5,851</w:t>
            </w:r>
          </w:p>
        </w:tc>
        <w:tc>
          <w:tcPr>
            <w:tcW w:w="100" w:type="dxa"/>
            <w:vAlign w:val="bottom"/>
            <w:tcBorders>
              <w:top w:val="single" w:sz="8" w:color="DCEBF4"/>
            </w:tcBorders>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Current liabilities</w:t>
            </w:r>
          </w:p>
        </w:tc>
        <w:tc>
          <w:tcPr>
            <w:tcW w:w="128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6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148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Accrued expenses</w:t>
            </w:r>
          </w:p>
        </w:tc>
        <w:tc>
          <w:tcPr>
            <w:tcW w:w="138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8,551</w:t>
            </w:r>
          </w:p>
        </w:tc>
        <w:tc>
          <w:tcPr>
            <w:tcW w:w="100" w:type="dxa"/>
            <w:vAlign w:val="bottom"/>
            <w:shd w:val="clear" w:color="auto" w:fill="DCEBF4"/>
          </w:tcPr>
          <w:p>
            <w:pPr>
              <w:spacing w:after="0"/>
              <w:rPr>
                <w:sz w:val="17"/>
                <w:szCs w:val="17"/>
                <w:color w:val="auto"/>
              </w:rPr>
            </w:pPr>
          </w:p>
        </w:tc>
        <w:tc>
          <w:tcPr>
            <w:tcW w:w="136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Short-term deferred income</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4,701</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Short-term debt obligation</w:t>
            </w:r>
          </w:p>
        </w:tc>
        <w:tc>
          <w:tcPr>
            <w:tcW w:w="138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334</w:t>
            </w:r>
          </w:p>
        </w:tc>
        <w:tc>
          <w:tcPr>
            <w:tcW w:w="100" w:type="dxa"/>
            <w:vAlign w:val="bottom"/>
            <w:shd w:val="clear" w:color="auto" w:fill="DCEBF4"/>
          </w:tcPr>
          <w:p>
            <w:pPr>
              <w:spacing w:after="0"/>
              <w:rPr>
                <w:sz w:val="17"/>
                <w:szCs w:val="17"/>
                <w:color w:val="auto"/>
              </w:rPr>
            </w:pPr>
          </w:p>
        </w:tc>
        <w:tc>
          <w:tcPr>
            <w:tcW w:w="136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Short-term lease liabilities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tcBorders>
              <w:top w:val="single" w:sz="8" w:color="DCEBF4"/>
            </w:tcBorders>
            <w:shd w:val="clear" w:color="auto" w:fill="DCEBF4"/>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28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14,012</w:t>
            </w:r>
          </w:p>
        </w:tc>
        <w:tc>
          <w:tcPr>
            <w:tcW w:w="100" w:type="dxa"/>
            <w:vAlign w:val="bottom"/>
            <w:tcBorders>
              <w:top w:val="single" w:sz="8" w:color="DCEBF4"/>
            </w:tcBorders>
            <w:shd w:val="clear" w:color="auto" w:fill="DCEBF4"/>
          </w:tcPr>
          <w:p>
            <w:pPr>
              <w:spacing w:after="0"/>
              <w:rPr>
                <w:sz w:val="17"/>
                <w:szCs w:val="17"/>
                <w:color w:val="auto"/>
              </w:rPr>
            </w:pPr>
          </w:p>
        </w:tc>
        <w:tc>
          <w:tcPr>
            <w:tcW w:w="100" w:type="dxa"/>
            <w:vAlign w:val="bottom"/>
            <w:tcBorders>
              <w:top w:val="single" w:sz="8" w:color="DCEBF4"/>
            </w:tcBorders>
            <w:shd w:val="clear" w:color="auto" w:fill="DCEBF4"/>
          </w:tcPr>
          <w:p>
            <w:pPr>
              <w:spacing w:after="0"/>
              <w:rPr>
                <w:sz w:val="17"/>
                <w:szCs w:val="17"/>
                <w:color w:val="auto"/>
              </w:rPr>
            </w:pPr>
          </w:p>
        </w:tc>
        <w:tc>
          <w:tcPr>
            <w:tcW w:w="126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13,082</w:t>
            </w:r>
          </w:p>
        </w:tc>
        <w:tc>
          <w:tcPr>
            <w:tcW w:w="100" w:type="dxa"/>
            <w:vAlign w:val="bottom"/>
            <w:tcBorders>
              <w:top w:val="single" w:sz="8" w:color="DCEBF4"/>
            </w:tcBorders>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tcBorders>
              <w:bottom w:val="single" w:sz="8" w:color="DCEBF4"/>
            </w:tcBorders>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22,966</w:t>
            </w:r>
          </w:p>
        </w:tc>
        <w:tc>
          <w:tcPr>
            <w:tcW w:w="100" w:type="dxa"/>
            <w:vAlign w:val="bottom"/>
            <w:tcBorders>
              <w:bottom w:val="single" w:sz="8" w:color="DCEBF4"/>
            </w:tcBorders>
          </w:tcPr>
          <w:p>
            <w:pPr>
              <w:spacing w:after="0"/>
              <w:rPr>
                <w:sz w:val="17"/>
                <w:szCs w:val="17"/>
                <w:color w:val="auto"/>
              </w:rPr>
            </w:pPr>
          </w:p>
        </w:tc>
        <w:tc>
          <w:tcPr>
            <w:tcW w:w="100" w:type="dxa"/>
            <w:vAlign w:val="bottom"/>
            <w:tcBorders>
              <w:bottom w:val="single" w:sz="8" w:color="DCEBF4"/>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18,933</w:t>
            </w:r>
          </w:p>
        </w:tc>
        <w:tc>
          <w:tcPr>
            <w:tcW w:w="100" w:type="dxa"/>
            <w:vAlign w:val="bottom"/>
            <w:tcBorders>
              <w:bottom w:val="single" w:sz="8" w:color="DCEBF4"/>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28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315,349</w:t>
            </w:r>
          </w:p>
        </w:tc>
        <w:tc>
          <w:tcPr>
            <w:tcW w:w="100" w:type="dxa"/>
            <w:vAlign w:val="bottom"/>
            <w:tcBorders>
              <w:bottom w:val="single" w:sz="8" w:color="DCEBF4"/>
            </w:tcBorders>
            <w:shd w:val="clear" w:color="auto" w:fill="DCEBF4"/>
          </w:tcPr>
          <w:p>
            <w:pPr>
              <w:spacing w:after="0"/>
              <w:rPr>
                <w:sz w:val="18"/>
                <w:szCs w:val="18"/>
                <w:color w:val="auto"/>
              </w:rPr>
            </w:pPr>
          </w:p>
        </w:tc>
        <w:tc>
          <w:tcPr>
            <w:tcW w:w="100" w:type="dxa"/>
            <w:vAlign w:val="bottom"/>
            <w:tcBorders>
              <w:bottom w:val="single" w:sz="8" w:color="DCEBF4"/>
            </w:tcBorders>
            <w:shd w:val="clear" w:color="auto" w:fill="DCEBF4"/>
          </w:tcPr>
          <w:p>
            <w:pPr>
              <w:spacing w:after="0"/>
              <w:rPr>
                <w:sz w:val="18"/>
                <w:szCs w:val="18"/>
                <w:color w:val="auto"/>
              </w:rPr>
            </w:pPr>
          </w:p>
        </w:tc>
        <w:tc>
          <w:tcPr>
            <w:tcW w:w="126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196,556</w:t>
            </w:r>
          </w:p>
        </w:tc>
        <w:tc>
          <w:tcPr>
            <w:tcW w:w="100" w:type="dxa"/>
            <w:vAlign w:val="bottom"/>
            <w:tcBorders>
              <w:bottom w:val="single" w:sz="8" w:color="DCEBF4"/>
            </w:tcBorders>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778"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Statements of Income/(Loss)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000" w:type="dxa"/>
            <w:vAlign w:val="bottom"/>
            <w:gridSpan w:val="5"/>
          </w:tcPr>
          <w:p>
            <w:pPr>
              <w:ind w:left="520"/>
              <w:spacing w:after="0"/>
              <w:rPr>
                <w:sz w:val="20"/>
                <w:szCs w:val="20"/>
                <w:color w:val="auto"/>
              </w:rPr>
            </w:pPr>
            <w:r>
              <w:rPr>
                <w:rFonts w:ascii="Arial" w:cs="Arial" w:eastAsia="Arial" w:hAnsi="Arial"/>
                <w:sz w:val="18"/>
                <w:szCs w:val="18"/>
                <w:b w:val="1"/>
                <w:bCs w:val="1"/>
                <w:color w:val="auto"/>
              </w:rPr>
              <w:t>For the Three Months</w:t>
            </w:r>
          </w:p>
        </w:tc>
        <w:tc>
          <w:tcPr>
            <w:tcW w:w="28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0" w:type="dxa"/>
            <w:vAlign w:val="bottom"/>
            <w:gridSpan w:val="5"/>
          </w:tcPr>
          <w:p>
            <w:pPr>
              <w:ind w:left="520"/>
              <w:spacing w:after="0"/>
              <w:rPr>
                <w:sz w:val="20"/>
                <w:szCs w:val="20"/>
                <w:color w:val="auto"/>
              </w:rPr>
            </w:pPr>
            <w:r>
              <w:rPr>
                <w:rFonts w:ascii="Arial" w:cs="Arial" w:eastAsia="Arial" w:hAnsi="Arial"/>
                <w:sz w:val="18"/>
                <w:szCs w:val="18"/>
                <w:b w:val="1"/>
                <w:bCs w:val="1"/>
                <w:color w:val="auto"/>
              </w:rPr>
              <w:t>Ended September 30,</w:t>
            </w:r>
          </w:p>
        </w:tc>
        <w:tc>
          <w:tcPr>
            <w:tcW w:w="2800" w:type="dxa"/>
            <w:vAlign w:val="bottom"/>
            <w:gridSpan w:val="5"/>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4880" w:type="dxa"/>
            <w:vAlign w:val="bottom"/>
            <w:gridSpan w:val="8"/>
          </w:tcPr>
          <w:p>
            <w:pPr>
              <w:jc w:val="center"/>
              <w:ind w:left="830"/>
              <w:spacing w:after="0"/>
              <w:rPr>
                <w:sz w:val="20"/>
                <w:szCs w:val="20"/>
                <w:color w:val="auto"/>
              </w:rPr>
            </w:pPr>
            <w:r>
              <w:rPr>
                <w:rFonts w:ascii="Arial" w:cs="Arial" w:eastAsia="Arial" w:hAnsi="Arial"/>
                <w:sz w:val="18"/>
                <w:szCs w:val="18"/>
                <w:b w:val="1"/>
                <w:bCs w:val="1"/>
                <w:color w:val="auto"/>
                <w:w w:val="99"/>
              </w:rPr>
              <w:t>(in CHF thousands except for per share data)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62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CEBF4"/>
          </w:tcPr>
          <w:p>
            <w:pPr>
              <w:spacing w:after="0"/>
              <w:rPr>
                <w:sz w:val="20"/>
                <w:szCs w:val="20"/>
                <w:color w:val="auto"/>
              </w:rPr>
            </w:pPr>
            <w:r>
              <w:rPr>
                <w:rFonts w:ascii="Arial" w:cs="Arial" w:eastAsia="Arial" w:hAnsi="Arial"/>
                <w:sz w:val="18"/>
                <w:szCs w:val="18"/>
                <w:color w:val="auto"/>
              </w:rPr>
              <w:t>Contract revenue</w:t>
            </w:r>
          </w:p>
        </w:tc>
        <w:tc>
          <w:tcPr>
            <w:tcW w:w="1500" w:type="dxa"/>
            <w:vAlign w:val="bottom"/>
            <w:gridSpan w:val="2"/>
            <w:shd w:val="clear" w:color="auto" w:fill="DCEBF4"/>
          </w:tcPr>
          <w:p>
            <w:pPr>
              <w:jc w:val="right"/>
              <w:ind w:right="160"/>
              <w:spacing w:after="0"/>
              <w:rPr>
                <w:sz w:val="20"/>
                <w:szCs w:val="20"/>
                <w:color w:val="auto"/>
              </w:rPr>
            </w:pPr>
            <w:r>
              <w:rPr>
                <w:rFonts w:ascii="Arial" w:cs="Arial" w:eastAsia="Arial" w:hAnsi="Arial"/>
                <w:sz w:val="18"/>
                <w:szCs w:val="18"/>
                <w:color w:val="auto"/>
              </w:rPr>
              <w:t>33,411</w:t>
            </w:r>
          </w:p>
        </w:tc>
        <w:tc>
          <w:tcPr>
            <w:tcW w:w="138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DCEBF4"/>
          </w:tcPr>
          <w:p>
            <w:pPr>
              <w:spacing w:after="0"/>
              <w:rPr>
                <w:sz w:val="18"/>
                <w:szCs w:val="18"/>
                <w:color w:val="auto"/>
              </w:rPr>
            </w:pPr>
          </w:p>
        </w:tc>
        <w:tc>
          <w:tcPr>
            <w:tcW w:w="1440" w:type="dxa"/>
            <w:vAlign w:val="bottom"/>
            <w:gridSpan w:val="2"/>
            <w:shd w:val="clear" w:color="auto" w:fill="DCEBF4"/>
          </w:tcPr>
          <w:p>
            <w:pPr>
              <w:jc w:val="right"/>
              <w:ind w:right="120"/>
              <w:spacing w:after="0"/>
              <w:rPr>
                <w:sz w:val="20"/>
                <w:szCs w:val="20"/>
                <w:color w:val="auto"/>
              </w:rPr>
            </w:pPr>
            <w:r>
              <w:rPr>
                <w:rFonts w:ascii="Arial" w:cs="Arial" w:eastAsia="Arial" w:hAnsi="Arial"/>
                <w:sz w:val="18"/>
                <w:szCs w:val="18"/>
                <w:color w:val="auto"/>
              </w:rPr>
              <w:t>109,964</w:t>
            </w:r>
          </w:p>
        </w:tc>
        <w:tc>
          <w:tcPr>
            <w:tcW w:w="440" w:type="dxa"/>
            <w:vAlign w:val="bottom"/>
            <w:shd w:val="clear" w:color="auto" w:fill="DCEBF4"/>
          </w:tcPr>
          <w:p>
            <w:pPr>
              <w:spacing w:after="0"/>
              <w:rPr>
                <w:sz w:val="18"/>
                <w:szCs w:val="18"/>
                <w:color w:val="auto"/>
              </w:rPr>
            </w:pPr>
          </w:p>
        </w:tc>
        <w:tc>
          <w:tcPr>
            <w:tcW w:w="92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DCEBF4"/>
            </w:tcBorders>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33,411</w:t>
            </w:r>
          </w:p>
        </w:tc>
        <w:tc>
          <w:tcPr>
            <w:tcW w:w="240" w:type="dxa"/>
            <w:vAlign w:val="bottom"/>
            <w:tcBorders>
              <w:bottom w:val="single" w:sz="8" w:color="DCEBF4"/>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2,305</w:t>
            </w:r>
          </w:p>
        </w:tc>
        <w:tc>
          <w:tcPr>
            <w:tcW w:w="100" w:type="dxa"/>
            <w:vAlign w:val="bottom"/>
            <w:tcBorders>
              <w:bottom w:val="single" w:sz="8" w:color="DCEBF4"/>
            </w:tcBorders>
          </w:tcPr>
          <w:p>
            <w:pPr>
              <w:spacing w:after="0"/>
              <w:rPr>
                <w:sz w:val="17"/>
                <w:szCs w:val="17"/>
                <w:color w:val="auto"/>
              </w:rPr>
            </w:pPr>
          </w:p>
        </w:tc>
        <w:tc>
          <w:tcPr>
            <w:tcW w:w="120" w:type="dxa"/>
            <w:vAlign w:val="bottom"/>
            <w:tcBorders>
              <w:bottom w:val="single" w:sz="8" w:color="DCEBF4"/>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109,964</w:t>
            </w:r>
          </w:p>
        </w:tc>
        <w:tc>
          <w:tcPr>
            <w:tcW w:w="200" w:type="dxa"/>
            <w:vAlign w:val="bottom"/>
            <w:tcBorders>
              <w:bottom w:val="single" w:sz="8" w:color="DCEBF4"/>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5,791</w:t>
            </w:r>
          </w:p>
        </w:tc>
        <w:tc>
          <w:tcPr>
            <w:tcW w:w="100" w:type="dxa"/>
            <w:vAlign w:val="bottom"/>
            <w:tcBorders>
              <w:bottom w:val="single" w:sz="8" w:color="DCEBF4"/>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shd w:val="clear" w:color="auto" w:fill="DCEBF4"/>
          </w:tcPr>
          <w:p>
            <w:pPr>
              <w:spacing w:after="0"/>
              <w:rPr>
                <w:sz w:val="17"/>
                <w:szCs w:val="17"/>
                <w:color w:val="auto"/>
              </w:rPr>
            </w:pPr>
          </w:p>
        </w:tc>
        <w:tc>
          <w:tcPr>
            <w:tcW w:w="1260" w:type="dxa"/>
            <w:vAlign w:val="bottom"/>
            <w:shd w:val="clear" w:color="auto" w:fill="DCEBF4"/>
          </w:tcPr>
          <w:p>
            <w:pPr>
              <w:spacing w:after="0"/>
              <w:rPr>
                <w:sz w:val="17"/>
                <w:szCs w:val="17"/>
                <w:color w:val="auto"/>
              </w:rPr>
            </w:pPr>
          </w:p>
        </w:tc>
        <w:tc>
          <w:tcPr>
            <w:tcW w:w="240" w:type="dxa"/>
            <w:vAlign w:val="bottom"/>
            <w:shd w:val="clear" w:color="auto" w:fill="DCEBF4"/>
          </w:tcPr>
          <w:p>
            <w:pPr>
              <w:spacing w:after="0"/>
              <w:rPr>
                <w:sz w:val="17"/>
                <w:szCs w:val="17"/>
                <w:color w:val="auto"/>
              </w:rPr>
            </w:pPr>
          </w:p>
        </w:tc>
        <w:tc>
          <w:tcPr>
            <w:tcW w:w="128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0" w:type="dxa"/>
            <w:vAlign w:val="bottom"/>
            <w:shd w:val="clear" w:color="auto" w:fill="DCEBF4"/>
          </w:tcPr>
          <w:p>
            <w:pPr>
              <w:spacing w:after="0"/>
              <w:rPr>
                <w:sz w:val="17"/>
                <w:szCs w:val="17"/>
                <w:color w:val="auto"/>
              </w:rPr>
            </w:pPr>
          </w:p>
        </w:tc>
        <w:tc>
          <w:tcPr>
            <w:tcW w:w="1240" w:type="dxa"/>
            <w:vAlign w:val="bottom"/>
            <w:shd w:val="clear" w:color="auto" w:fill="DCEBF4"/>
          </w:tcPr>
          <w:p>
            <w:pPr>
              <w:spacing w:after="0"/>
              <w:rPr>
                <w:sz w:val="17"/>
                <w:szCs w:val="17"/>
                <w:color w:val="auto"/>
              </w:rPr>
            </w:pPr>
          </w:p>
        </w:tc>
        <w:tc>
          <w:tcPr>
            <w:tcW w:w="200" w:type="dxa"/>
            <w:vAlign w:val="bottom"/>
            <w:shd w:val="clear" w:color="auto" w:fill="DCEBF4"/>
          </w:tcPr>
          <w:p>
            <w:pPr>
              <w:spacing w:after="0"/>
              <w:rPr>
                <w:sz w:val="17"/>
                <w:szCs w:val="17"/>
                <w:color w:val="auto"/>
              </w:rPr>
            </w:pPr>
          </w:p>
        </w:tc>
        <w:tc>
          <w:tcPr>
            <w:tcW w:w="440" w:type="dxa"/>
            <w:vAlign w:val="bottom"/>
            <w:shd w:val="clear" w:color="auto" w:fill="DCEBF4"/>
          </w:tcPr>
          <w:p>
            <w:pPr>
              <w:spacing w:after="0"/>
              <w:rPr>
                <w:sz w:val="17"/>
                <w:szCs w:val="17"/>
                <w:color w:val="auto"/>
              </w:rPr>
            </w:pPr>
          </w:p>
        </w:tc>
        <w:tc>
          <w:tcPr>
            <w:tcW w:w="82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Research &amp; development expenses</w:t>
            </w:r>
          </w:p>
        </w:tc>
        <w:tc>
          <w:tcPr>
            <w:tcW w:w="150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(11,478)</w:t>
            </w:r>
          </w:p>
        </w:tc>
        <w:tc>
          <w:tcPr>
            <w:tcW w:w="1380" w:type="dxa"/>
            <w:vAlign w:val="bottom"/>
            <w:gridSpan w:val="2"/>
            <w:shd w:val="clear" w:color="auto" w:fill="DCEBF4"/>
          </w:tcPr>
          <w:p>
            <w:pPr>
              <w:jc w:val="right"/>
              <w:spacing w:after="0" w:line="202" w:lineRule="exact"/>
              <w:rPr>
                <w:sz w:val="20"/>
                <w:szCs w:val="20"/>
                <w:color w:val="auto"/>
              </w:rPr>
            </w:pPr>
            <w:r>
              <w:rPr>
                <w:rFonts w:ascii="Arial" w:cs="Arial" w:eastAsia="Arial" w:hAnsi="Arial"/>
                <w:sz w:val="18"/>
                <w:szCs w:val="18"/>
                <w:color w:val="auto"/>
              </w:rPr>
              <w:t>(11,546)</w:t>
            </w:r>
          </w:p>
        </w:tc>
        <w:tc>
          <w:tcPr>
            <w:tcW w:w="120" w:type="dxa"/>
            <w:vAlign w:val="bottom"/>
            <w:shd w:val="clear" w:color="auto" w:fill="DCEBF4"/>
          </w:tcPr>
          <w:p>
            <w:pPr>
              <w:spacing w:after="0"/>
              <w:rPr>
                <w:sz w:val="17"/>
                <w:szCs w:val="17"/>
                <w:color w:val="auto"/>
              </w:rPr>
            </w:pPr>
          </w:p>
        </w:tc>
        <w:tc>
          <w:tcPr>
            <w:tcW w:w="1440" w:type="dxa"/>
            <w:vAlign w:val="bottom"/>
            <w:gridSpan w:val="2"/>
            <w:shd w:val="clear" w:color="auto" w:fill="DCEBF4"/>
          </w:tcPr>
          <w:p>
            <w:pPr>
              <w:jc w:val="right"/>
              <w:ind w:right="60"/>
              <w:spacing w:after="0" w:line="202" w:lineRule="exact"/>
              <w:rPr>
                <w:sz w:val="20"/>
                <w:szCs w:val="20"/>
                <w:color w:val="auto"/>
              </w:rPr>
            </w:pPr>
            <w:r>
              <w:rPr>
                <w:rFonts w:ascii="Arial" w:cs="Arial" w:eastAsia="Arial" w:hAnsi="Arial"/>
                <w:sz w:val="18"/>
                <w:szCs w:val="18"/>
                <w:color w:val="auto"/>
              </w:rPr>
              <w:t>(35,770)</w:t>
            </w:r>
          </w:p>
        </w:tc>
        <w:tc>
          <w:tcPr>
            <w:tcW w:w="440" w:type="dxa"/>
            <w:vAlign w:val="bottom"/>
            <w:shd w:val="clear" w:color="auto" w:fill="DCEBF4"/>
          </w:tcPr>
          <w:p>
            <w:pPr>
              <w:spacing w:after="0"/>
              <w:rPr>
                <w:sz w:val="17"/>
                <w:szCs w:val="17"/>
                <w:color w:val="auto"/>
              </w:rPr>
            </w:pPr>
          </w:p>
        </w:tc>
        <w:tc>
          <w:tcPr>
            <w:tcW w:w="920" w:type="dxa"/>
            <w:vAlign w:val="bottom"/>
            <w:gridSpan w:val="2"/>
            <w:shd w:val="clear" w:color="auto" w:fill="DCEBF4"/>
          </w:tcPr>
          <w:p>
            <w:pPr>
              <w:jc w:val="right"/>
              <w:spacing w:after="0" w:line="202" w:lineRule="exact"/>
              <w:rPr>
                <w:sz w:val="20"/>
                <w:szCs w:val="20"/>
                <w:color w:val="auto"/>
              </w:rPr>
            </w:pPr>
            <w:r>
              <w:rPr>
                <w:rFonts w:ascii="Arial" w:cs="Arial" w:eastAsia="Arial" w:hAnsi="Arial"/>
                <w:sz w:val="18"/>
                <w:szCs w:val="18"/>
                <w:color w:val="auto"/>
              </w:rPr>
              <w:t>(32,150)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(3,956)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(10,835)</w:t>
            </w: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DCEBF4"/>
            </w:tcBorders>
            <w:shd w:val="clear" w:color="auto" w:fill="DCEBF4"/>
          </w:tcPr>
          <w:p>
            <w:pPr>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126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(15,434</w:t>
            </w:r>
          </w:p>
        </w:tc>
        <w:tc>
          <w:tcPr>
            <w:tcW w:w="240" w:type="dxa"/>
            <w:vAlign w:val="bottom"/>
            <w:tcBorders>
              <w:top w:val="single" w:sz="8" w:color="DCEBF4"/>
            </w:tcBorders>
            <w:shd w:val="clear" w:color="auto" w:fill="DCEBF4"/>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(14,476</w:t>
            </w:r>
          </w:p>
        </w:tc>
        <w:tc>
          <w:tcPr>
            <w:tcW w:w="100" w:type="dxa"/>
            <w:vAlign w:val="bottom"/>
            <w:tcBorders>
              <w:top w:val="single" w:sz="8" w:color="DCEBF4"/>
            </w:tcBorders>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DCEBF4"/>
            </w:tcBorders>
            <w:shd w:val="clear" w:color="auto" w:fill="DCEBF4"/>
          </w:tcPr>
          <w:p>
            <w:pPr>
              <w:spacing w:after="0"/>
              <w:rPr>
                <w:sz w:val="17"/>
                <w:szCs w:val="17"/>
                <w:color w:val="auto"/>
              </w:rPr>
            </w:pPr>
          </w:p>
        </w:tc>
        <w:tc>
          <w:tcPr>
            <w:tcW w:w="124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(46,605</w:t>
            </w:r>
          </w:p>
        </w:tc>
        <w:tc>
          <w:tcPr>
            <w:tcW w:w="200" w:type="dxa"/>
            <w:vAlign w:val="bottom"/>
            <w:tcBorders>
              <w:top w:val="single" w:sz="8" w:color="DCEBF4"/>
            </w:tcBorders>
            <w:shd w:val="clear" w:color="auto" w:fill="DCEBF4"/>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440" w:type="dxa"/>
            <w:vAlign w:val="bottom"/>
            <w:tcBorders>
              <w:top w:val="single" w:sz="8" w:color="auto"/>
              <w:bottom w:val="single" w:sz="8" w:color="auto"/>
            </w:tcBorders>
            <w:shd w:val="clear" w:color="auto" w:fill="DCEBF4"/>
          </w:tcPr>
          <w:p>
            <w:pPr>
              <w:spacing w:after="0"/>
              <w:rPr>
                <w:sz w:val="17"/>
                <w:szCs w:val="17"/>
                <w:color w:val="auto"/>
              </w:rPr>
            </w:pPr>
          </w:p>
        </w:tc>
        <w:tc>
          <w:tcPr>
            <w:tcW w:w="82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(40,853</w:t>
            </w:r>
          </w:p>
        </w:tc>
        <w:tc>
          <w:tcPr>
            <w:tcW w:w="100" w:type="dxa"/>
            <w:vAlign w:val="bottom"/>
            <w:tcBorders>
              <w:top w:val="single" w:sz="8" w:color="DCEBF4"/>
            </w:tcBorders>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620" w:type="dxa"/>
            <w:vAlign w:val="bottom"/>
            <w:gridSpan w:val="2"/>
          </w:tcPr>
          <w:p>
            <w:pPr>
              <w:spacing w:after="0" w:line="196" w:lineRule="exact"/>
              <w:rPr>
                <w:sz w:val="20"/>
                <w:szCs w:val="20"/>
                <w:color w:val="auto"/>
              </w:rPr>
            </w:pPr>
            <w:r>
              <w:rPr>
                <w:rFonts w:ascii="Arial" w:cs="Arial" w:eastAsia="Arial" w:hAnsi="Arial"/>
                <w:sz w:val="18"/>
                <w:szCs w:val="18"/>
                <w:color w:val="auto"/>
              </w:rPr>
              <w:t>Operating income/(loss)</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17,977</w:t>
            </w:r>
          </w:p>
        </w:tc>
        <w:tc>
          <w:tcPr>
            <w:tcW w:w="2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(12,171)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63,359</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00" w:type="dxa"/>
            <w:vAlign w:val="bottom"/>
            <w:shd w:val="clear" w:color="auto" w:fill="DCEBF4"/>
          </w:tcPr>
          <w:p>
            <w:pPr>
              <w:spacing w:after="0"/>
              <w:rPr>
                <w:sz w:val="17"/>
                <w:szCs w:val="17"/>
                <w:color w:val="auto"/>
              </w:rPr>
            </w:pPr>
          </w:p>
        </w:tc>
        <w:tc>
          <w:tcPr>
            <w:tcW w:w="1260" w:type="dxa"/>
            <w:vAlign w:val="bottom"/>
            <w:shd w:val="clear" w:color="auto" w:fill="DCEBF4"/>
          </w:tcPr>
          <w:p>
            <w:pPr>
              <w:spacing w:after="0"/>
              <w:rPr>
                <w:sz w:val="17"/>
                <w:szCs w:val="17"/>
                <w:color w:val="auto"/>
              </w:rPr>
            </w:pPr>
          </w:p>
        </w:tc>
        <w:tc>
          <w:tcPr>
            <w:tcW w:w="240" w:type="dxa"/>
            <w:vAlign w:val="bottom"/>
            <w:shd w:val="clear" w:color="auto" w:fill="DCEBF4"/>
          </w:tcPr>
          <w:p>
            <w:pPr>
              <w:spacing w:after="0"/>
              <w:rPr>
                <w:sz w:val="17"/>
                <w:szCs w:val="17"/>
                <w:color w:val="auto"/>
              </w:rPr>
            </w:pPr>
          </w:p>
        </w:tc>
        <w:tc>
          <w:tcPr>
            <w:tcW w:w="128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0" w:type="dxa"/>
            <w:vAlign w:val="bottom"/>
            <w:shd w:val="clear" w:color="auto" w:fill="DCEBF4"/>
          </w:tcPr>
          <w:p>
            <w:pPr>
              <w:spacing w:after="0"/>
              <w:rPr>
                <w:sz w:val="17"/>
                <w:szCs w:val="17"/>
                <w:color w:val="auto"/>
              </w:rPr>
            </w:pPr>
          </w:p>
        </w:tc>
        <w:tc>
          <w:tcPr>
            <w:tcW w:w="1240" w:type="dxa"/>
            <w:vAlign w:val="bottom"/>
            <w:shd w:val="clear" w:color="auto" w:fill="DCEBF4"/>
          </w:tcPr>
          <w:p>
            <w:pPr>
              <w:spacing w:after="0"/>
              <w:rPr>
                <w:sz w:val="17"/>
                <w:szCs w:val="17"/>
                <w:color w:val="auto"/>
              </w:rPr>
            </w:pPr>
          </w:p>
        </w:tc>
        <w:tc>
          <w:tcPr>
            <w:tcW w:w="200" w:type="dxa"/>
            <w:vAlign w:val="bottom"/>
            <w:shd w:val="clear" w:color="auto" w:fill="DCEBF4"/>
          </w:tcPr>
          <w:p>
            <w:pPr>
              <w:spacing w:after="0"/>
              <w:rPr>
                <w:sz w:val="17"/>
                <w:szCs w:val="17"/>
                <w:color w:val="auto"/>
              </w:rPr>
            </w:pPr>
          </w:p>
        </w:tc>
        <w:tc>
          <w:tcPr>
            <w:tcW w:w="440" w:type="dxa"/>
            <w:vAlign w:val="bottom"/>
            <w:shd w:val="clear" w:color="auto" w:fill="DCEBF4"/>
          </w:tcPr>
          <w:p>
            <w:pPr>
              <w:spacing w:after="0"/>
              <w:rPr>
                <w:sz w:val="17"/>
                <w:szCs w:val="17"/>
                <w:color w:val="auto"/>
              </w:rPr>
            </w:pPr>
          </w:p>
        </w:tc>
        <w:tc>
          <w:tcPr>
            <w:tcW w:w="82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Finance income / (expense), net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24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(1,314)</w:t>
            </w:r>
          </w:p>
        </w:tc>
        <w:tc>
          <w:tcPr>
            <w:tcW w:w="12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(1,564)</w:t>
            </w:r>
          </w:p>
        </w:tc>
        <w:tc>
          <w:tcPr>
            <w:tcW w:w="4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Change in fair value of conversion feature</w:t>
            </w:r>
          </w:p>
        </w:tc>
        <w:tc>
          <w:tcPr>
            <w:tcW w:w="1500" w:type="dxa"/>
            <w:vAlign w:val="bottom"/>
            <w:gridSpan w:val="2"/>
            <w:shd w:val="clear" w:color="auto" w:fill="DCEBF4"/>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3"/>
            <w:shd w:val="clear" w:color="auto" w:fill="DCEBF4"/>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DCEBF4"/>
          </w:tcPr>
          <w:p>
            <w:pPr>
              <w:jc w:val="right"/>
              <w:ind w:right="120"/>
              <w:spacing w:after="0" w:line="202" w:lineRule="exact"/>
              <w:rPr>
                <w:sz w:val="20"/>
                <w:szCs w:val="20"/>
                <w:color w:val="auto"/>
              </w:rPr>
            </w:pPr>
            <w:r>
              <w:rPr>
                <w:rFonts w:ascii="Arial" w:cs="Arial" w:eastAsia="Arial" w:hAnsi="Arial"/>
                <w:sz w:val="18"/>
                <w:szCs w:val="18"/>
                <w:color w:val="auto"/>
              </w:rPr>
              <w:t>4,542</w:t>
            </w:r>
          </w:p>
        </w:tc>
        <w:tc>
          <w:tcPr>
            <w:tcW w:w="440" w:type="dxa"/>
            <w:vAlign w:val="bottom"/>
            <w:shd w:val="clear" w:color="auto" w:fill="DCEBF4"/>
          </w:tcPr>
          <w:p>
            <w:pPr>
              <w:spacing w:after="0"/>
              <w:rPr>
                <w:sz w:val="17"/>
                <w:szCs w:val="17"/>
                <w:color w:val="auto"/>
              </w:rPr>
            </w:pPr>
          </w:p>
        </w:tc>
        <w:tc>
          <w:tcPr>
            <w:tcW w:w="920" w:type="dxa"/>
            <w:vAlign w:val="bottom"/>
            <w:gridSpan w:val="2"/>
            <w:shd w:val="clear" w:color="auto" w:fill="DCEBF4"/>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w:t>
            </w:r>
          </w:p>
        </w:tc>
        <w:tc>
          <w:tcPr>
            <w:tcW w:w="15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237</w:t>
            </w:r>
          </w:p>
        </w:tc>
        <w:tc>
          <w:tcPr>
            <w:tcW w:w="44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CEBF4"/>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(86)</w:t>
            </w:r>
          </w:p>
        </w:tc>
        <w:tc>
          <w:tcPr>
            <w:tcW w:w="138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DCEBF4"/>
          </w:tcPr>
          <w:p>
            <w:pPr>
              <w:spacing w:after="0"/>
              <w:rPr>
                <w:sz w:val="18"/>
                <w:szCs w:val="18"/>
                <w:color w:val="auto"/>
              </w:rPr>
            </w:pPr>
          </w:p>
        </w:tc>
        <w:tc>
          <w:tcPr>
            <w:tcW w:w="1440" w:type="dxa"/>
            <w:vAlign w:val="bottom"/>
            <w:gridSpan w:val="2"/>
            <w:shd w:val="clear" w:color="auto" w:fill="DCEBF4"/>
          </w:tcPr>
          <w:p>
            <w:pPr>
              <w:jc w:val="right"/>
              <w:ind w:right="60"/>
              <w:spacing w:after="0"/>
              <w:rPr>
                <w:sz w:val="20"/>
                <w:szCs w:val="20"/>
                <w:color w:val="auto"/>
              </w:rPr>
            </w:pPr>
            <w:r>
              <w:rPr>
                <w:rFonts w:ascii="Arial" w:cs="Arial" w:eastAsia="Arial" w:hAnsi="Arial"/>
                <w:sz w:val="18"/>
                <w:szCs w:val="18"/>
                <w:color w:val="auto"/>
              </w:rPr>
              <w:t>(1,686)</w:t>
            </w:r>
          </w:p>
        </w:tc>
        <w:tc>
          <w:tcPr>
            <w:tcW w:w="440" w:type="dxa"/>
            <w:vAlign w:val="bottom"/>
            <w:shd w:val="clear" w:color="auto" w:fill="DCEBF4"/>
          </w:tcPr>
          <w:p>
            <w:pPr>
              <w:spacing w:after="0"/>
              <w:rPr>
                <w:sz w:val="18"/>
                <w:szCs w:val="18"/>
                <w:color w:val="auto"/>
              </w:rPr>
            </w:pPr>
          </w:p>
        </w:tc>
        <w:tc>
          <w:tcPr>
            <w:tcW w:w="92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DCEBF4"/>
            </w:tcBorders>
          </w:tcPr>
          <w:p>
            <w:pPr>
              <w:spacing w:after="0" w:line="196" w:lineRule="exact"/>
              <w:rPr>
                <w:sz w:val="20"/>
                <w:szCs w:val="20"/>
                <w:color w:val="auto"/>
              </w:rPr>
            </w:pPr>
            <w:r>
              <w:rPr>
                <w:rFonts w:ascii="Arial" w:cs="Arial" w:eastAsia="Arial" w:hAnsi="Arial"/>
                <w:sz w:val="18"/>
                <w:szCs w:val="18"/>
                <w:b w:val="1"/>
                <w:bCs w:val="1"/>
                <w:color w:val="auto"/>
              </w:rPr>
              <w:t>Finance result, net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236</w:t>
            </w:r>
          </w:p>
        </w:tc>
        <w:tc>
          <w:tcPr>
            <w:tcW w:w="240" w:type="dxa"/>
            <w:vAlign w:val="bottom"/>
            <w:tcBorders>
              <w:bottom w:val="single" w:sz="8" w:color="DCEBF4"/>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(1,345</w:t>
            </w:r>
          </w:p>
        </w:tc>
        <w:tc>
          <w:tcPr>
            <w:tcW w:w="100" w:type="dxa"/>
            <w:vAlign w:val="bottom"/>
            <w:tcBorders>
              <w:bottom w:val="single" w:sz="8" w:color="DCEBF4"/>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DCEBF4"/>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1,529</w:t>
            </w:r>
          </w:p>
        </w:tc>
        <w:tc>
          <w:tcPr>
            <w:tcW w:w="200" w:type="dxa"/>
            <w:vAlign w:val="bottom"/>
            <w:tcBorders>
              <w:bottom w:val="single" w:sz="8" w:color="DCEBF4"/>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(1,212</w:t>
            </w:r>
          </w:p>
        </w:tc>
        <w:tc>
          <w:tcPr>
            <w:tcW w:w="100" w:type="dxa"/>
            <w:vAlign w:val="bottom"/>
            <w:tcBorders>
              <w:bottom w:val="single" w:sz="8" w:color="DCEBF4"/>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DCEBF4"/>
          </w:tcPr>
          <w:p>
            <w:pPr>
              <w:spacing w:after="0" w:line="196" w:lineRule="exact"/>
              <w:rPr>
                <w:sz w:val="20"/>
                <w:szCs w:val="20"/>
                <w:color w:val="auto"/>
              </w:rPr>
            </w:pPr>
            <w:r>
              <w:rPr>
                <w:rFonts w:ascii="Arial" w:cs="Arial" w:eastAsia="Arial" w:hAnsi="Arial"/>
                <w:sz w:val="18"/>
                <w:szCs w:val="18"/>
                <w:b w:val="1"/>
                <w:bCs w:val="1"/>
                <w:color w:val="auto"/>
              </w:rPr>
              <w:t>Income/(loss) before tax</w:t>
            </w:r>
          </w:p>
        </w:tc>
        <w:tc>
          <w:tcPr>
            <w:tcW w:w="1260" w:type="dxa"/>
            <w:vAlign w:val="bottom"/>
            <w:tcBorders>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18,213</w:t>
            </w:r>
          </w:p>
        </w:tc>
        <w:tc>
          <w:tcPr>
            <w:tcW w:w="240" w:type="dxa"/>
            <w:vAlign w:val="bottom"/>
            <w:shd w:val="clear" w:color="auto" w:fill="DCEBF4"/>
          </w:tcPr>
          <w:p>
            <w:pPr>
              <w:spacing w:after="0"/>
              <w:rPr>
                <w:sz w:val="17"/>
                <w:szCs w:val="17"/>
                <w:color w:val="auto"/>
              </w:rPr>
            </w:pPr>
          </w:p>
        </w:tc>
        <w:tc>
          <w:tcPr>
            <w:tcW w:w="1280" w:type="dxa"/>
            <w:vAlign w:val="bottom"/>
            <w:tcBorders>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(13,516</w:t>
            </w:r>
          </w:p>
        </w:tc>
        <w:tc>
          <w:tcPr>
            <w:tcW w:w="100" w:type="dxa"/>
            <w:vAlign w:val="bottom"/>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DCEBF4"/>
          </w:tcPr>
          <w:p>
            <w:pPr>
              <w:spacing w:after="0"/>
              <w:rPr>
                <w:sz w:val="17"/>
                <w:szCs w:val="17"/>
                <w:color w:val="auto"/>
              </w:rPr>
            </w:pPr>
          </w:p>
        </w:tc>
        <w:tc>
          <w:tcPr>
            <w:tcW w:w="1240" w:type="dxa"/>
            <w:vAlign w:val="bottom"/>
            <w:tcBorders>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64,888</w:t>
            </w:r>
          </w:p>
        </w:tc>
        <w:tc>
          <w:tcPr>
            <w:tcW w:w="200" w:type="dxa"/>
            <w:vAlign w:val="bottom"/>
            <w:shd w:val="clear" w:color="auto" w:fill="DCEBF4"/>
          </w:tcPr>
          <w:p>
            <w:pPr>
              <w:spacing w:after="0"/>
              <w:rPr>
                <w:sz w:val="17"/>
                <w:szCs w:val="17"/>
                <w:color w:val="auto"/>
              </w:rPr>
            </w:pPr>
          </w:p>
        </w:tc>
        <w:tc>
          <w:tcPr>
            <w:tcW w:w="440" w:type="dxa"/>
            <w:vAlign w:val="bottom"/>
            <w:tcBorders>
              <w:bottom w:val="single" w:sz="8" w:color="auto"/>
            </w:tcBorders>
            <w:shd w:val="clear" w:color="auto" w:fill="DCEBF4"/>
          </w:tcPr>
          <w:p>
            <w:pPr>
              <w:spacing w:after="0"/>
              <w:rPr>
                <w:sz w:val="17"/>
                <w:szCs w:val="17"/>
                <w:color w:val="auto"/>
              </w:rPr>
            </w:pPr>
          </w:p>
        </w:tc>
        <w:tc>
          <w:tcPr>
            <w:tcW w:w="820" w:type="dxa"/>
            <w:vAlign w:val="bottom"/>
            <w:tcBorders>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(36,274</w:t>
            </w:r>
          </w:p>
        </w:tc>
        <w:tc>
          <w:tcPr>
            <w:tcW w:w="100" w:type="dxa"/>
            <w:vAlign w:val="bottom"/>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DCEBF4"/>
            </w:tcBorders>
          </w:tcPr>
          <w:p>
            <w:pPr>
              <w:spacing w:after="0" w:line="196" w:lineRule="exact"/>
              <w:rPr>
                <w:sz w:val="20"/>
                <w:szCs w:val="20"/>
                <w:color w:val="auto"/>
              </w:rPr>
            </w:pPr>
            <w:r>
              <w:rPr>
                <w:rFonts w:ascii="Arial" w:cs="Arial" w:eastAsia="Arial" w:hAnsi="Arial"/>
                <w:sz w:val="18"/>
                <w:szCs w:val="18"/>
                <w:b w:val="1"/>
                <w:bCs w:val="1"/>
                <w:color w:val="auto"/>
              </w:rPr>
              <w:t>Income tax expense</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DCEBF4"/>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CEBF4"/>
            </w:tcBorders>
          </w:tcPr>
          <w:p>
            <w:pPr>
              <w:spacing w:after="0"/>
              <w:rPr>
                <w:sz w:val="17"/>
                <w:szCs w:val="17"/>
                <w:color w:val="auto"/>
              </w:rPr>
            </w:pPr>
          </w:p>
        </w:tc>
        <w:tc>
          <w:tcPr>
            <w:tcW w:w="120" w:type="dxa"/>
            <w:vAlign w:val="bottom"/>
            <w:tcBorders>
              <w:bottom w:val="single" w:sz="8" w:color="DCEBF4"/>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DCEBF4"/>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CEBF4"/>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DCEBF4"/>
          </w:tcPr>
          <w:p>
            <w:pPr>
              <w:spacing w:after="0" w:line="196" w:lineRule="exact"/>
              <w:rPr>
                <w:sz w:val="20"/>
                <w:szCs w:val="20"/>
                <w:color w:val="auto"/>
              </w:rPr>
            </w:pPr>
            <w:r>
              <w:rPr>
                <w:rFonts w:ascii="Arial" w:cs="Arial" w:eastAsia="Arial" w:hAnsi="Arial"/>
                <w:sz w:val="18"/>
                <w:szCs w:val="18"/>
                <w:b w:val="1"/>
                <w:bCs w:val="1"/>
                <w:color w:val="auto"/>
              </w:rPr>
              <w:t>Income/(loss) for the period</w:t>
            </w:r>
          </w:p>
        </w:tc>
        <w:tc>
          <w:tcPr>
            <w:tcW w:w="1260" w:type="dxa"/>
            <w:vAlign w:val="bottom"/>
            <w:tcBorders>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18,213</w:t>
            </w:r>
          </w:p>
        </w:tc>
        <w:tc>
          <w:tcPr>
            <w:tcW w:w="240" w:type="dxa"/>
            <w:vAlign w:val="bottom"/>
            <w:shd w:val="clear" w:color="auto" w:fill="DCEBF4"/>
          </w:tcPr>
          <w:p>
            <w:pPr>
              <w:spacing w:after="0"/>
              <w:rPr>
                <w:sz w:val="17"/>
                <w:szCs w:val="17"/>
                <w:color w:val="auto"/>
              </w:rPr>
            </w:pPr>
          </w:p>
        </w:tc>
        <w:tc>
          <w:tcPr>
            <w:tcW w:w="1280" w:type="dxa"/>
            <w:vAlign w:val="bottom"/>
            <w:tcBorders>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(13,516</w:t>
            </w:r>
          </w:p>
        </w:tc>
        <w:tc>
          <w:tcPr>
            <w:tcW w:w="100" w:type="dxa"/>
            <w:vAlign w:val="bottom"/>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DCEBF4"/>
          </w:tcPr>
          <w:p>
            <w:pPr>
              <w:spacing w:after="0"/>
              <w:rPr>
                <w:sz w:val="17"/>
                <w:szCs w:val="17"/>
                <w:color w:val="auto"/>
              </w:rPr>
            </w:pPr>
          </w:p>
        </w:tc>
        <w:tc>
          <w:tcPr>
            <w:tcW w:w="1240" w:type="dxa"/>
            <w:vAlign w:val="bottom"/>
            <w:tcBorders>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64,888</w:t>
            </w:r>
          </w:p>
        </w:tc>
        <w:tc>
          <w:tcPr>
            <w:tcW w:w="200" w:type="dxa"/>
            <w:vAlign w:val="bottom"/>
            <w:shd w:val="clear" w:color="auto" w:fill="DCEBF4"/>
          </w:tcPr>
          <w:p>
            <w:pPr>
              <w:spacing w:after="0"/>
              <w:rPr>
                <w:sz w:val="17"/>
                <w:szCs w:val="17"/>
                <w:color w:val="auto"/>
              </w:rPr>
            </w:pPr>
          </w:p>
        </w:tc>
        <w:tc>
          <w:tcPr>
            <w:tcW w:w="440" w:type="dxa"/>
            <w:vAlign w:val="bottom"/>
            <w:tcBorders>
              <w:bottom w:val="single" w:sz="8" w:color="auto"/>
            </w:tcBorders>
            <w:shd w:val="clear" w:color="auto" w:fill="DCEBF4"/>
          </w:tcPr>
          <w:p>
            <w:pPr>
              <w:spacing w:after="0"/>
              <w:rPr>
                <w:sz w:val="17"/>
                <w:szCs w:val="17"/>
                <w:color w:val="auto"/>
              </w:rPr>
            </w:pPr>
          </w:p>
        </w:tc>
        <w:tc>
          <w:tcPr>
            <w:tcW w:w="820" w:type="dxa"/>
            <w:vAlign w:val="bottom"/>
            <w:tcBorders>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b w:val="1"/>
                <w:bCs w:val="1"/>
                <w:color w:val="auto"/>
              </w:rPr>
              <w:t>(36,274</w:t>
            </w:r>
          </w:p>
        </w:tc>
        <w:tc>
          <w:tcPr>
            <w:tcW w:w="100" w:type="dxa"/>
            <w:vAlign w:val="bottom"/>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Income/(loss) per share (EPS):</w:t>
            </w:r>
          </w:p>
        </w:tc>
        <w:tc>
          <w:tcPr>
            <w:tcW w:w="1260" w:type="dxa"/>
            <w:vAlign w:val="bottom"/>
            <w:shd w:val="clear" w:color="auto" w:fill="DCEBF4"/>
          </w:tcPr>
          <w:p>
            <w:pPr>
              <w:spacing w:after="0"/>
              <w:rPr>
                <w:sz w:val="17"/>
                <w:szCs w:val="17"/>
                <w:color w:val="auto"/>
              </w:rPr>
            </w:pPr>
          </w:p>
        </w:tc>
        <w:tc>
          <w:tcPr>
            <w:tcW w:w="240" w:type="dxa"/>
            <w:vAlign w:val="bottom"/>
            <w:shd w:val="clear" w:color="auto" w:fill="DCEBF4"/>
          </w:tcPr>
          <w:p>
            <w:pPr>
              <w:spacing w:after="0"/>
              <w:rPr>
                <w:sz w:val="17"/>
                <w:szCs w:val="17"/>
                <w:color w:val="auto"/>
              </w:rPr>
            </w:pPr>
          </w:p>
        </w:tc>
        <w:tc>
          <w:tcPr>
            <w:tcW w:w="128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20" w:type="dxa"/>
            <w:vAlign w:val="bottom"/>
            <w:shd w:val="clear" w:color="auto" w:fill="DCEBF4"/>
          </w:tcPr>
          <w:p>
            <w:pPr>
              <w:spacing w:after="0"/>
              <w:rPr>
                <w:sz w:val="17"/>
                <w:szCs w:val="17"/>
                <w:color w:val="auto"/>
              </w:rPr>
            </w:pPr>
          </w:p>
        </w:tc>
        <w:tc>
          <w:tcPr>
            <w:tcW w:w="1240" w:type="dxa"/>
            <w:vAlign w:val="bottom"/>
            <w:shd w:val="clear" w:color="auto" w:fill="DCEBF4"/>
          </w:tcPr>
          <w:p>
            <w:pPr>
              <w:spacing w:after="0"/>
              <w:rPr>
                <w:sz w:val="17"/>
                <w:szCs w:val="17"/>
                <w:color w:val="auto"/>
              </w:rPr>
            </w:pPr>
          </w:p>
        </w:tc>
        <w:tc>
          <w:tcPr>
            <w:tcW w:w="200" w:type="dxa"/>
            <w:vAlign w:val="bottom"/>
            <w:shd w:val="clear" w:color="auto" w:fill="DCEBF4"/>
          </w:tcPr>
          <w:p>
            <w:pPr>
              <w:spacing w:after="0"/>
              <w:rPr>
                <w:sz w:val="17"/>
                <w:szCs w:val="17"/>
                <w:color w:val="auto"/>
              </w:rPr>
            </w:pPr>
          </w:p>
        </w:tc>
        <w:tc>
          <w:tcPr>
            <w:tcW w:w="440" w:type="dxa"/>
            <w:vAlign w:val="bottom"/>
            <w:shd w:val="clear" w:color="auto" w:fill="DCEBF4"/>
          </w:tcPr>
          <w:p>
            <w:pPr>
              <w:spacing w:after="0"/>
              <w:rPr>
                <w:sz w:val="17"/>
                <w:szCs w:val="17"/>
                <w:color w:val="auto"/>
              </w:rPr>
            </w:pPr>
          </w:p>
        </w:tc>
        <w:tc>
          <w:tcPr>
            <w:tcW w:w="82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Basic income/(loss) for the period attributable to equity holders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24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(0.21)</w:t>
            </w:r>
          </w:p>
        </w:tc>
        <w:tc>
          <w:tcPr>
            <w:tcW w:w="12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0.92</w:t>
            </w:r>
          </w:p>
        </w:tc>
        <w:tc>
          <w:tcPr>
            <w:tcW w:w="4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Diluted income/(loss) for the period attributable to equity holders</w:t>
            </w:r>
          </w:p>
        </w:tc>
        <w:tc>
          <w:tcPr>
            <w:tcW w:w="1260" w:type="dxa"/>
            <w:vAlign w:val="bottom"/>
            <w:shd w:val="clear" w:color="auto" w:fill="DCEBF4"/>
          </w:tcPr>
          <w:p>
            <w:pPr>
              <w:jc w:val="right"/>
              <w:spacing w:after="0" w:line="202" w:lineRule="exact"/>
              <w:rPr>
                <w:sz w:val="20"/>
                <w:szCs w:val="20"/>
                <w:color w:val="auto"/>
              </w:rPr>
            </w:pPr>
            <w:r>
              <w:rPr>
                <w:rFonts w:ascii="Arial" w:cs="Arial" w:eastAsia="Arial" w:hAnsi="Arial"/>
                <w:sz w:val="18"/>
                <w:szCs w:val="18"/>
                <w:color w:val="auto"/>
              </w:rPr>
              <w:t>0.25</w:t>
            </w:r>
          </w:p>
        </w:tc>
        <w:tc>
          <w:tcPr>
            <w:tcW w:w="240" w:type="dxa"/>
            <w:vAlign w:val="bottom"/>
            <w:shd w:val="clear" w:color="auto" w:fill="DCEBF4"/>
          </w:tcPr>
          <w:p>
            <w:pPr>
              <w:spacing w:after="0"/>
              <w:rPr>
                <w:sz w:val="17"/>
                <w:szCs w:val="17"/>
                <w:color w:val="auto"/>
              </w:rPr>
            </w:pPr>
          </w:p>
        </w:tc>
        <w:tc>
          <w:tcPr>
            <w:tcW w:w="1380" w:type="dxa"/>
            <w:vAlign w:val="bottom"/>
            <w:gridSpan w:val="2"/>
            <w:shd w:val="clear" w:color="auto" w:fill="DCEBF4"/>
          </w:tcPr>
          <w:p>
            <w:pPr>
              <w:jc w:val="right"/>
              <w:spacing w:after="0" w:line="202" w:lineRule="exact"/>
              <w:rPr>
                <w:sz w:val="20"/>
                <w:szCs w:val="20"/>
                <w:color w:val="auto"/>
              </w:rPr>
            </w:pPr>
            <w:r>
              <w:rPr>
                <w:rFonts w:ascii="Arial" w:cs="Arial" w:eastAsia="Arial" w:hAnsi="Arial"/>
                <w:sz w:val="18"/>
                <w:szCs w:val="18"/>
                <w:color w:val="auto"/>
              </w:rPr>
              <w:t>(0.21)</w:t>
            </w:r>
          </w:p>
        </w:tc>
        <w:tc>
          <w:tcPr>
            <w:tcW w:w="120" w:type="dxa"/>
            <w:vAlign w:val="bottom"/>
            <w:shd w:val="clear" w:color="auto" w:fill="DCEBF4"/>
          </w:tcPr>
          <w:p>
            <w:pPr>
              <w:spacing w:after="0"/>
              <w:rPr>
                <w:sz w:val="17"/>
                <w:szCs w:val="17"/>
                <w:color w:val="auto"/>
              </w:rPr>
            </w:pPr>
          </w:p>
        </w:tc>
        <w:tc>
          <w:tcPr>
            <w:tcW w:w="1440" w:type="dxa"/>
            <w:vAlign w:val="bottom"/>
            <w:gridSpan w:val="2"/>
            <w:shd w:val="clear" w:color="auto" w:fill="DCEBF4"/>
          </w:tcPr>
          <w:p>
            <w:pPr>
              <w:jc w:val="right"/>
              <w:ind w:right="120"/>
              <w:spacing w:after="0" w:line="202" w:lineRule="exact"/>
              <w:rPr>
                <w:sz w:val="20"/>
                <w:szCs w:val="20"/>
                <w:color w:val="auto"/>
              </w:rPr>
            </w:pPr>
            <w:r>
              <w:rPr>
                <w:rFonts w:ascii="Arial" w:cs="Arial" w:eastAsia="Arial" w:hAnsi="Arial"/>
                <w:sz w:val="18"/>
                <w:szCs w:val="18"/>
                <w:color w:val="auto"/>
              </w:rPr>
              <w:t>0.92</w:t>
            </w:r>
          </w:p>
        </w:tc>
        <w:tc>
          <w:tcPr>
            <w:tcW w:w="440" w:type="dxa"/>
            <w:vAlign w:val="bottom"/>
            <w:shd w:val="clear" w:color="auto" w:fill="DCEBF4"/>
          </w:tcPr>
          <w:p>
            <w:pPr>
              <w:spacing w:after="0"/>
              <w:rPr>
                <w:sz w:val="17"/>
                <w:szCs w:val="17"/>
                <w:color w:val="auto"/>
              </w:rPr>
            </w:pPr>
          </w:p>
        </w:tc>
        <w:tc>
          <w:tcPr>
            <w:tcW w:w="920" w:type="dxa"/>
            <w:vAlign w:val="bottom"/>
            <w:gridSpan w:val="2"/>
            <w:shd w:val="clear" w:color="auto" w:fill="DCEBF4"/>
          </w:tcPr>
          <w:p>
            <w:pPr>
              <w:jc w:val="right"/>
              <w:spacing w:after="0" w:line="202" w:lineRule="exact"/>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41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000" w:type="dxa"/>
            <w:vAlign w:val="bottom"/>
            <w:gridSpan w:val="5"/>
          </w:tcPr>
          <w:p>
            <w:pPr>
              <w:ind w:left="520"/>
              <w:spacing w:after="0"/>
              <w:rPr>
                <w:sz w:val="20"/>
                <w:szCs w:val="20"/>
                <w:color w:val="auto"/>
              </w:rPr>
            </w:pPr>
            <w:r>
              <w:rPr>
                <w:rFonts w:ascii="Arial" w:cs="Arial" w:eastAsia="Arial" w:hAnsi="Arial"/>
                <w:sz w:val="18"/>
                <w:szCs w:val="18"/>
                <w:b w:val="1"/>
                <w:bCs w:val="1"/>
                <w:color w:val="auto"/>
              </w:rPr>
              <w:t>For the Three Months</w:t>
            </w:r>
          </w:p>
        </w:tc>
        <w:tc>
          <w:tcPr>
            <w:tcW w:w="2800" w:type="dxa"/>
            <w:vAlign w:val="bottom"/>
            <w:gridSpan w:val="5"/>
          </w:tcPr>
          <w:p>
            <w:pPr>
              <w:ind w:left="50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0" w:type="dxa"/>
            <w:vAlign w:val="bottom"/>
            <w:gridSpan w:val="5"/>
          </w:tcPr>
          <w:p>
            <w:pPr>
              <w:ind w:left="520"/>
              <w:spacing w:after="0"/>
              <w:rPr>
                <w:sz w:val="20"/>
                <w:szCs w:val="20"/>
                <w:color w:val="auto"/>
              </w:rPr>
            </w:pPr>
            <w:r>
              <w:rPr>
                <w:rFonts w:ascii="Arial" w:cs="Arial" w:eastAsia="Arial" w:hAnsi="Arial"/>
                <w:sz w:val="18"/>
                <w:szCs w:val="18"/>
                <w:b w:val="1"/>
                <w:bCs w:val="1"/>
                <w:color w:val="auto"/>
              </w:rPr>
              <w:t>Ended September 30,</w:t>
            </w:r>
          </w:p>
        </w:tc>
        <w:tc>
          <w:tcPr>
            <w:tcW w:w="2800" w:type="dxa"/>
            <w:vAlign w:val="bottom"/>
            <w:gridSpan w:val="5"/>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gridSpan w:val="6"/>
          </w:tcPr>
          <w:p>
            <w:pPr>
              <w:jc w:val="center"/>
              <w:ind w:right="600"/>
              <w:spacing w:after="0" w:line="196" w:lineRule="exact"/>
              <w:rPr>
                <w:sz w:val="20"/>
                <w:szCs w:val="20"/>
                <w:color w:val="auto"/>
              </w:rPr>
            </w:pPr>
            <w:r>
              <w:rPr>
                <w:rFonts w:ascii="Arial" w:cs="Arial" w:eastAsia="Arial" w:hAnsi="Arial"/>
                <w:sz w:val="18"/>
                <w:szCs w:val="18"/>
                <w:b w:val="1"/>
                <w:bCs w:val="1"/>
                <w:color w:val="auto"/>
                <w:w w:val="99"/>
              </w:rPr>
              <w:t>(in CHF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Income/(loss) for the period</w:t>
            </w:r>
          </w:p>
        </w:tc>
        <w:tc>
          <w:tcPr>
            <w:tcW w:w="1500" w:type="dxa"/>
            <w:vAlign w:val="bottom"/>
            <w:gridSpan w:val="2"/>
            <w:shd w:val="clear" w:color="auto" w:fill="DCEBF4"/>
          </w:tcPr>
          <w:p>
            <w:pPr>
              <w:jc w:val="right"/>
              <w:ind w:right="160"/>
              <w:spacing w:after="0" w:line="202" w:lineRule="exact"/>
              <w:rPr>
                <w:sz w:val="20"/>
                <w:szCs w:val="20"/>
                <w:color w:val="auto"/>
              </w:rPr>
            </w:pPr>
            <w:r>
              <w:rPr>
                <w:rFonts w:ascii="Arial" w:cs="Arial" w:eastAsia="Arial" w:hAnsi="Arial"/>
                <w:sz w:val="18"/>
                <w:szCs w:val="18"/>
                <w:color w:val="auto"/>
              </w:rPr>
              <w:t>18,213</w:t>
            </w:r>
          </w:p>
        </w:tc>
        <w:tc>
          <w:tcPr>
            <w:tcW w:w="1380" w:type="dxa"/>
            <w:vAlign w:val="bottom"/>
            <w:gridSpan w:val="2"/>
            <w:shd w:val="clear" w:color="auto" w:fill="DCEBF4"/>
          </w:tcPr>
          <w:p>
            <w:pPr>
              <w:jc w:val="right"/>
              <w:spacing w:after="0" w:line="202" w:lineRule="exact"/>
              <w:rPr>
                <w:sz w:val="20"/>
                <w:szCs w:val="20"/>
                <w:color w:val="auto"/>
              </w:rPr>
            </w:pPr>
            <w:r>
              <w:rPr>
                <w:rFonts w:ascii="Arial" w:cs="Arial" w:eastAsia="Arial" w:hAnsi="Arial"/>
                <w:sz w:val="18"/>
                <w:szCs w:val="18"/>
                <w:color w:val="auto"/>
              </w:rPr>
              <w:t>(13,516)</w:t>
            </w:r>
          </w:p>
        </w:tc>
        <w:tc>
          <w:tcPr>
            <w:tcW w:w="120" w:type="dxa"/>
            <w:vAlign w:val="bottom"/>
            <w:shd w:val="clear" w:color="auto" w:fill="DCEBF4"/>
          </w:tcPr>
          <w:p>
            <w:pPr>
              <w:spacing w:after="0"/>
              <w:rPr>
                <w:sz w:val="17"/>
                <w:szCs w:val="17"/>
                <w:color w:val="auto"/>
              </w:rPr>
            </w:pPr>
          </w:p>
        </w:tc>
        <w:tc>
          <w:tcPr>
            <w:tcW w:w="1440" w:type="dxa"/>
            <w:vAlign w:val="bottom"/>
            <w:gridSpan w:val="2"/>
            <w:shd w:val="clear" w:color="auto" w:fill="DCEBF4"/>
          </w:tcPr>
          <w:p>
            <w:pPr>
              <w:jc w:val="right"/>
              <w:ind w:right="120"/>
              <w:spacing w:after="0" w:line="202" w:lineRule="exact"/>
              <w:rPr>
                <w:sz w:val="20"/>
                <w:szCs w:val="20"/>
                <w:color w:val="auto"/>
              </w:rPr>
            </w:pPr>
            <w:r>
              <w:rPr>
                <w:rFonts w:ascii="Arial" w:cs="Arial" w:eastAsia="Arial" w:hAnsi="Arial"/>
                <w:sz w:val="18"/>
                <w:szCs w:val="18"/>
                <w:color w:val="auto"/>
              </w:rPr>
              <w:t>64,888</w:t>
            </w:r>
          </w:p>
        </w:tc>
        <w:tc>
          <w:tcPr>
            <w:tcW w:w="440" w:type="dxa"/>
            <w:vAlign w:val="bottom"/>
            <w:shd w:val="clear" w:color="auto" w:fill="DCEBF4"/>
          </w:tcPr>
          <w:p>
            <w:pPr>
              <w:spacing w:after="0"/>
              <w:rPr>
                <w:sz w:val="17"/>
                <w:szCs w:val="17"/>
                <w:color w:val="auto"/>
              </w:rPr>
            </w:pPr>
          </w:p>
        </w:tc>
        <w:tc>
          <w:tcPr>
            <w:tcW w:w="920" w:type="dxa"/>
            <w:vAlign w:val="bottom"/>
            <w:gridSpan w:val="2"/>
            <w:shd w:val="clear" w:color="auto" w:fill="DCEBF4"/>
          </w:tcPr>
          <w:p>
            <w:pPr>
              <w:jc w:val="right"/>
              <w:spacing w:after="0" w:line="202" w:lineRule="exact"/>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Other comprehensive income/(loss) not to be reclassified to income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3" w:lineRule="exact"/>
              <w:rPr>
                <w:sz w:val="20"/>
                <w:szCs w:val="20"/>
                <w:color w:val="auto"/>
              </w:rPr>
            </w:pPr>
            <w:r>
              <w:rPr>
                <w:rFonts w:ascii="Arial" w:cs="Arial" w:eastAsia="Arial" w:hAnsi="Arial"/>
                <w:sz w:val="18"/>
                <w:szCs w:val="18"/>
                <w:color w:val="auto"/>
              </w:rPr>
              <w:t>or loss in subsequent periods (net of tax):</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Re-measurement losses on defined benefit plans</w:t>
            </w:r>
          </w:p>
        </w:tc>
        <w:tc>
          <w:tcPr>
            <w:tcW w:w="1500" w:type="dxa"/>
            <w:vAlign w:val="bottom"/>
            <w:gridSpan w:val="2"/>
            <w:shd w:val="clear" w:color="auto" w:fill="DCEBF4"/>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3"/>
            <w:shd w:val="clear" w:color="auto" w:fill="DCEBF4"/>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3"/>
            <w:shd w:val="clear" w:color="auto" w:fill="DCEBF4"/>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DCEBF4"/>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comprehensive income/(loss), net of tax</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18,213</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(13,516)</w:t>
            </w:r>
          </w:p>
        </w:tc>
        <w:tc>
          <w:tcPr>
            <w:tcW w:w="1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64,888</w:t>
            </w: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(36,274)</w:t>
            </w: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78" w:right="239" w:bottom="1440" w:gutter="0" w:footer="0" w:header="0"/>
        </w:sectPr>
      </w:pPr>
    </w:p>
    <w:bookmarkStart w:id="73" w:name="page74"/>
    <w:bookmarkEnd w:id="73"/>
    <w:p>
      <w:pPr>
        <w:spacing w:after="0" w:line="204" w:lineRule="auto"/>
        <w:framePr w:w="560" w:h="176" w:wrap="auto" w:vAnchor="page" w:hAnchor="page" w:x="11100" w:y="3948"/>
        <w:rPr>
          <w:rFonts w:ascii="Arial" w:cs="Arial" w:eastAsia="Arial" w:hAnsi="Arial"/>
          <w:sz w:val="18"/>
          <w:szCs w:val="18"/>
          <w:color w:val="auto"/>
        </w:rPr>
      </w:pPr>
      <w:r>
        <w:rPr>
          <w:rFonts w:ascii="Arial" w:cs="Arial" w:eastAsia="Arial" w:hAnsi="Arial"/>
          <w:sz w:val="18"/>
          <w:szCs w:val="18"/>
          <w:color w:val="auto"/>
        </w:rPr>
        <w:t>(0.61)</w:t>
      </w:r>
    </w:p>
    <w:p>
      <w:pPr>
        <w:spacing w:after="0" w:line="204" w:lineRule="auto"/>
        <w:framePr w:w="560" w:h="176" w:wrap="auto" w:vAnchor="page" w:hAnchor="page" w:x="11100" w:y="4164"/>
        <w:rPr>
          <w:rFonts w:ascii="Arial" w:cs="Arial" w:eastAsia="Arial" w:hAnsi="Arial"/>
          <w:sz w:val="18"/>
          <w:szCs w:val="18"/>
          <w:color w:val="auto"/>
        </w:rPr>
      </w:pPr>
      <w:r>
        <w:rPr>
          <w:rFonts w:ascii="Arial" w:cs="Arial" w:eastAsia="Arial" w:hAnsi="Arial"/>
          <w:sz w:val="18"/>
          <w:szCs w:val="18"/>
          <w:color w:val="auto"/>
        </w:rPr>
        <w:t>(0.61)</w:t>
      </w:r>
    </w:p>
    <w:p>
      <w:pPr>
        <w:spacing w:after="0" w:line="188" w:lineRule="auto"/>
        <w:framePr w:w="440" w:h="163" w:wrap="auto" w:vAnchor="page" w:hAnchor="page" w:x="11160" w:y="4393"/>
        <w:rPr>
          <w:rFonts w:ascii="Arial" w:cs="Arial" w:eastAsia="Arial" w:hAnsi="Arial"/>
          <w:sz w:val="18"/>
          <w:szCs w:val="18"/>
          <w:color w:val="auto"/>
        </w:rPr>
      </w:pPr>
      <w:r>
        <w:rPr>
          <w:rFonts w:ascii="Arial" w:cs="Arial" w:eastAsia="Arial" w:hAnsi="Arial"/>
          <w:sz w:val="18"/>
          <w:szCs w:val="18"/>
          <w:color w:val="auto"/>
        </w:rPr>
        <w:t>0.05</w:t>
      </w:r>
    </w:p>
    <w:p>
      <w:pPr>
        <w:spacing w:after="0" w:line="188" w:lineRule="auto"/>
        <w:framePr w:w="440" w:h="163" w:wrap="auto" w:vAnchor="page" w:hAnchor="page" w:x="11160" w:y="4609"/>
        <w:rPr>
          <w:rFonts w:ascii="Arial" w:cs="Arial" w:eastAsia="Arial" w:hAnsi="Arial"/>
          <w:sz w:val="18"/>
          <w:szCs w:val="18"/>
          <w:color w:val="auto"/>
        </w:rPr>
      </w:pPr>
      <w:r>
        <w:rPr>
          <w:rFonts w:ascii="Arial" w:cs="Arial" w:eastAsia="Arial" w:hAnsi="Arial"/>
          <w:sz w:val="18"/>
          <w:szCs w:val="18"/>
          <w:color w:val="auto"/>
        </w:rPr>
        <w:t>0.05</w:t>
      </w:r>
    </w:p>
    <w:p>
      <w:pPr>
        <w:spacing w:after="0" w:line="204" w:lineRule="auto"/>
        <w:framePr w:w="560" w:h="176" w:wrap="auto" w:vAnchor="page" w:hAnchor="page" w:x="11100" w:y="4812"/>
        <w:rPr>
          <w:rFonts w:ascii="Arial" w:cs="Arial" w:eastAsia="Arial" w:hAnsi="Arial"/>
          <w:sz w:val="18"/>
          <w:szCs w:val="18"/>
          <w:b w:val="1"/>
          <w:bCs w:val="1"/>
          <w:color w:val="auto"/>
        </w:rPr>
      </w:pPr>
      <w:r>
        <w:rPr>
          <w:rFonts w:ascii="Arial" w:cs="Arial" w:eastAsia="Arial" w:hAnsi="Arial"/>
          <w:sz w:val="18"/>
          <w:szCs w:val="18"/>
          <w:b w:val="1"/>
          <w:bCs w:val="1"/>
          <w:color w:val="auto"/>
        </w:rPr>
        <w:t>(0.56)</w:t>
      </w:r>
    </w:p>
    <w:p>
      <w:pPr>
        <w:spacing w:after="0" w:line="204" w:lineRule="auto"/>
        <w:framePr w:w="560" w:h="176" w:wrap="auto" w:vAnchor="page" w:hAnchor="page" w:x="11100" w:y="5028"/>
        <w:rPr>
          <w:rFonts w:ascii="Arial" w:cs="Arial" w:eastAsia="Arial" w:hAnsi="Arial"/>
          <w:sz w:val="18"/>
          <w:szCs w:val="18"/>
          <w:b w:val="1"/>
          <w:bCs w:val="1"/>
          <w:color w:val="auto"/>
        </w:rPr>
      </w:pPr>
      <w:r>
        <w:rPr>
          <w:rFonts w:ascii="Arial" w:cs="Arial" w:eastAsia="Arial" w:hAnsi="Arial"/>
          <w:sz w:val="18"/>
          <w:szCs w:val="18"/>
          <w:b w:val="1"/>
          <w:bCs w:val="1"/>
          <w:color w:val="auto"/>
        </w:rPr>
        <w:t>(0.56)</w:t>
      </w:r>
    </w:p>
    <w:p>
      <w:pPr>
        <w:spacing w:after="0" w:line="188" w:lineRule="auto"/>
        <w:framePr w:w="260" w:h="163" w:wrap="auto" w:vAnchor="page" w:hAnchor="page" w:x="11340" w:y="3313"/>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188" w:lineRule="auto"/>
        <w:framePr w:w="540" w:h="163" w:wrap="auto" w:vAnchor="page" w:hAnchor="page" w:x="11060" w:y="2692"/>
        <w:rPr>
          <w:rFonts w:ascii="Arial" w:cs="Arial" w:eastAsia="Arial" w:hAnsi="Arial"/>
          <w:sz w:val="18"/>
          <w:szCs w:val="18"/>
          <w:b w:val="1"/>
          <w:bCs w:val="1"/>
          <w:color w:val="auto"/>
        </w:rPr>
      </w:pPr>
      <w:r>
        <w:rPr>
          <w:rFonts w:ascii="Arial" w:cs="Arial" w:eastAsia="Arial" w:hAnsi="Arial"/>
          <w:sz w:val="18"/>
          <w:szCs w:val="18"/>
          <w:b w:val="1"/>
          <w:bCs w:val="1"/>
          <w:color w:val="auto"/>
        </w:rPr>
        <w:t>1,897</w:t>
      </w:r>
    </w:p>
    <w:p>
      <w:pPr>
        <w:spacing w:after="0" w:line="188" w:lineRule="auto"/>
        <w:framePr w:w="540" w:h="163" w:wrap="auto" w:vAnchor="page" w:hAnchor="page" w:x="11060" w:y="2894"/>
        <w:rPr>
          <w:rFonts w:ascii="Arial" w:cs="Arial" w:eastAsia="Arial" w:hAnsi="Arial"/>
          <w:sz w:val="18"/>
          <w:szCs w:val="18"/>
          <w:b w:val="1"/>
          <w:bCs w:val="1"/>
          <w:color w:val="auto"/>
        </w:rPr>
      </w:pPr>
      <w:r>
        <w:rPr>
          <w:rFonts w:ascii="Arial" w:cs="Arial" w:eastAsia="Arial" w:hAnsi="Arial"/>
          <w:sz w:val="18"/>
          <w:szCs w:val="18"/>
          <w:b w:val="1"/>
          <w:bCs w:val="1"/>
          <w:color w:val="auto"/>
        </w:rPr>
        <w:t>1,101</w:t>
      </w:r>
    </w:p>
    <w:p>
      <w:pPr>
        <w:spacing w:after="0" w:line="188" w:lineRule="auto"/>
        <w:framePr w:w="260" w:h="163" w:wrap="auto" w:vAnchor="page" w:hAnchor="page" w:x="11340" w:y="3097"/>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jc w:val="center"/>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18"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17"/>
          <w:szCs w:val="17"/>
          <w:b w:val="1"/>
          <w:bCs w:val="1"/>
          <w:color w:val="auto"/>
        </w:rPr>
        <w:t>Earnings/(Loss) Per Share to Adjusted Earnings/(Loss) Per Share</w:t>
      </w:r>
    </w:p>
    <w:p>
      <w:pPr>
        <w:sectPr>
          <w:pgSz w:w="11900" w:h="16838" w:orient="portrait"/>
          <w:cols w:equalWidth="0" w:num="1">
            <w:col w:w="11420"/>
          </w:cols>
          <w:pgMar w:left="240" w:top="778" w:right="239" w:bottom="1440" w:gutter="0" w:footer="0" w:header="0"/>
        </w:sect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9"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b w:val="1"/>
          <w:bCs w:val="1"/>
          <w:color w:val="auto"/>
        </w:rPr>
        <w:t>Income/(Loss)</w:t>
      </w:r>
    </w:p>
    <w:p>
      <w:pPr>
        <w:spacing w:after="0" w:line="40"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Adjustments:</w:t>
      </w:r>
    </w:p>
    <w:p>
      <w:pPr>
        <w:spacing w:after="0" w:line="234" w:lineRule="auto"/>
        <w:rPr>
          <w:sz w:val="20"/>
          <w:szCs w:val="20"/>
          <w:color w:val="auto"/>
        </w:rPr>
      </w:pPr>
      <w:r>
        <w:rPr>
          <w:rFonts w:ascii="Arial" w:cs="Arial" w:eastAsia="Arial" w:hAnsi="Arial"/>
          <w:sz w:val="18"/>
          <w:szCs w:val="18"/>
          <w:color w:val="auto"/>
        </w:rPr>
        <w:t>Non-cash share-based payments (a)</w:t>
      </w:r>
    </w:p>
    <w:p>
      <w:pPr>
        <w:spacing w:after="0" w:line="235" w:lineRule="auto"/>
        <w:rPr>
          <w:sz w:val="20"/>
          <w:szCs w:val="20"/>
          <w:color w:val="auto"/>
        </w:rPr>
      </w:pPr>
      <w:r>
        <w:rPr>
          <w:rFonts w:ascii="Arial" w:cs="Arial" w:eastAsia="Arial" w:hAnsi="Arial"/>
          <w:sz w:val="18"/>
          <w:szCs w:val="18"/>
          <w:color w:val="auto"/>
        </w:rPr>
        <w:t>Foreign currency (gains)/losses (b)</w:t>
      </w:r>
    </w:p>
    <w:p>
      <w:pPr>
        <w:spacing w:after="0" w:line="235" w:lineRule="auto"/>
        <w:rPr>
          <w:sz w:val="20"/>
          <w:szCs w:val="20"/>
          <w:color w:val="auto"/>
        </w:rPr>
      </w:pPr>
      <w:r>
        <w:rPr>
          <w:rFonts w:ascii="Arial" w:cs="Arial" w:eastAsia="Arial" w:hAnsi="Arial"/>
          <w:sz w:val="18"/>
          <w:szCs w:val="18"/>
          <w:color w:val="auto"/>
        </w:rPr>
        <w:t>Effective interest expense (c)</w:t>
      </w:r>
    </w:p>
    <w:p>
      <w:pPr>
        <w:spacing w:after="0" w:line="1"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Change in fair value of conversion feature (d)</w:t>
      </w:r>
    </w:p>
    <w:p>
      <w:pPr>
        <w:spacing w:after="0" w:line="9"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25"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Earnings/(Loss) per share – basic</w:t>
      </w:r>
    </w:p>
    <w:p>
      <w:pPr>
        <w:spacing w:after="0" w:line="9"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Earnings/(Loss) per share – diluted</w:t>
      </w:r>
    </w:p>
    <w:p>
      <w:pPr>
        <w:spacing w:after="0" w:line="9"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Adjustment to earnings/(loss) per share – basic</w:t>
      </w:r>
    </w:p>
    <w:p>
      <w:pPr>
        <w:spacing w:after="0" w:line="9"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Adjustment to earnings/(loss) per share – diluted</w:t>
      </w:r>
    </w:p>
    <w:p>
      <w:pPr>
        <w:spacing w:after="0" w:line="9" w:lineRule="exact"/>
        <w:rPr>
          <w:rFonts w:ascii="Arial" w:cs="Arial" w:eastAsia="Arial" w:hAnsi="Arial"/>
          <w:sz w:val="18"/>
          <w:szCs w:val="18"/>
          <w:b w:val="1"/>
          <w:bCs w:val="1"/>
          <w:color w:val="auto"/>
        </w:rPr>
      </w:pPr>
    </w:p>
    <w:p>
      <w:pPr>
        <w:ind w:right="1300"/>
        <w:spacing w:after="0" w:line="250" w:lineRule="auto"/>
        <w:rPr>
          <w:sz w:val="20"/>
          <w:szCs w:val="20"/>
          <w:color w:val="auto"/>
        </w:rPr>
      </w:pPr>
      <w:r>
        <w:rPr>
          <w:rFonts w:ascii="Arial" w:cs="Arial" w:eastAsia="Arial" w:hAnsi="Arial"/>
          <w:sz w:val="18"/>
          <w:szCs w:val="18"/>
          <w:b w:val="1"/>
          <w:bCs w:val="1"/>
          <w:color w:val="auto"/>
        </w:rPr>
        <w:t>Adjusted earnings/(loss) per share – basic Adjusted earnings/(loss) per share – diluted</w:t>
      </w:r>
    </w:p>
    <w:p>
      <w:pPr>
        <w:spacing w:after="0" w:line="1" w:lineRule="exact"/>
        <w:rPr>
          <w:rFonts w:ascii="Arial" w:cs="Arial" w:eastAsia="Arial" w:hAnsi="Arial"/>
          <w:sz w:val="18"/>
          <w:szCs w:val="18"/>
          <w:b w:val="1"/>
          <w:bCs w:val="1"/>
          <w:color w:val="auto"/>
        </w:rPr>
      </w:pPr>
    </w:p>
    <w:p>
      <w:pPr>
        <w:ind w:left="180" w:hanging="161"/>
        <w:spacing w:after="0" w:line="234" w:lineRule="auto"/>
        <w:rPr>
          <w:sz w:val="20"/>
          <w:szCs w:val="20"/>
          <w:color w:val="auto"/>
        </w:rPr>
      </w:pPr>
      <w:r>
        <w:rPr>
          <w:rFonts w:ascii="Arial" w:cs="Arial" w:eastAsia="Arial" w:hAnsi="Arial"/>
          <w:sz w:val="18"/>
          <w:szCs w:val="18"/>
          <w:color w:val="auto"/>
        </w:rPr>
        <w:t>Weighted-average number of shares used to compute Adjusted earnings/(loss) per share – basic</w:t>
      </w:r>
    </w:p>
    <w:p>
      <w:pPr>
        <w:spacing w:after="0" w:line="2" w:lineRule="exact"/>
        <w:rPr>
          <w:rFonts w:ascii="Arial" w:cs="Arial" w:eastAsia="Arial" w:hAnsi="Arial"/>
          <w:sz w:val="18"/>
          <w:szCs w:val="18"/>
          <w:b w:val="1"/>
          <w:bCs w:val="1"/>
          <w:color w:val="auto"/>
        </w:rPr>
      </w:pPr>
    </w:p>
    <w:p>
      <w:pPr>
        <w:ind w:left="180" w:hanging="161"/>
        <w:spacing w:after="0" w:line="234" w:lineRule="auto"/>
        <w:rPr>
          <w:sz w:val="20"/>
          <w:szCs w:val="20"/>
          <w:color w:val="auto"/>
        </w:rPr>
      </w:pPr>
      <w:r>
        <w:rPr>
          <w:rFonts w:ascii="Arial" w:cs="Arial" w:eastAsia="Arial" w:hAnsi="Arial"/>
          <w:sz w:val="18"/>
          <w:szCs w:val="18"/>
          <w:color w:val="auto"/>
        </w:rPr>
        <w:t>Weighted-average number of shares used to compute Adjusted earnings/(loss) per share – diluted</w:t>
      </w:r>
    </w:p>
    <w:p>
      <w:pPr>
        <w:spacing w:after="0" w:line="2"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br w:type="column"/>
      </w:r>
    </w:p>
    <w:p>
      <w:pPr>
        <w:spacing w:after="0" w:line="163" w:lineRule="exact"/>
        <w:rPr>
          <w:rFonts w:ascii="Arial" w:cs="Arial" w:eastAsia="Arial" w:hAnsi="Arial"/>
          <w:sz w:val="18"/>
          <w:szCs w:val="18"/>
          <w:b w:val="1"/>
          <w:bCs w:val="1"/>
          <w:color w:val="auto"/>
        </w:rPr>
      </w:pPr>
    </w:p>
    <w:p>
      <w:pPr>
        <w:spacing w:after="0" w:line="1" w:lineRule="exact"/>
        <w:rPr>
          <w:rFonts w:ascii="Arial" w:cs="Arial" w:eastAsia="Arial" w:hAnsi="Arial"/>
          <w:sz w:val="1"/>
          <w:szCs w:val="1"/>
          <w:b w:val="1"/>
          <w:bCs w:val="1"/>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3"/>
          </w:tcPr>
          <w:p>
            <w:pPr>
              <w:ind w:left="520"/>
              <w:spacing w:after="0"/>
              <w:rPr>
                <w:sz w:val="20"/>
                <w:szCs w:val="20"/>
                <w:color w:val="auto"/>
              </w:rPr>
            </w:pPr>
            <w:r>
              <w:rPr>
                <w:rFonts w:ascii="Arial" w:cs="Arial" w:eastAsia="Arial" w:hAnsi="Arial"/>
                <w:sz w:val="18"/>
                <w:szCs w:val="18"/>
                <w:b w:val="1"/>
                <w:bCs w:val="1"/>
                <w:color w:val="auto"/>
              </w:rPr>
              <w:t>For the Three Months</w:t>
            </w:r>
          </w:p>
        </w:tc>
        <w:tc>
          <w:tcPr>
            <w:tcW w:w="2800" w:type="dxa"/>
            <w:vAlign w:val="bottom"/>
            <w:gridSpan w:val="2"/>
          </w:tcPr>
          <w:p>
            <w:pPr>
              <w:ind w:left="520"/>
              <w:spacing w:after="0"/>
              <w:rPr>
                <w:sz w:val="20"/>
                <w:szCs w:val="20"/>
                <w:color w:val="auto"/>
              </w:rPr>
            </w:pPr>
            <w:r>
              <w:rPr>
                <w:rFonts w:ascii="Arial" w:cs="Arial" w:eastAsia="Arial" w:hAnsi="Arial"/>
                <w:sz w:val="18"/>
                <w:szCs w:val="18"/>
                <w:b w:val="1"/>
                <w:bCs w:val="1"/>
                <w:color w:val="auto"/>
              </w:rPr>
              <w:t>For the Nine Months</w:t>
            </w:r>
          </w:p>
        </w:tc>
      </w:tr>
      <w:tr>
        <w:trPr>
          <w:trHeight w:val="225"/>
        </w:trPr>
        <w:tc>
          <w:tcPr>
            <w:tcW w:w="3000" w:type="dxa"/>
            <w:vAlign w:val="bottom"/>
            <w:gridSpan w:val="3"/>
          </w:tcPr>
          <w:p>
            <w:pPr>
              <w:ind w:left="520"/>
              <w:spacing w:after="0"/>
              <w:rPr>
                <w:sz w:val="20"/>
                <w:szCs w:val="20"/>
                <w:color w:val="auto"/>
              </w:rPr>
            </w:pPr>
            <w:r>
              <w:rPr>
                <w:rFonts w:ascii="Arial" w:cs="Arial" w:eastAsia="Arial" w:hAnsi="Arial"/>
                <w:sz w:val="18"/>
                <w:szCs w:val="18"/>
                <w:b w:val="1"/>
                <w:bCs w:val="1"/>
                <w:color w:val="auto"/>
              </w:rPr>
              <w:t>Ended September 30,</w:t>
            </w:r>
          </w:p>
        </w:tc>
        <w:tc>
          <w:tcPr>
            <w:tcW w:w="2800" w:type="dxa"/>
            <w:vAlign w:val="bottom"/>
            <w:gridSpan w:val="2"/>
          </w:tcPr>
          <w:p>
            <w:pPr>
              <w:ind w:left="480"/>
              <w:spacing w:after="0"/>
              <w:rPr>
                <w:sz w:val="20"/>
                <w:szCs w:val="20"/>
                <w:color w:val="auto"/>
              </w:rPr>
            </w:pPr>
            <w:r>
              <w:rPr>
                <w:rFonts w:ascii="Arial" w:cs="Arial" w:eastAsia="Arial" w:hAnsi="Arial"/>
                <w:sz w:val="18"/>
                <w:szCs w:val="18"/>
                <w:b w:val="1"/>
                <w:bCs w:val="1"/>
                <w:color w:val="auto"/>
              </w:rPr>
              <w:t>Ended September 30,</w:t>
            </w:r>
          </w:p>
        </w:tc>
      </w:tr>
      <w:tr>
        <w:trPr>
          <w:trHeight w:val="222"/>
        </w:trPr>
        <w:tc>
          <w:tcPr>
            <w:tcW w:w="14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40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2019</w:t>
            </w:r>
          </w:p>
        </w:tc>
        <w:tc>
          <w:tcPr>
            <w:tcW w:w="14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bl>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6874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20"/>
        <w:spacing w:after="0" w:line="234" w:lineRule="auto"/>
        <w:rPr>
          <w:sz w:val="20"/>
          <w:szCs w:val="20"/>
          <w:color w:val="auto"/>
        </w:rPr>
      </w:pPr>
      <w:r>
        <w:rPr>
          <w:rFonts w:ascii="Arial" w:cs="Arial" w:eastAsia="Arial" w:hAnsi="Arial"/>
          <w:sz w:val="18"/>
          <w:szCs w:val="18"/>
          <w:b w:val="1"/>
          <w:bCs w:val="1"/>
          <w:color w:val="auto"/>
        </w:rPr>
        <w:t>(in CHF thousands except for share and per share data)</w:t>
      </w:r>
    </w:p>
    <w:p>
      <w:pPr>
        <w:spacing w:after="0" w:line="1" w:lineRule="exact"/>
        <w:rPr>
          <w:rFonts w:ascii="Arial" w:cs="Arial" w:eastAsia="Arial" w:hAnsi="Arial"/>
          <w:sz w:val="18"/>
          <w:szCs w:val="18"/>
          <w:b w:val="1"/>
          <w:bCs w:val="1"/>
          <w:color w:val="auto"/>
        </w:rPr>
      </w:pPr>
    </w:p>
    <w:tbl>
      <w:tblPr>
        <w:tblLayout w:type="fixed"/>
        <w:tblInd w:w="0" w:type="dxa"/>
        <w:tblCellMar>
          <w:top w:w="0" w:type="dxa"/>
          <w:left w:w="0" w:type="dxa"/>
          <w:bottom w:w="0" w:type="dxa"/>
          <w:right w:w="0" w:type="dxa"/>
        </w:tblCellMar>
      </w:tblPr>
      <w:tr>
        <w:trPr>
          <w:trHeight w:val="217"/>
        </w:trPr>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18,213</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(13,516)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64,888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(36,274)</w:t>
            </w:r>
          </w:p>
        </w:tc>
        <w:tc>
          <w:tcPr>
            <w:tcW w:w="0" w:type="dxa"/>
            <w:vAlign w:val="bottom"/>
          </w:tcPr>
          <w:p>
            <w:pPr>
              <w:spacing w:after="0"/>
              <w:rPr>
                <w:sz w:val="1"/>
                <w:szCs w:val="1"/>
                <w:color w:val="auto"/>
              </w:rPr>
            </w:pPr>
          </w:p>
        </w:tc>
      </w:tr>
      <w:tr>
        <w:trPr>
          <w:trHeight w:val="398"/>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24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(272)</w:t>
            </w:r>
          </w:p>
        </w:tc>
        <w:tc>
          <w:tcPr>
            <w:tcW w:w="1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1,296</w:t>
            </w: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286</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1,355</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0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(4,542)</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18,823</w:t>
            </w:r>
          </w:p>
        </w:tc>
        <w:tc>
          <w:tcPr>
            <w:tcW w:w="240" w:type="dxa"/>
            <w:vAlign w:val="bottom"/>
            <w:vMerge w:val="continue"/>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(11,637</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64,014</w:t>
            </w: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(33,276</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26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24"/>
                <w:szCs w:val="2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0.92</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26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0.25</w:t>
            </w:r>
          </w:p>
        </w:tc>
        <w:tc>
          <w:tcPr>
            <w:tcW w:w="24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(0.21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0.92</w:t>
            </w: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0.01</w:t>
            </w:r>
          </w:p>
        </w:tc>
        <w:tc>
          <w:tcPr>
            <w:tcW w:w="240" w:type="dxa"/>
            <w:vAlign w:val="bottom"/>
          </w:tcPr>
          <w:p>
            <w:pPr>
              <w:spacing w:after="0"/>
              <w:rPr>
                <w:sz w:val="16"/>
                <w:szCs w:val="16"/>
                <w:color w:val="auto"/>
              </w:rPr>
            </w:pPr>
          </w:p>
        </w:tc>
        <w:tc>
          <w:tcPr>
            <w:tcW w:w="1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0.03</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(0.02</w:t>
            </w:r>
          </w:p>
        </w:tc>
        <w:tc>
          <w:tcPr>
            <w:tcW w:w="200" w:type="dxa"/>
            <w:vAlign w:val="bottom"/>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2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0.01</w:t>
            </w:r>
          </w:p>
        </w:tc>
        <w:tc>
          <w:tcPr>
            <w:tcW w:w="24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0.03</w:t>
            </w: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2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0.26</w:t>
            </w:r>
          </w:p>
        </w:tc>
        <w:tc>
          <w:tcPr>
            <w:tcW w:w="24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(0.18</w:t>
            </w:r>
          </w:p>
        </w:tc>
        <w:tc>
          <w:tcPr>
            <w:tcW w:w="220" w:type="dxa"/>
            <w:vAlign w:val="bottom"/>
            <w:vMerge w:val="continue"/>
          </w:tcPr>
          <w:p>
            <w:pPr>
              <w:spacing w:after="0"/>
              <w:rPr>
                <w:sz w:val="15"/>
                <w:szCs w:val="15"/>
                <w:color w:val="auto"/>
              </w:rPr>
            </w:pPr>
          </w:p>
        </w:tc>
        <w:tc>
          <w:tcPr>
            <w:tcW w:w="12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0.91</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0.26</w:t>
            </w:r>
          </w:p>
        </w:tc>
        <w:tc>
          <w:tcPr>
            <w:tcW w:w="24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(0.18</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0.91</w:t>
            </w: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260" w:type="dxa"/>
            <w:vAlign w:val="bottom"/>
          </w:tcPr>
          <w:p>
            <w:pPr>
              <w:jc w:val="right"/>
              <w:spacing w:after="0"/>
              <w:rPr>
                <w:sz w:val="20"/>
                <w:szCs w:val="20"/>
                <w:color w:val="auto"/>
              </w:rPr>
            </w:pPr>
            <w:r>
              <w:rPr>
                <w:rFonts w:ascii="Arial" w:cs="Arial" w:eastAsia="Arial" w:hAnsi="Arial"/>
                <w:sz w:val="18"/>
                <w:szCs w:val="18"/>
                <w:color w:val="auto"/>
              </w:rPr>
              <w:t>71,822,884</w:t>
            </w:r>
          </w:p>
        </w:tc>
        <w:tc>
          <w:tcPr>
            <w:tcW w:w="24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64,862,822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70,184,257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59,912,283</w:t>
            </w:r>
          </w:p>
        </w:tc>
        <w:tc>
          <w:tcPr>
            <w:tcW w:w="0" w:type="dxa"/>
            <w:vAlign w:val="bottom"/>
          </w:tcPr>
          <w:p>
            <w:pPr>
              <w:spacing w:after="0"/>
              <w:rPr>
                <w:sz w:val="1"/>
                <w:szCs w:val="1"/>
                <w:color w:val="auto"/>
              </w:rPr>
            </w:pPr>
          </w:p>
        </w:tc>
      </w:tr>
      <w:tr>
        <w:trPr>
          <w:trHeight w:val="405"/>
        </w:trPr>
        <w:tc>
          <w:tcPr>
            <w:tcW w:w="1260" w:type="dxa"/>
            <w:vAlign w:val="bottom"/>
          </w:tcPr>
          <w:p>
            <w:pPr>
              <w:jc w:val="right"/>
              <w:spacing w:after="0"/>
              <w:rPr>
                <w:sz w:val="20"/>
                <w:szCs w:val="20"/>
                <w:color w:val="auto"/>
              </w:rPr>
            </w:pPr>
            <w:r>
              <w:rPr>
                <w:rFonts w:ascii="Arial" w:cs="Arial" w:eastAsia="Arial" w:hAnsi="Arial"/>
                <w:sz w:val="18"/>
                <w:szCs w:val="18"/>
                <w:color w:val="auto"/>
              </w:rPr>
              <w:t>72,281,264</w:t>
            </w:r>
          </w:p>
        </w:tc>
        <w:tc>
          <w:tcPr>
            <w:tcW w:w="24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64,862,822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70,700,690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59,912,283</w:t>
            </w: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-3562985</wp:posOffset>
            </wp:positionH>
            <wp:positionV relativeFrom="paragraph">
              <wp:posOffset>-2417445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-2143125</wp:posOffset>
            </wp:positionV>
            <wp:extent cx="72466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-1885950</wp:posOffset>
            </wp:positionV>
            <wp:extent cx="724662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-1619885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-1345565</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-1071245</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-796925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-522605</wp:posOffset>
            </wp:positionV>
            <wp:extent cx="724662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390" w:lineRule="exact"/>
        <w:rPr>
          <w:rFonts w:ascii="Arial" w:cs="Arial" w:eastAsia="Arial" w:hAnsi="Arial"/>
          <w:sz w:val="18"/>
          <w:szCs w:val="18"/>
          <w:b w:val="1"/>
          <w:bCs w:val="1"/>
          <w:color w:val="auto"/>
        </w:rPr>
      </w:pPr>
    </w:p>
    <w:p>
      <w:pPr>
        <w:sectPr>
          <w:pgSz w:w="11900" w:h="16838" w:orient="portrait"/>
          <w:cols w:equalWidth="0" w:num="2">
            <w:col w:w="5060" w:space="560"/>
            <w:col w:w="5800"/>
          </w:cols>
          <w:pgMar w:left="240" w:top="778" w:right="239" w:bottom="1440" w:gutter="0" w:footer="0" w:header="0"/>
          <w:type w:val="continuous"/>
        </w:sectPr>
      </w:pPr>
    </w:p>
    <w:p>
      <w:pPr>
        <w:ind w:left="340" w:right="38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89" w:lineRule="exact"/>
        <w:rPr>
          <w:rFonts w:ascii="Arial" w:cs="Arial" w:eastAsia="Arial" w:hAnsi="Arial"/>
          <w:sz w:val="18"/>
          <w:szCs w:val="18"/>
          <w:color w:val="auto"/>
        </w:rPr>
      </w:pPr>
    </w:p>
    <w:p>
      <w:pPr>
        <w:ind w:left="340" w:right="420" w:hanging="332"/>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83" w:lineRule="exact"/>
        <w:rPr>
          <w:rFonts w:ascii="Arial" w:cs="Arial" w:eastAsia="Arial" w:hAnsi="Arial"/>
          <w:sz w:val="18"/>
          <w:szCs w:val="18"/>
          <w:color w:val="auto"/>
        </w:rPr>
      </w:pPr>
    </w:p>
    <w:p>
      <w:pPr>
        <w:ind w:left="340" w:right="100" w:hanging="332"/>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198" w:lineRule="exact"/>
        <w:rPr>
          <w:rFonts w:ascii="Arial" w:cs="Arial" w:eastAsia="Arial" w:hAnsi="Arial"/>
          <w:sz w:val="18"/>
          <w:szCs w:val="18"/>
          <w:b w:val="1"/>
          <w:bCs w:val="1"/>
          <w:color w:val="auto"/>
        </w:rPr>
      </w:pPr>
    </w:p>
    <w:p>
      <w:pPr>
        <w:ind w:right="40" w:firstLine="324"/>
        <w:spacing w:after="0" w:line="237" w:lineRule="auto"/>
        <w:rPr>
          <w:sz w:val="20"/>
          <w:szCs w:val="20"/>
          <w:color w:val="auto"/>
        </w:rPr>
      </w:pPr>
      <w:r>
        <w:rPr>
          <w:rFonts w:ascii="Arial" w:cs="Arial" w:eastAsia="Arial" w:hAnsi="Arial"/>
          <w:sz w:val="18"/>
          <w:szCs w:val="18"/>
          <w:color w:val="auto"/>
        </w:rPr>
        <w:t>For the three and nine months ended September 30, 2019, adjustments increased net income and decreased net income by CHF 0.6 million and CHF 0.9 million compared with decreases to the net losses by CHF 1.9 million and CHF 3.0 million for the comparable periods in 2018, respectively. The Company recorded CHF 0.9 million and CHF 2.0 million for the three and nine months, respectively, for share-based compensation expenses. There were foreign currency remeasurement gains of CHF 0.3 million and remeasurement losses of CHF 0.3 million, respectively, related to foreign currency fluctuations. The Company recorded nil and CHF 1.4 million for amortization of effective interest for the three and nine months ended September 30, 2019, respectively. Finally, the Company recognized nil and a CHF 4.5 million gain for the change in fair value of the liability related to the conversion feature.</w:t>
      </w:r>
    </w:p>
    <w:p>
      <w:pPr>
        <w:spacing w:after="0" w:line="200" w:lineRule="exact"/>
        <w:rPr>
          <w:rFonts w:ascii="Arial" w:cs="Arial" w:eastAsia="Arial" w:hAnsi="Arial"/>
          <w:sz w:val="18"/>
          <w:szCs w:val="18"/>
          <w:b w:val="1"/>
          <w:bCs w:val="1"/>
          <w:color w:val="auto"/>
        </w:rPr>
      </w:pPr>
    </w:p>
    <w:p>
      <w:pPr>
        <w:spacing w:after="0" w:line="300" w:lineRule="exact"/>
        <w:rPr>
          <w:rFonts w:ascii="Arial" w:cs="Arial" w:eastAsia="Arial" w:hAnsi="Arial"/>
          <w:sz w:val="18"/>
          <w:szCs w:val="18"/>
          <w:b w:val="1"/>
          <w:bCs w:val="1"/>
          <w:color w:val="auto"/>
        </w:rPr>
      </w:pPr>
    </w:p>
    <w:p>
      <w:pPr>
        <w:ind w:left="11280"/>
        <w:spacing w:after="0"/>
        <w:rPr>
          <w:sz w:val="20"/>
          <w:szCs w:val="20"/>
          <w:color w:val="auto"/>
        </w:rPr>
      </w:pPr>
      <w:r>
        <w:rPr>
          <w:rFonts w:ascii="Arial" w:cs="Arial" w:eastAsia="Arial" w:hAnsi="Arial"/>
          <w:sz w:val="17"/>
          <w:szCs w:val="17"/>
          <w:color w:val="auto"/>
        </w:rPr>
        <w:t>7</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7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lvl w:ilvl="3">
      <w:lvlJc w:val="left"/>
      <w:lvlText w:val="%4"/>
      <w:numFmt w:val="decimal"/>
      <w:start w:val="1"/>
    </w:lvl>
  </w:abstractNum>
  <w:abstractNum w:abstractNumId="1">
    <w:nsid w:val="DED7263"/>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4"/>
    </w:lvl>
    <w:lvl w:ilvl="3">
      <w:lvlJc w:val="left"/>
      <w:lvlText w:val="(%4)"/>
      <w:numFmt w:val="decimal"/>
      <w:start w:val="1"/>
    </w:lvl>
  </w:abstractNum>
  <w:abstractNum w:abstractNumId="2">
    <w:nsid w:val="7FDCC23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lvl w:ilvl="3">
      <w:lvlJc w:val="left"/>
      <w:lvlText w:val="%4"/>
      <w:numFmt w:val="decimal"/>
      <w:start w:val="1"/>
    </w:lvl>
  </w:abstractNum>
  <w:abstractNum w:abstractNumId="3">
    <w:nsid w:val="1BEFD79F"/>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4">
    <w:nsid w:val="41A7C4C9"/>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5">
    <w:nsid w:val="6B68079A"/>
    <w:multiLevelType w:val="hybridMultilevel"/>
    <w:lvl w:ilvl="0">
      <w:lvlJc w:val="left"/>
      <w:lvlText w:val="(%1)"/>
      <w:numFmt w:val="lowerRoman"/>
      <w:start w:val="2"/>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2"/>
    </w:lvl>
  </w:abstractNum>
  <w:abstractNum w:abstractNumId="8">
    <w:nsid w:val="519B500D"/>
    <w:multiLevelType w:val="hybridMultilevel"/>
    <w:lvl w:ilvl="0">
      <w:lvlJc w:val="left"/>
      <w:lvlText w:val="%1."/>
      <w:numFmt w:val="decimal"/>
      <w:start w:val="3"/>
    </w:lvl>
  </w:abstractNum>
  <w:abstractNum w:abstractNumId="9">
    <w:nsid w:val="431BD7B7"/>
    <w:multiLevelType w:val="hybridMultilevel"/>
    <w:lvl w:ilvl="0">
      <w:lvlJc w:val="left"/>
      <w:lvlText w:val="%1"/>
      <w:numFmt w:val="decimal"/>
      <w:start w:val="385"/>
    </w:lvl>
  </w:abstractNum>
  <w:abstractNum w:abstractNumId="10">
    <w:nsid w:val="3F2DBA31"/>
    <w:multiLevelType w:val="hybridMultilevel"/>
    <w:lvl w:ilvl="0">
      <w:lvlJc w:val="left"/>
      <w:lvlText w:val="%1"/>
      <w:numFmt w:val="decimal"/>
      <w:start w:val="356"/>
    </w:lvl>
  </w:abstractNum>
  <w:abstractNum w:abstractNumId="11">
    <w:nsid w:val="7C83E458"/>
    <w:multiLevelType w:val="hybridMultilevel"/>
    <w:lvl w:ilvl="0">
      <w:lvlJc w:val="left"/>
      <w:lvlText w:val="%1."/>
      <w:numFmt w:val="decimal"/>
      <w:start w:val="4"/>
    </w:lvl>
  </w:abstractNum>
  <w:abstractNum w:abstractNumId="12">
    <w:nsid w:val="257130A3"/>
    <w:multiLevelType w:val="hybridMultilevel"/>
    <w:lvl w:ilvl="0">
      <w:lvlJc w:val="left"/>
      <w:lvlText w:val="%1."/>
      <w:numFmt w:val="decimal"/>
      <w:start w:val="5"/>
    </w:lvl>
  </w:abstractNum>
  <w:abstractNum w:abstractNumId="13">
    <w:nsid w:val="62BBD95A"/>
    <w:multiLevelType w:val="hybridMultilevel"/>
    <w:lvl w:ilvl="0">
      <w:lvlJc w:val="left"/>
      <w:lvlText w:val="%1."/>
      <w:numFmt w:val="decimal"/>
      <w:start w:val="7"/>
    </w:lvl>
  </w:abstractNum>
  <w:abstractNum w:abstractNumId="14">
    <w:nsid w:val="436C6125"/>
    <w:multiLevelType w:val="hybridMultilevel"/>
    <w:lvl w:ilvl="0">
      <w:lvlJc w:val="left"/>
      <w:lvlText w:val="%1."/>
      <w:numFmt w:val="decimal"/>
      <w:start w:val="8"/>
    </w:lvl>
  </w:abstractNum>
  <w:abstractNum w:abstractNumId="15">
    <w:nsid w:val="628C895D"/>
    <w:multiLevelType w:val="hybridMultilevel"/>
    <w:lvl w:ilvl="0">
      <w:lvlJc w:val="left"/>
      <w:lvlText w:val="%1."/>
      <w:numFmt w:val="decimal"/>
      <w:start w:val="9"/>
    </w:lvl>
  </w:abstractNum>
  <w:abstractNum w:abstractNumId="16">
    <w:nsid w:val="333AB105"/>
    <w:multiLevelType w:val="hybridMultilevel"/>
    <w:lvl w:ilvl="0">
      <w:lvlJc w:val="left"/>
      <w:lvlText w:val="%1)"/>
      <w:numFmt w:val="decimal"/>
      <w:start w:val="200"/>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2019-11-28T07:44:21Z</dcterms:created>
  <dcterms:modified xsi:type="dcterms:W3CDTF">2019-11-28T07:44:21Z</dcterms:modified>
</cp:coreProperties>
</file>