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424(b)(4)</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333-211714</w:t>
      </w:r>
    </w:p>
    <w:p>
      <w:pPr>
        <w:spacing w:after="0" w:line="3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6,000,000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218440</wp:posOffset>
            </wp:positionV>
            <wp:extent cx="253873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3873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291465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right="180" w:firstLine="456"/>
        <w:spacing w:after="0"/>
        <w:rPr>
          <w:sz w:val="20"/>
          <w:szCs w:val="20"/>
          <w:color w:val="auto"/>
        </w:rPr>
      </w:pPr>
      <w:r>
        <w:rPr>
          <w:rFonts w:ascii="Arial" w:cs="Arial" w:eastAsia="Arial" w:hAnsi="Arial"/>
          <w:sz w:val="18"/>
          <w:szCs w:val="18"/>
          <w:color w:val="auto"/>
        </w:rPr>
        <w:t>This is the initial public offering of AC Immune SA. No public market has previously existed for our common shares. We are offering 6,000,000 of our common shares in this offering. The initial public offering price is $11.00 per common share. Our common shares have been approved for listing on the NASDAQ Global Market under the symbol “ACIU.”</w:t>
      </w:r>
    </w:p>
    <w:p>
      <w:pPr>
        <w:spacing w:after="0" w:line="243" w:lineRule="exact"/>
        <w:rPr>
          <w:sz w:val="24"/>
          <w:szCs w:val="24"/>
          <w:color w:val="auto"/>
        </w:rPr>
      </w:pPr>
    </w:p>
    <w:p>
      <w:pPr>
        <w:ind w:right="360" w:firstLine="456"/>
        <w:spacing w:after="0"/>
        <w:rPr>
          <w:sz w:val="20"/>
          <w:szCs w:val="20"/>
          <w:color w:val="auto"/>
        </w:rPr>
      </w:pPr>
      <w:r>
        <w:rPr>
          <w:rFonts w:ascii="Arial" w:cs="Arial" w:eastAsia="Arial" w:hAnsi="Arial"/>
          <w:sz w:val="18"/>
          <w:szCs w:val="18"/>
          <w:color w:val="auto"/>
        </w:rPr>
        <w:t>We are an “emerging growth company” as defined under the federal securities laws and, as such, will be subject to reduced public company reporting requirements. See “Prospectus Summary—Implications of Being an Emerging Growth Company” and “—Implications of Being a Foreign Private Issuer.”</w:t>
      </w:r>
    </w:p>
    <w:p>
      <w:pPr>
        <w:spacing w:after="0" w:line="198" w:lineRule="exact"/>
        <w:rPr>
          <w:sz w:val="24"/>
          <w:szCs w:val="24"/>
          <w:color w:val="auto"/>
        </w:rPr>
      </w:pPr>
    </w:p>
    <w:p>
      <w:pPr>
        <w:ind w:left="46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shares involves a high degree of risk. See “</w:t>
      </w:r>
      <w:hyperlink w:anchor="page15">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12.</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Underwriting Discounts</w:t>
            </w:r>
          </w:p>
        </w:tc>
        <w:tc>
          <w:tcPr>
            <w:tcW w:w="7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Proceeds, Before</w:t>
            </w:r>
          </w:p>
        </w:tc>
        <w:tc>
          <w:tcPr>
            <w:tcW w:w="0" w:type="dxa"/>
            <w:vAlign w:val="bottom"/>
          </w:tcPr>
          <w:p>
            <w:pPr>
              <w:spacing w:after="0"/>
              <w:rPr>
                <w:sz w:val="1"/>
                <w:szCs w:val="1"/>
                <w:color w:val="auto"/>
              </w:rPr>
            </w:pPr>
          </w:p>
        </w:tc>
      </w:tr>
      <w:tr>
        <w:trPr>
          <w:trHeight w:val="189"/>
        </w:trPr>
        <w:tc>
          <w:tcPr>
            <w:tcW w:w="5720" w:type="dxa"/>
            <w:vAlign w:val="bottom"/>
          </w:tcPr>
          <w:p>
            <w:pPr>
              <w:spacing w:after="0"/>
              <w:rPr>
                <w:sz w:val="16"/>
                <w:szCs w:val="16"/>
                <w:color w:val="auto"/>
              </w:rPr>
            </w:pPr>
          </w:p>
        </w:tc>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Price to Public</w:t>
            </w:r>
          </w:p>
        </w:tc>
        <w:tc>
          <w:tcPr>
            <w:tcW w:w="82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Commissions(1)</w:t>
            </w:r>
          </w:p>
        </w:tc>
        <w:tc>
          <w:tcPr>
            <w:tcW w:w="7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Expenses to Us</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Per Common Share</w:t>
            </w:r>
          </w:p>
        </w:tc>
        <w:tc>
          <w:tcPr>
            <w:tcW w:w="1040" w:type="dxa"/>
            <w:vAlign w:val="bottom"/>
            <w:tcBorders>
              <w:bottom w:val="single" w:sz="8" w:color="auto"/>
            </w:tcBorders>
          </w:tcPr>
          <w:p>
            <w:pPr>
              <w:spacing w:after="0" w:line="20" w:lineRule="exact"/>
              <w:rPr>
                <w:sz w:val="1"/>
                <w:szCs w:val="1"/>
                <w:color w:val="auto"/>
              </w:rPr>
            </w:pPr>
          </w:p>
        </w:tc>
        <w:tc>
          <w:tcPr>
            <w:tcW w:w="2480" w:type="dxa"/>
            <w:vAlign w:val="bottom"/>
            <w:gridSpan w:val="2"/>
            <w:vMerge w:val="restart"/>
          </w:tcPr>
          <w:p>
            <w:pPr>
              <w:jc w:val="right"/>
              <w:ind w:right="528"/>
              <w:spacing w:after="0"/>
              <w:rPr>
                <w:sz w:val="20"/>
                <w:szCs w:val="20"/>
                <w:color w:val="auto"/>
              </w:rPr>
            </w:pPr>
            <w:r>
              <w:rPr>
                <w:rFonts w:ascii="Arial" w:cs="Arial" w:eastAsia="Arial" w:hAnsi="Arial"/>
                <w:sz w:val="18"/>
                <w:szCs w:val="18"/>
                <w:color w:val="auto"/>
              </w:rPr>
              <w:t>$0.77</w:t>
            </w:r>
          </w:p>
        </w:tc>
        <w:tc>
          <w:tcPr>
            <w:tcW w:w="1940" w:type="dxa"/>
            <w:vAlign w:val="bottom"/>
            <w:gridSpan w:val="2"/>
            <w:vMerge w:val="restart"/>
          </w:tcPr>
          <w:p>
            <w:pPr>
              <w:jc w:val="right"/>
              <w:ind w:right="268"/>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line="20" w:lineRule="exact"/>
              <w:rPr>
                <w:sz w:val="1"/>
                <w:szCs w:val="1"/>
                <w:color w:val="auto"/>
              </w:rPr>
            </w:pPr>
          </w:p>
        </w:tc>
      </w:tr>
      <w:tr>
        <w:trPr>
          <w:trHeight w:val="169"/>
        </w:trPr>
        <w:tc>
          <w:tcPr>
            <w:tcW w:w="5720" w:type="dxa"/>
            <w:vAlign w:val="bottom"/>
            <w:vMerge w:val="continue"/>
          </w:tcPr>
          <w:p>
            <w:pPr>
              <w:spacing w:after="0"/>
              <w:rPr>
                <w:sz w:val="14"/>
                <w:szCs w:val="14"/>
                <w:color w:val="auto"/>
              </w:rPr>
            </w:pPr>
          </w:p>
        </w:tc>
        <w:tc>
          <w:tcPr>
            <w:tcW w:w="1040" w:type="dxa"/>
            <w:vAlign w:val="bottom"/>
          </w:tcPr>
          <w:p>
            <w:pPr>
              <w:jc w:val="right"/>
              <w:ind w:right="156"/>
              <w:spacing w:after="0" w:line="169" w:lineRule="exact"/>
              <w:rPr>
                <w:sz w:val="20"/>
                <w:szCs w:val="20"/>
                <w:color w:val="auto"/>
              </w:rPr>
            </w:pPr>
            <w:r>
              <w:rPr>
                <w:rFonts w:ascii="Arial" w:cs="Arial" w:eastAsia="Arial" w:hAnsi="Arial"/>
                <w:sz w:val="18"/>
                <w:szCs w:val="18"/>
                <w:color w:val="auto"/>
              </w:rPr>
              <w:t>$11.00</w:t>
            </w:r>
          </w:p>
        </w:tc>
        <w:tc>
          <w:tcPr>
            <w:tcW w:w="2480" w:type="dxa"/>
            <w:vAlign w:val="bottom"/>
            <w:gridSpan w:val="2"/>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72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$66,000,000</w:t>
            </w:r>
          </w:p>
        </w:tc>
        <w:tc>
          <w:tcPr>
            <w:tcW w:w="2480" w:type="dxa"/>
            <w:vAlign w:val="bottom"/>
            <w:gridSpan w:val="2"/>
          </w:tcPr>
          <w:p>
            <w:pPr>
              <w:jc w:val="right"/>
              <w:ind w:right="308"/>
              <w:spacing w:after="0"/>
              <w:rPr>
                <w:sz w:val="20"/>
                <w:szCs w:val="20"/>
                <w:color w:val="auto"/>
              </w:rPr>
            </w:pPr>
            <w:r>
              <w:rPr>
                <w:rFonts w:ascii="Arial" w:cs="Arial" w:eastAsia="Arial" w:hAnsi="Arial"/>
                <w:sz w:val="18"/>
                <w:szCs w:val="18"/>
                <w:color w:val="auto"/>
              </w:rPr>
              <w:t>$4,620,000</w:t>
            </w:r>
          </w:p>
        </w:tc>
        <w:tc>
          <w:tcPr>
            <w:tcW w:w="1940" w:type="dxa"/>
            <w:vAlign w:val="bottom"/>
            <w:gridSpan w:val="2"/>
          </w:tcPr>
          <w:p>
            <w:pPr>
              <w:jc w:val="right"/>
              <w:ind w:right="48"/>
              <w:spacing w:after="0"/>
              <w:rPr>
                <w:sz w:val="20"/>
                <w:szCs w:val="20"/>
                <w:color w:val="auto"/>
              </w:rPr>
            </w:pPr>
            <w:r>
              <w:rPr>
                <w:rFonts w:ascii="Arial" w:cs="Arial" w:eastAsia="Arial" w:hAnsi="Arial"/>
                <w:sz w:val="18"/>
                <w:szCs w:val="18"/>
                <w:color w:val="auto"/>
              </w:rPr>
              <w:t>$61,380,000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additional information regarding total underwriter compensation.</w:t>
      </w:r>
    </w:p>
    <w:p>
      <w:pPr>
        <w:spacing w:after="0" w:line="252" w:lineRule="exact"/>
        <w:rPr>
          <w:sz w:val="24"/>
          <w:szCs w:val="24"/>
          <w:color w:val="auto"/>
        </w:rPr>
      </w:pPr>
    </w:p>
    <w:p>
      <w:pPr>
        <w:ind w:right="280" w:firstLine="456"/>
        <w:spacing w:after="0" w:line="246"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an additional 900,000 common shares from us to cover over-allotments.</w:t>
      </w:r>
    </w:p>
    <w:p>
      <w:pPr>
        <w:spacing w:after="0" w:line="202" w:lineRule="exact"/>
        <w:rPr>
          <w:sz w:val="24"/>
          <w:szCs w:val="24"/>
          <w:color w:val="auto"/>
        </w:rPr>
      </w:pPr>
    </w:p>
    <w:p>
      <w:pPr>
        <w:ind w:right="240" w:firstLine="456"/>
        <w:spacing w:after="0" w:line="30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1" w:lineRule="exact"/>
        <w:rPr>
          <w:sz w:val="24"/>
          <w:szCs w:val="24"/>
          <w:color w:val="auto"/>
        </w:rPr>
      </w:pPr>
    </w:p>
    <w:p>
      <w:pPr>
        <w:ind w:right="280" w:firstLine="456"/>
        <w:spacing w:after="0"/>
        <w:rPr>
          <w:sz w:val="20"/>
          <w:szCs w:val="20"/>
          <w:color w:val="auto"/>
        </w:rPr>
      </w:pPr>
      <w:r>
        <w:rPr>
          <w:rFonts w:ascii="Arial" w:cs="Arial" w:eastAsia="Arial" w:hAnsi="Arial"/>
          <w:sz w:val="18"/>
          <w:szCs w:val="18"/>
          <w:color w:val="auto"/>
        </w:rPr>
        <w:t>Certain of our existing shareholders have agreed to purchase an aggregate of 1.9 million of the common shares being offered in this offering at the initial public offering price. The underwriters will receive the same underwriting discount on any common shares purchased by these investors as they will on any other common shares sold to the public in this offering.</w:t>
      </w:r>
    </w:p>
    <w:p>
      <w:pPr>
        <w:spacing w:after="0" w:line="20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Delivery of the common shares is expected to be made on or about September 28, 2016.</w:t>
      </w:r>
    </w:p>
    <w:p>
      <w:pPr>
        <w:sectPr>
          <w:pgSz w:w="11900" w:h="16838" w:orient="portrait"/>
          <w:cols w:equalWidth="0" w:num="1">
            <w:col w:w="11420"/>
          </w:cols>
          <w:pgMar w:left="240" w:top="230" w:right="239" w:bottom="1440" w:gutter="0" w:footer="0" w:header="0"/>
        </w:sectPr>
      </w:pPr>
    </w:p>
    <w:p>
      <w:pPr>
        <w:spacing w:after="0" w:line="253" w:lineRule="exact"/>
        <w:rPr>
          <w:sz w:val="24"/>
          <w:szCs w:val="24"/>
          <w:color w:val="auto"/>
        </w:rPr>
      </w:pPr>
    </w:p>
    <w:p>
      <w:pPr>
        <w:spacing w:after="0"/>
        <w:rPr>
          <w:sz w:val="20"/>
          <w:szCs w:val="20"/>
          <w:color w:val="auto"/>
        </w:rPr>
      </w:pPr>
      <w:r>
        <w:rPr>
          <w:rFonts w:ascii="Arial" w:cs="Arial" w:eastAsia="Arial" w:hAnsi="Arial"/>
          <w:sz w:val="28"/>
          <w:szCs w:val="28"/>
          <w:b w:val="1"/>
          <w:bCs w:val="1"/>
          <w:color w:val="auto"/>
        </w:rPr>
        <w:t>Credit Suisse</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spacing w:after="0"/>
        <w:rPr>
          <w:sz w:val="20"/>
          <w:szCs w:val="20"/>
          <w:color w:val="auto"/>
        </w:rPr>
      </w:pPr>
      <w:r>
        <w:rPr>
          <w:rFonts w:ascii="Arial" w:cs="Arial" w:eastAsia="Arial" w:hAnsi="Arial"/>
          <w:sz w:val="29"/>
          <w:szCs w:val="29"/>
          <w:b w:val="1"/>
          <w:bCs w:val="1"/>
          <w:color w:val="auto"/>
        </w:rPr>
        <w:t>Jefferies</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spacing w:after="0"/>
        <w:rPr>
          <w:sz w:val="20"/>
          <w:szCs w:val="20"/>
          <w:color w:val="auto"/>
        </w:rPr>
      </w:pPr>
      <w:r>
        <w:rPr>
          <w:rFonts w:ascii="Arial" w:cs="Arial" w:eastAsia="Arial" w:hAnsi="Arial"/>
          <w:sz w:val="28"/>
          <w:szCs w:val="28"/>
          <w:b w:val="1"/>
          <w:bCs w:val="1"/>
          <w:color w:val="auto"/>
        </w:rPr>
        <w:t>Leerink Partners</w:t>
      </w:r>
    </w:p>
    <w:p>
      <w:pPr>
        <w:spacing w:after="0" w:line="211" w:lineRule="exact"/>
        <w:rPr>
          <w:sz w:val="24"/>
          <w:szCs w:val="24"/>
          <w:color w:val="auto"/>
        </w:rPr>
      </w:pPr>
    </w:p>
    <w:p>
      <w:pPr>
        <w:sectPr>
          <w:pgSz w:w="11900" w:h="16838" w:orient="portrait"/>
          <w:cols w:equalWidth="0" w:num="3">
            <w:col w:w="4460" w:space="720"/>
            <w:col w:w="3240" w:space="720"/>
            <w:col w:w="2280"/>
          </w:cols>
          <w:pgMar w:left="240" w:top="230" w:right="239" w:bottom="1440" w:gutter="0" w:footer="0" w:header="0"/>
          <w:type w:val="continuous"/>
        </w:sectPr>
      </w:pP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The date of this prospectus is September 22, 2016</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412"/>
        </w:trPr>
        <w:tc>
          <w:tcPr>
            <w:tcW w:w="1540" w:type="dxa"/>
            <w:vAlign w:val="bottom"/>
            <w:gridSpan w:val="12"/>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Prospectus Summary</w:t>
              </w:r>
            </w:hyperlink>
          </w:p>
        </w:tc>
        <w:tc>
          <w:tcPr>
            <w:tcW w:w="5360" w:type="dxa"/>
            <w:vAlign w:val="bottom"/>
            <w:gridSpan w:val="15"/>
            <w:vMerge w:val="restart"/>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540" w:type="dxa"/>
            <w:vAlign w:val="bottom"/>
            <w:tcBorders>
              <w:bottom w:val="single" w:sz="8" w:color="0000EE"/>
            </w:tcBorders>
            <w:gridSpan w:val="12"/>
            <w:vMerge w:val="continue"/>
          </w:tcPr>
          <w:p>
            <w:pPr>
              <w:spacing w:after="0"/>
              <w:rPr>
                <w:sz w:val="14"/>
                <w:szCs w:val="14"/>
                <w:color w:val="auto"/>
              </w:rPr>
            </w:pPr>
          </w:p>
        </w:tc>
        <w:tc>
          <w:tcPr>
            <w:tcW w:w="5360" w:type="dxa"/>
            <w:vAlign w:val="bottom"/>
            <w:gridSpan w:val="15"/>
            <w:vMerge w:val="continue"/>
          </w:tcPr>
          <w:p>
            <w:pPr>
              <w:spacing w:after="0"/>
              <w:rPr>
                <w:sz w:val="14"/>
                <w:szCs w:val="14"/>
                <w:color w:val="auto"/>
              </w:rPr>
            </w:pPr>
          </w:p>
        </w:tc>
        <w:tc>
          <w:tcPr>
            <w:tcW w:w="4100" w:type="dxa"/>
            <w:vAlign w:val="bottom"/>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The Offering</w:t>
              </w:r>
            </w:hyperlink>
          </w:p>
        </w:tc>
        <w:tc>
          <w:tcPr>
            <w:tcW w:w="5940" w:type="dxa"/>
            <w:vAlign w:val="bottom"/>
            <w:gridSpan w:val="21"/>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Summary Historical and Other Financial Information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Risk Factors</w:t>
              </w:r>
            </w:hyperlink>
          </w:p>
        </w:tc>
        <w:tc>
          <w:tcPr>
            <w:tcW w:w="2920" w:type="dxa"/>
            <w:vAlign w:val="bottom"/>
            <w:tcBorders>
              <w:top w:val="single" w:sz="8" w:color="0000EE"/>
            </w:tcBorders>
            <w:gridSpan w:val="18"/>
          </w:tcPr>
          <w:p>
            <w:pPr>
              <w:spacing w:after="0"/>
              <w:rPr>
                <w:sz w:val="17"/>
                <w:szCs w:val="17"/>
                <w:color w:val="auto"/>
              </w:rPr>
            </w:pPr>
          </w:p>
        </w:tc>
        <w:tc>
          <w:tcPr>
            <w:tcW w:w="3060" w:type="dxa"/>
            <w:vAlign w:val="bottom"/>
            <w:gridSpan w:val="5"/>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Cautionary Statement Regarding Forward-Looking Statements</w:t>
              </w:r>
            </w:hyperlink>
          </w:p>
        </w:tc>
        <w:tc>
          <w:tcPr>
            <w:tcW w:w="2360" w:type="dxa"/>
            <w:vAlign w:val="bottom"/>
            <w:gridSpan w:val="2"/>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Market and Industry Data</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Use of Proceeds</w:t>
              </w:r>
            </w:hyperlink>
          </w:p>
        </w:tc>
        <w:tc>
          <w:tcPr>
            <w:tcW w:w="680" w:type="dxa"/>
            <w:vAlign w:val="bottom"/>
            <w:tcBorders>
              <w:top w:val="single" w:sz="8" w:color="0000EE"/>
            </w:tcBorders>
            <w:gridSpan w:val="4"/>
          </w:tcPr>
          <w:p>
            <w:pPr>
              <w:spacing w:after="0"/>
              <w:rPr>
                <w:sz w:val="17"/>
                <w:szCs w:val="17"/>
                <w:color w:val="auto"/>
              </w:rPr>
            </w:pPr>
          </w:p>
        </w:tc>
        <w:tc>
          <w:tcPr>
            <w:tcW w:w="5040" w:type="dxa"/>
            <w:vAlign w:val="bottom"/>
            <w:gridSpan w:val="12"/>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Dividend Policy</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65">
              <w:r>
                <w:rPr>
                  <w:rFonts w:ascii="Arial" w:cs="Arial" w:eastAsia="Arial" w:hAnsi="Arial"/>
                  <w:sz w:val="18"/>
                  <w:szCs w:val="18"/>
                  <w:color w:val="0000EE"/>
                  <w:w w:val="94"/>
                </w:rPr>
                <w:t>Capitalization</w:t>
              </w:r>
            </w:hyperlink>
          </w:p>
        </w:tc>
        <w:tc>
          <w:tcPr>
            <w:tcW w:w="140" w:type="dxa"/>
            <w:vAlign w:val="bottom"/>
            <w:tcBorders>
              <w:top w:val="single" w:sz="8" w:color="0000EE"/>
            </w:tcBorders>
            <w:gridSpan w:val="2"/>
          </w:tcPr>
          <w:p>
            <w:pPr>
              <w:spacing w:after="0"/>
              <w:rPr>
                <w:sz w:val="17"/>
                <w:szCs w:val="17"/>
                <w:color w:val="auto"/>
              </w:rPr>
            </w:pPr>
          </w:p>
        </w:tc>
        <w:tc>
          <w:tcPr>
            <w:tcW w:w="5720" w:type="dxa"/>
            <w:vAlign w:val="bottom"/>
            <w:gridSpan w:val="16"/>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Dilution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Exchange Rates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Selected Financial and Other Information</w:t>
              </w:r>
            </w:hyperlink>
          </w:p>
        </w:tc>
        <w:tc>
          <w:tcPr>
            <w:tcW w:w="3900" w:type="dxa"/>
            <w:vAlign w:val="bottom"/>
            <w:gridSpan w:val="7"/>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w w:val="97"/>
              </w:rPr>
            </w:pPr>
            <w:hyperlink w:anchor="page72">
              <w:r>
                <w:rPr>
                  <w:rFonts w:ascii="Arial" w:cs="Arial" w:eastAsia="Arial" w:hAnsi="Arial"/>
                  <w:sz w:val="18"/>
                  <w:szCs w:val="18"/>
                  <w:color w:val="0000EE"/>
                  <w:w w:val="97"/>
                </w:rPr>
                <w:t>Management’s Discussion and Analysis of Financial Condition and Results of Operations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89">
              <w:r>
                <w:rPr>
                  <w:rFonts w:ascii="Arial" w:cs="Arial" w:eastAsia="Arial" w:hAnsi="Arial"/>
                  <w:sz w:val="18"/>
                  <w:szCs w:val="18"/>
                  <w:color w:val="0000EE"/>
                  <w:w w:val="87"/>
                </w:rPr>
                <w:t>Business</w:t>
              </w:r>
            </w:hyperlink>
          </w:p>
        </w:tc>
        <w:tc>
          <w:tcPr>
            <w:tcW w:w="5800" w:type="dxa"/>
            <w:vAlign w:val="bottom"/>
            <w:tcBorders>
              <w:top w:val="single" w:sz="8" w:color="0000EE"/>
            </w:tcBorders>
            <w:gridSpan w:val="23"/>
          </w:tcPr>
          <w:p>
            <w:pPr>
              <w:spacing w:after="0"/>
              <w:rPr>
                <w:sz w:val="17"/>
                <w:szCs w:val="17"/>
                <w:color w:val="auto"/>
              </w:rPr>
            </w:pPr>
          </w:p>
        </w:tc>
        <w:tc>
          <w:tcPr>
            <w:tcW w:w="440" w:type="dxa"/>
            <w:vAlign w:val="bottom"/>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Management</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Principal Shareholder</w:t>
              </w:r>
            </w:hyperlink>
            <w:r>
              <w:rPr>
                <w:rFonts w:ascii="Arial" w:cs="Arial" w:eastAsia="Arial" w:hAnsi="Arial"/>
                <w:sz w:val="18"/>
                <w:szCs w:val="18"/>
                <w:color w:val="000000"/>
              </w:rPr>
              <w:t>s</w:t>
            </w: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Related Party Transactions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159">
              <w:r>
                <w:rPr>
                  <w:rFonts w:ascii="Arial" w:cs="Arial" w:eastAsia="Arial" w:hAnsi="Arial"/>
                  <w:sz w:val="18"/>
                  <w:szCs w:val="18"/>
                  <w:color w:val="0000EE"/>
                  <w:w w:val="92"/>
                </w:rPr>
                <w:t>Description of Share Capital and Articles of Association</w:t>
              </w:r>
            </w:hyperlink>
          </w:p>
        </w:tc>
        <w:tc>
          <w:tcPr>
            <w:tcW w:w="2820" w:type="dxa"/>
            <w:vAlign w:val="bottom"/>
            <w:gridSpan w:val="4"/>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70">
              <w:r>
                <w:rPr>
                  <w:rFonts w:ascii="Arial" w:cs="Arial" w:eastAsia="Arial" w:hAnsi="Arial"/>
                  <w:sz w:val="18"/>
                  <w:szCs w:val="18"/>
                  <w:color w:val="0000EE"/>
                  <w:w w:val="91"/>
                </w:rPr>
                <w:t>Comparison of Swiss Law and Delaware Law</w:t>
              </w:r>
            </w:hyperlink>
          </w:p>
        </w:tc>
        <w:tc>
          <w:tcPr>
            <w:tcW w:w="3580" w:type="dxa"/>
            <w:vAlign w:val="bottom"/>
            <w:gridSpan w:val="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Common Shares Eligible for Future Sale</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80">
              <w:r>
                <w:rPr>
                  <w:rFonts w:ascii="Arial" w:cs="Arial" w:eastAsia="Arial" w:hAnsi="Arial"/>
                  <w:sz w:val="18"/>
                  <w:szCs w:val="18"/>
                  <w:color w:val="0000EE"/>
                  <w:w w:val="89"/>
                </w:rPr>
                <w:t>Taxation</w:t>
              </w:r>
            </w:hyperlink>
          </w:p>
        </w:tc>
        <w:tc>
          <w:tcPr>
            <w:tcW w:w="2300" w:type="dxa"/>
            <w:vAlign w:val="bottom"/>
            <w:tcBorders>
              <w:top w:val="single" w:sz="8" w:color="0000EE"/>
            </w:tcBorders>
            <w:gridSpan w:val="17"/>
          </w:tcPr>
          <w:p>
            <w:pPr>
              <w:spacing w:after="0"/>
              <w:rPr>
                <w:sz w:val="17"/>
                <w:szCs w:val="17"/>
                <w:color w:val="auto"/>
              </w:rPr>
            </w:pPr>
          </w:p>
        </w:tc>
        <w:tc>
          <w:tcPr>
            <w:tcW w:w="3960" w:type="dxa"/>
            <w:vAlign w:val="bottom"/>
            <w:gridSpan w:val="8"/>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187">
              <w:r>
                <w:rPr>
                  <w:rFonts w:ascii="Arial" w:cs="Arial" w:eastAsia="Arial" w:hAnsi="Arial"/>
                  <w:sz w:val="18"/>
                  <w:szCs w:val="18"/>
                  <w:color w:val="0000EE"/>
                  <w:w w:val="94"/>
                </w:rPr>
                <w:t>Underwriting</w:t>
              </w:r>
            </w:hyperlink>
          </w:p>
        </w:tc>
        <w:tc>
          <w:tcPr>
            <w:tcW w:w="5920" w:type="dxa"/>
            <w:vAlign w:val="bottom"/>
            <w:gridSpan w:val="20"/>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Expenses of the Offering</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197">
              <w:r>
                <w:rPr>
                  <w:rFonts w:ascii="Arial" w:cs="Arial" w:eastAsia="Arial" w:hAnsi="Arial"/>
                  <w:sz w:val="18"/>
                  <w:szCs w:val="18"/>
                  <w:color w:val="0000EE"/>
                  <w:w w:val="91"/>
                </w:rPr>
                <w:t>Legal Matters</w:t>
              </w:r>
            </w:hyperlink>
          </w:p>
        </w:tc>
        <w:tc>
          <w:tcPr>
            <w:tcW w:w="780" w:type="dxa"/>
            <w:vAlign w:val="bottom"/>
            <w:tcBorders>
              <w:top w:val="single" w:sz="8" w:color="0000EE"/>
            </w:tcBorders>
            <w:gridSpan w:val="6"/>
          </w:tcPr>
          <w:p>
            <w:pPr>
              <w:spacing w:after="0"/>
              <w:rPr>
                <w:sz w:val="17"/>
                <w:szCs w:val="17"/>
                <w:color w:val="auto"/>
              </w:rPr>
            </w:pPr>
          </w:p>
        </w:tc>
        <w:tc>
          <w:tcPr>
            <w:tcW w:w="5100" w:type="dxa"/>
            <w:vAlign w:val="bottom"/>
            <w:gridSpan w:val="13"/>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97">
              <w:r>
                <w:rPr>
                  <w:rFonts w:ascii="Arial" w:cs="Arial" w:eastAsia="Arial" w:hAnsi="Arial"/>
                  <w:sz w:val="18"/>
                  <w:szCs w:val="18"/>
                  <w:color w:val="0000EE"/>
                  <w:w w:val="91"/>
                </w:rPr>
                <w:t>Experts</w:t>
              </w:r>
            </w:hyperlink>
          </w:p>
        </w:tc>
        <w:tc>
          <w:tcPr>
            <w:tcW w:w="6300" w:type="dxa"/>
            <w:vAlign w:val="bottom"/>
            <w:gridSpan w:val="2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Enforcement of Judgments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1940" w:type="dxa"/>
            <w:vAlign w:val="bottom"/>
            <w:gridSpan w:val="1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99">
              <w:r>
                <w:rPr>
                  <w:rFonts w:ascii="Arial" w:cs="Arial" w:eastAsia="Arial" w:hAnsi="Arial"/>
                  <w:sz w:val="18"/>
                  <w:szCs w:val="18"/>
                  <w:color w:val="0000EE"/>
                  <w:w w:val="92"/>
                </w:rPr>
                <w:t>Where You Can Find More Information</w:t>
              </w:r>
            </w:hyperlink>
          </w:p>
        </w:tc>
        <w:tc>
          <w:tcPr>
            <w:tcW w:w="4020" w:type="dxa"/>
            <w:vAlign w:val="bottom"/>
            <w:gridSpan w:val="9"/>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200">
              <w:r>
                <w:rPr>
                  <w:rFonts w:ascii="Arial" w:cs="Arial" w:eastAsia="Arial" w:hAnsi="Arial"/>
                  <w:sz w:val="18"/>
                  <w:szCs w:val="18"/>
                  <w:color w:val="0000EE"/>
                  <w:w w:val="90"/>
                </w:rPr>
                <w:t>Index to Financial Statements</w:t>
              </w:r>
            </w:hyperlink>
          </w:p>
        </w:tc>
        <w:tc>
          <w:tcPr>
            <w:tcW w:w="4740" w:type="dxa"/>
            <w:vAlign w:val="bottom"/>
            <w:gridSpan w:val="10"/>
          </w:tcPr>
          <w:p>
            <w:pPr>
              <w:spacing w:after="0"/>
              <w:rPr>
                <w:sz w:val="17"/>
                <w:szCs w:val="17"/>
                <w:color w:val="auto"/>
              </w:rPr>
            </w:pPr>
          </w:p>
        </w:tc>
        <w:tc>
          <w:tcPr>
            <w:tcW w:w="41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See “Enforcement of Judgments”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“AC Immune,” the “Company,” “we,” “our,” “ours,” “us” or similar terms refer to 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own various trademark registrations and applications, and unregistered trademarks, including Morphomer™, SupraAntigen™ and our corporate logo. All other trade names, trademarks and service marks 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40"/>
          </w:cols>
          <w:pgMar w:left="240" w:top="459"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other companies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financial statements are presented in Swiss Francs and in accordance with IFRS as issued by the IASB. None of the financial statements were prepared in accordance with generally accepted accounting principles in the United States. The terms “dollar,” “USD” or “$” refer to U.S. dollars and the term “Swiss Franc” and “CHF” refer to the legal currency of Switzerland, unless otherwise indicated. Unless otherwise indicated, certain Swiss Franc amounts and certain U.S. dollar amounts have been translated into U.S. dollars and Swiss Francs, respectively, at a rate of USD 1.0235 to CHF 1.00, the official exchange rate quoted as of September 9, 2016 by the U.S. Federal Reserve Bank. Such Swiss Franc and U.S. dollar amounts are not necessarily indicative of the amounts of U.S. dollars and Swiss Francs, respectively, that could actually have been purchased upon exchange of the other currency at the dates indicated or any other date, and such translated amounts have been provided solely for the convenience of the reader. We have made rounding adjustments to some of the figures included in this prospectus. Accordingly, any numerical discrepancies in any table between totals and sums of the amounts listed are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We and the underwriters have not authorized anyone to provide any information other than that contained in this prospectus or in any free writing prospectus prepared by or on behalf of us or to which we may have referred you. We and the underwriters take no responsibility for, and can provide no assurance as to the reliability of, any other information that others may give you.</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Neither we nor the underwriters are making an offer to sell the common shares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common shares. Our business, financial condition, results of operations and prospects may have changed since the date on the front cover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214630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are incorporated as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and a majority of our outstanding securities are owned by non-U.S. residents. Under the rules of the U.S. Securities and Exchange Commission, or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DEALER PROSPECTUS DELIVERY OBLIGATION</w:t>
      </w:r>
    </w:p>
    <w:p>
      <w:pPr>
        <w:spacing w:after="0" w:line="22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Through and including October 17, 2016, all dealers that effect transactions in our common stock,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20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3820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financial statements, including the notes thereto, included elsewhere in this prospectus, before deciding to invest in our common shares.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7"/>
          <w:szCs w:val="17"/>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including four clinical-stage candidates and three diagnostic candidates, has the potential to drive a paradigm shift in the treatment of a broad spectrum of neurodegenerative and other diseases related to protein misfolding.</w:t>
      </w:r>
    </w:p>
    <w:p>
      <w:pPr>
        <w:spacing w:after="0" w:line="178"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There is currently an absence of reliable, early-stage diagnosis and disease-modifying treatments for widely prevalent neurodegenerative and other diseases associated with protein misfolding. AD is the most common form of dementia, with an estimated worldwide patient population of 47 million in 2015, which is expected to grow to 75 million by 2030 and 132 million by 2050 according to the World Alzheimer Report 2015. 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with limited clinical benefit. 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 There remains a significant unmet medical need for reliable and accurate diagnostics to enable early diagnosis and disease-modifying treatments that slow the progress of neurodegenerative diseases.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7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6470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Our lead product candidate is crenezumab, a humanized, monoclonal, conformation-specific anti-Abeta antibody that we developed using our proprietary SupraAntigen</w:t>
      </w:r>
      <w:r>
        <w:rPr>
          <w:rFonts w:ascii="Arial" w:cs="Arial" w:eastAsia="Arial" w:hAnsi="Arial"/>
          <w:sz w:val="13"/>
          <w:szCs w:val="13"/>
          <w:color w:val="auto"/>
        </w:rPr>
        <w:t>TM</w:t>
      </w:r>
      <w:r>
        <w:rPr>
          <w:rFonts w:ascii="Arial" w:cs="Arial" w:eastAsia="Arial" w:hAnsi="Arial"/>
          <w:sz w:val="16"/>
          <w:szCs w:val="16"/>
          <w:color w:val="auto"/>
        </w:rPr>
        <w:t xml:space="preserve"> platform. Crenezumab commenced Phase 3 clinical studies in the first quarter of 2016 and we believe it has the potential to become a best-in-class disease-modifying treatment for AD. Genentech, Inc., a wholly owned subsidiary of Roche, or Genentech, is advancing crenezumab for the treatment of AD under a collaboration agreement with us, pursuant to which it is responsible for the clinical development of crenezumab, including the costs associated with seeking and obtaining regulatory and marketing approvals, manufacturing costs and sales and marketing costs. Under our collaboration agreement, we are eligible to receive payments from Genentech totaling up to approximately $340 million, as well as sales royalties. Crenezumab has received Fast Track designation from the FDA. The Fast Track program is intended to expedite or facilitate the process for reviewing new drugs that are designed to treat a serious or life-threatening condition and demonstrate the potential to address unmet medical needs, as further described under “Business—Government Regulation and Our Regulatory Department—Product Approval Process.” In 2012, crenezumab was independently selected by the National Institute of Health, the Banner Alzheimer’s Institute and Genentech for use in the first-ever AD prevention study, which serves as the cornerstone of the global Alzheimer’s Prevention Initiative. While crenezumab did not meet its co-primary endpoints in its Phase 2 studies, the data showed promising signals of activity in patients with a milder stage of the disease.</w:t>
      </w:r>
    </w:p>
    <w:p>
      <w:pPr>
        <w:spacing w:after="0" w:line="101"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key advantages of crenezumab include:</w:t>
      </w:r>
    </w:p>
    <w:p>
      <w:pPr>
        <w:spacing w:after="0" w:line="46" w:lineRule="exact"/>
        <w:rPr>
          <w:sz w:val="20"/>
          <w:szCs w:val="20"/>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56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62560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620" w:right="380" w:hanging="437"/>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ind w:left="1620" w:right="140" w:hanging="437"/>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w:t>
      </w:r>
    </w:p>
    <w:p>
      <w:pPr>
        <w:spacing w:after="0" w:line="75" w:lineRule="exact"/>
        <w:rPr>
          <w:rFonts w:ascii="Arial" w:cs="Arial" w:eastAsia="Arial" w:hAnsi="Arial"/>
          <w:sz w:val="18"/>
          <w:szCs w:val="18"/>
          <w:color w:val="auto"/>
        </w:rPr>
      </w:pPr>
    </w:p>
    <w:p>
      <w:pPr>
        <w:ind w:left="1620" w:right="80" w:hanging="437"/>
        <w:spacing w:after="0" w:line="255"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ABBY cognition study: although the study did not meet its co-primary endpoints, which were assessments using the ADAS-cog and CDR-Sum of boxes, the sample size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The results showed trends favoring crenezumab in the milder patient population.</w:t>
      </w:r>
    </w:p>
    <w:p>
      <w:pPr>
        <w:spacing w:after="0" w:line="98" w:lineRule="exact"/>
        <w:rPr>
          <w:rFonts w:ascii="Arial" w:cs="Arial" w:eastAsia="Arial" w:hAnsi="Arial"/>
          <w:sz w:val="18"/>
          <w:szCs w:val="18"/>
          <w:color w:val="auto"/>
        </w:rPr>
      </w:pPr>
    </w:p>
    <w:p>
      <w:pPr>
        <w:ind w:left="1620" w:right="100" w:hanging="437"/>
        <w:spacing w:after="0" w:line="264"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of Abeta in the cerebrospinal fluid, which suggests that Abeta is being removed from the brain when patients are treated with crenezumab.</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620" w:right="100" w:hanging="437"/>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which is an accumulation of fluid in the brain that can lead to headaches, loss of coordination and disorientation.</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620" w:right="380" w:hanging="437"/>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This study has helped define the design of the Phase 3 clinical study.</w:t>
      </w:r>
    </w:p>
    <w:p>
      <w:pPr>
        <w:spacing w:after="0" w:line="170" w:lineRule="exact"/>
        <w:rPr>
          <w:sz w:val="20"/>
          <w:szCs w:val="20"/>
          <w:color w:val="auto"/>
        </w:rPr>
      </w:pPr>
    </w:p>
    <w:p>
      <w:pPr>
        <w:ind w:left="200" w:right="260" w:firstLine="443"/>
        <w:spacing w:after="0" w:line="277" w:lineRule="auto"/>
        <w:rPr>
          <w:sz w:val="20"/>
          <w:szCs w:val="20"/>
          <w:color w:val="auto"/>
        </w:rPr>
      </w:pPr>
      <w:r>
        <w:rPr>
          <w:rFonts w:ascii="Arial" w:cs="Arial" w:eastAsia="Arial" w:hAnsi="Arial"/>
          <w:sz w:val="18"/>
          <w:szCs w:val="18"/>
          <w:color w:val="auto"/>
        </w:rPr>
        <w:t>Two of our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1060" w:right="220" w:hanging="323"/>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ACI-24 is our wholly-owned anti-Abeta vaccine candidate currently in a Phase 1/2a study. We expect to complete this study and announce top line results in the second half of 2016. In January 2016, we announced that, together with the University of California, San Diego and with support from the LuMind Foundation, we commenced a Phase 1 clinical study for ACI-24 in patients with Down syndrome. Down syndrome patients are a population that is at high risk for AD.</w:t>
      </w:r>
    </w:p>
    <w:p>
      <w:pPr>
        <w:spacing w:after="0" w:line="92" w:lineRule="exact"/>
        <w:rPr>
          <w:rFonts w:ascii="Arial" w:cs="Arial" w:eastAsia="Arial" w:hAnsi="Arial"/>
          <w:sz w:val="18"/>
          <w:szCs w:val="18"/>
          <w:color w:val="auto"/>
        </w:rPr>
      </w:pPr>
    </w:p>
    <w:p>
      <w:pPr>
        <w:ind w:left="1060" w:hanging="323"/>
        <w:spacing w:after="0" w:line="279"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ACI-35 is an anti-tau vaccine candidate that we are developing under a collaboration agreement with Janssen Pharmaceuticals, Inc., a Johnson &amp; Johnson Company. We and Janssen are co-developing ACI-35 through the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171" w:lineRule="exact"/>
        <w:rPr>
          <w:sz w:val="20"/>
          <w:szCs w:val="20"/>
          <w:color w:val="auto"/>
        </w:rPr>
      </w:pPr>
    </w:p>
    <w:p>
      <w:pPr>
        <w:ind w:left="200" w:right="160" w:firstLine="443"/>
        <w:spacing w:after="0" w:line="342" w:lineRule="auto"/>
        <w:rPr>
          <w:sz w:val="20"/>
          <w:szCs w:val="20"/>
          <w:color w:val="auto"/>
        </w:rPr>
      </w:pPr>
      <w:r>
        <w:rPr>
          <w:rFonts w:ascii="Arial" w:cs="Arial" w:eastAsia="Arial" w:hAnsi="Arial"/>
          <w:sz w:val="16"/>
          <w:szCs w:val="16"/>
          <w:color w:val="auto"/>
        </w:rPr>
        <w:t>Additionally, a passive anti-tau monoclonal antibody candidate is being developed under a collaboration agreement with Genentech. The Phase 1 clinical study in patients with AD and healthy volunteers commenced in the second quarter of 2016, with results expected in the first half of 2017.</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33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66332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1060" w:right="32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tau PET imaging agent is currently in a First-in-Man study (a clinical study in which a medical procedure, previously developed and assessed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animal testing or through mathematical modelling, is tested on human subjects for the first time) and being developed under a collaboration agreement with Piramal Imaging. Piramal Imaging is expecting to advance this program into Phase 1 clinical development in 2016.</w:t>
      </w:r>
    </w:p>
    <w:p>
      <w:pPr>
        <w:spacing w:after="0" w:line="92"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also developing PET imaging diagnostics for diseases resulting from the misfolding of alpha-synuclein proteins, such as PD.</w:t>
      </w:r>
    </w:p>
    <w:p>
      <w:pPr>
        <w:spacing w:after="0" w:line="142" w:lineRule="exact"/>
        <w:rPr>
          <w:rFonts w:ascii="Arial" w:cs="Arial" w:eastAsia="Arial" w:hAnsi="Arial"/>
          <w:sz w:val="17"/>
          <w:szCs w:val="17"/>
          <w:color w:val="auto"/>
        </w:rPr>
      </w:pPr>
    </w:p>
    <w:p>
      <w:pPr>
        <w:ind w:left="1060" w:right="14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April 2016, we entered into a non-exclusive collaboration with Biogen International GmbH to develop PET imaging diagnostics for neurodegenerative diseases resulting from the misfolding of alpha-synuclein proteins and TDP-43, which is a protein that has been recently linked to neurodegeneration in diseases including AD, PD and amyotrophic lateral sclerosis (commonly known as ALS or Lou Gehrig’s disease).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Proprietary Platform Technologies</w:t>
      </w:r>
    </w:p>
    <w:p>
      <w:pPr>
        <w:spacing w:after="0" w:line="121"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88"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Neurodegenerative diseases, such as AD and PD, as well as other neuro-orphan diseases, such as progressive supranuclear palsy, amyotrophic lateral sclerosis, and Huntington’s disease, are all associated with pathologies that involve misfolded proteins. Research has shown that misfolded proteins are unable to carry out their normal functions and aggregate to form certain types of deposits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7" w:lineRule="exact"/>
        <w:rPr>
          <w:sz w:val="20"/>
          <w:szCs w:val="20"/>
          <w:color w:val="auto"/>
        </w:rPr>
      </w:pPr>
    </w:p>
    <w:p>
      <w:pPr>
        <w:ind w:left="1060" w:right="24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 in partnership or alone, our product candidates crenezumab, ACI-24 and ACI-35, and our diagnostic candidates through clinical development to regulatory approval and potential commercialization.</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into other neurodegenerative and neuro-orphan diseases.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Accelerate the advancement of our diagnostic portfolio.</w:t>
      </w:r>
    </w:p>
    <w:p>
      <w:pPr>
        <w:spacing w:after="0" w:line="130" w:lineRule="exact"/>
        <w:rPr>
          <w:rFonts w:ascii="Arial" w:cs="Arial" w:eastAsia="Arial" w:hAnsi="Arial"/>
          <w:sz w:val="18"/>
          <w:szCs w:val="18"/>
          <w:color w:val="auto"/>
        </w:rPr>
      </w:pPr>
    </w:p>
    <w:p>
      <w:pPr>
        <w:ind w:left="1060" w:right="46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the duality of our therapeutic and diagnostic approaches to become the leader in personalized treatment of neurodegenerative diseases.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Strategically collaborate or selectively partner for the development and commercialization of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15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7156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right="760" w:firstLine="443"/>
        <w:spacing w:after="0" w:line="277" w:lineRule="auto"/>
        <w:rPr>
          <w:sz w:val="20"/>
          <w:szCs w:val="20"/>
          <w:color w:val="auto"/>
        </w:rPr>
      </w:pPr>
      <w:r>
        <w:rPr>
          <w:rFonts w:ascii="Arial" w:cs="Arial" w:eastAsia="Arial" w:hAnsi="Arial"/>
          <w:sz w:val="18"/>
          <w:szCs w:val="18"/>
          <w:color w:val="auto"/>
        </w:rPr>
        <w:t>Our ability to implement our business strategy is subject to numerous risks, as more fully described in the section entitled “Risk Factors” immediately following this prospectus summary. These risks include, among others:</w:t>
      </w:r>
    </w:p>
    <w:p>
      <w:pPr>
        <w:spacing w:after="0" w:line="76" w:lineRule="exact"/>
        <w:rPr>
          <w:sz w:val="20"/>
          <w:szCs w:val="20"/>
          <w:color w:val="auto"/>
        </w:rPr>
      </w:pPr>
    </w:p>
    <w:p>
      <w:pPr>
        <w:ind w:left="1060" w:right="102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ACI-35 and our anti-tau antibody candidate.</w:t>
      </w:r>
    </w:p>
    <w:p>
      <w:pPr>
        <w:spacing w:after="0" w:line="75" w:lineRule="exact"/>
        <w:rPr>
          <w:rFonts w:ascii="Arial" w:cs="Arial" w:eastAsia="Arial" w:hAnsi="Arial"/>
          <w:sz w:val="18"/>
          <w:szCs w:val="18"/>
          <w:color w:val="auto"/>
        </w:rPr>
      </w:pPr>
    </w:p>
    <w:p>
      <w:pPr>
        <w:ind w:left="1060" w:right="240" w:hanging="323"/>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direct reliance on our collaboration partners’ efforts to obtain regulatory and marketing approvals for and to manufacture, sell and market certain of our product candidates, including crenezumab, ACI-35 and our anti-tau antibodies, in order to derive revenue from these product candidates.</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of crenezumab to achieve success in Phase 3 clinical studies.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ability of our competitors to discover, develop or commercialize competing products before or more successfully than we do.</w:t>
      </w:r>
    </w:p>
    <w:p>
      <w:pPr>
        <w:spacing w:after="0" w:line="142" w:lineRule="exact"/>
        <w:rPr>
          <w:rFonts w:ascii="Arial" w:cs="Arial" w:eastAsia="Arial" w:hAnsi="Arial"/>
          <w:sz w:val="17"/>
          <w:szCs w:val="17"/>
          <w:color w:val="auto"/>
        </w:rPr>
      </w:pPr>
    </w:p>
    <w:p>
      <w:pPr>
        <w:ind w:left="1060" w:right="44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Morphomer and SupraAntigen proprietary technology platforms and their success in building additional product candidates for our pipeline.</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FDA’s and applicable foreign regulatory authorities’ acceptance of data from studies we conduct in the future.</w:t>
      </w:r>
    </w:p>
    <w:p>
      <w:pPr>
        <w:spacing w:after="0" w:line="130" w:lineRule="exact"/>
        <w:rPr>
          <w:rFonts w:ascii="Arial" w:cs="Arial" w:eastAsia="Arial" w:hAnsi="Arial"/>
          <w:sz w:val="18"/>
          <w:szCs w:val="18"/>
          <w:color w:val="auto"/>
        </w:rPr>
      </w:pPr>
    </w:p>
    <w:p>
      <w:pPr>
        <w:ind w:left="1060" w:hanging="323"/>
        <w:spacing w:after="0" w:line="308"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foreign private issuer status, the loss of which would require us to comply with the domestic reporting regime of the Securities Exchange Act of 1934, as amended, or the Exchange Act, and cause us to incur significant legal, accounting and other expenses.</w:t>
      </w:r>
    </w:p>
    <w:p>
      <w:pPr>
        <w:spacing w:after="0" w:line="51" w:lineRule="exact"/>
        <w:rPr>
          <w:rFonts w:ascii="Arial" w:cs="Arial" w:eastAsia="Arial" w:hAnsi="Arial"/>
          <w:sz w:val="17"/>
          <w:szCs w:val="17"/>
          <w:color w:val="auto"/>
        </w:rPr>
      </w:pPr>
    </w:p>
    <w:p>
      <w:pPr>
        <w:ind w:left="1060" w:right="68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w:t>
      </w:r>
    </w:p>
    <w:p>
      <w:pPr>
        <w:spacing w:after="0" w:line="75" w:lineRule="exact"/>
        <w:rPr>
          <w:rFonts w:ascii="Arial" w:cs="Arial" w:eastAsia="Arial" w:hAnsi="Arial"/>
          <w:sz w:val="18"/>
          <w:szCs w:val="18"/>
          <w:color w:val="auto"/>
        </w:rPr>
      </w:pPr>
    </w:p>
    <w:p>
      <w:pPr>
        <w:ind w:left="1060" w:right="140" w:hanging="323"/>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maintain an effective system of internal control over financial reporting, given the material weakness identified in connection with the audit of our financial statements as of and for the year ended December 31, 2014. This material weakness continued to exist as of December 31, 2015 and as at June 30, 2016.</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and Other Information</w:t>
      </w:r>
    </w:p>
    <w:p>
      <w:pPr>
        <w:spacing w:after="0" w:line="121" w:lineRule="exact"/>
        <w:rPr>
          <w:sz w:val="20"/>
          <w:szCs w:val="20"/>
          <w:color w:val="auto"/>
        </w:rPr>
      </w:pPr>
    </w:p>
    <w:p>
      <w:pPr>
        <w:jc w:val="both"/>
        <w:ind w:left="200" w:right="120" w:firstLine="443"/>
        <w:spacing w:after="0" w:line="302" w:lineRule="auto"/>
        <w:rPr>
          <w:sz w:val="20"/>
          <w:szCs w:val="20"/>
          <w:color w:val="auto"/>
        </w:rPr>
      </w:pPr>
      <w:r>
        <w:rPr>
          <w:rFonts w:ascii="Arial" w:cs="Arial" w:eastAsia="Arial" w:hAnsi="Arial"/>
          <w:sz w:val="16"/>
          <w:szCs w:val="16"/>
          <w:color w:val="auto"/>
        </w:rPr>
        <w:t>We were incorporated as a Swiss limited liability company (</w:t>
      </w:r>
      <w:r>
        <w:rPr>
          <w:rFonts w:ascii="Arial" w:cs="Arial" w:eastAsia="Arial" w:hAnsi="Arial"/>
          <w:sz w:val="16"/>
          <w:szCs w:val="16"/>
          <w:i w:val="1"/>
          <w:iCs w:val="1"/>
          <w:color w:val="auto"/>
        </w:rPr>
        <w:t>société à responsabilité limitée</w:t>
      </w:r>
      <w:r>
        <w:rPr>
          <w:rFonts w:ascii="Arial" w:cs="Arial" w:eastAsia="Arial" w:hAnsi="Arial"/>
          <w:sz w:val="16"/>
          <w:szCs w:val="16"/>
          <w:color w:val="auto"/>
        </w:rPr>
        <w:t>) on February 13, 2003 and transformed into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under the laws of Switzerland on August 25, 2003. Our principal executive offices are located at EPFL Innovation Park, Building B, 1015 Lausanne, Switzerland and our telephone number is +41 21 345 91 21. Our website is </w:t>
      </w:r>
      <w:r>
        <w:rPr>
          <w:rFonts w:ascii="Arial" w:cs="Arial" w:eastAsia="Arial" w:hAnsi="Arial"/>
          <w:sz w:val="16"/>
          <w:szCs w:val="16"/>
          <w:i w:val="1"/>
          <w:iCs w:val="1"/>
          <w:color w:val="auto"/>
        </w:rPr>
        <w:t>www.acimmune.com</w:t>
      </w:r>
      <w:r>
        <w:rPr>
          <w:rFonts w:ascii="Arial" w:cs="Arial" w:eastAsia="Arial" w:hAnsi="Arial"/>
          <w:sz w:val="16"/>
          <w:szCs w:val="16"/>
          <w:color w:val="auto"/>
        </w:rPr>
        <w:t>. Our website and the information contained therein or connected thereto are not incorporated into this prospectus or the registration statement of which it forms a part.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4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65474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reporting and other burdens that are otherwise applicable generally to public companies. These provisions include:</w:t>
      </w:r>
    </w:p>
    <w:p>
      <w:pPr>
        <w:spacing w:after="0" w:line="87" w:lineRule="exact"/>
        <w:rPr>
          <w:sz w:val="20"/>
          <w:szCs w:val="20"/>
          <w:color w:val="auto"/>
        </w:rPr>
      </w:pPr>
    </w:p>
    <w:p>
      <w:pPr>
        <w:ind w:left="1060" w:right="660" w:hanging="431"/>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in addition to any required interim financial statements and correspondingly reduced disclosure in the Management’s Discussion and Analysis of Financial Condition and Results of Operations disclosure in the registration statement of which this prospectus forms a part;</w:t>
      </w:r>
    </w:p>
    <w:p>
      <w:pPr>
        <w:spacing w:after="0" w:line="86" w:lineRule="exact"/>
        <w:rPr>
          <w:rFonts w:ascii="Arial" w:cs="Arial" w:eastAsia="Arial" w:hAnsi="Arial"/>
          <w:sz w:val="18"/>
          <w:szCs w:val="18"/>
          <w:color w:val="auto"/>
        </w:rPr>
      </w:pPr>
    </w:p>
    <w:p>
      <w:pPr>
        <w:ind w:left="1060" w:right="500" w:hanging="431"/>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Section 404 of the Sarbanes-Oxley Act of 2002; and</w:t>
      </w:r>
    </w:p>
    <w:p>
      <w:pPr>
        <w:spacing w:after="0" w:line="75" w:lineRule="exact"/>
        <w:rPr>
          <w:rFonts w:ascii="Arial" w:cs="Arial" w:eastAsia="Arial" w:hAnsi="Arial"/>
          <w:sz w:val="18"/>
          <w:szCs w:val="18"/>
          <w:color w:val="auto"/>
        </w:rPr>
      </w:pPr>
    </w:p>
    <w:p>
      <w:pPr>
        <w:ind w:left="1060" w:right="60" w:hanging="431"/>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8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We may take advantage of these provisions for up to five years or such earlier time that we are no longer an emerging growth company. We would cease to be an emerging growth company upon the earliest to occur of (i) the last day of the fiscal year in which we have more than $1.0 billion in annual revenue; (ii) the date we qualify as a “large accelerated filer,” with at least $700 million of equity securities held by non-affiliates; (iii) the issuance, in any three-year period, by our company of more than $1.0 billion in non-convertible debt securities; or (iv) the last day of the fiscal year ending after the fifth anniversary of this offering. We may choose to take advantage of some but not all of these reduced burdens. For example, Section 107 of the JOBS Act provides that an emerging growth company can use the extended transition period provided in Section 7(a)(2)(B) of the Securities Act of 1933, as amended, or the Securities Act, for complying with new or revised accounting standards. However, given that we currently report and expect to continue to report under International Financial Reporting Standards, or IFRS, as issued by the International Accounting Standards Board, or IASB, we have irrevocably elected not to avail ourselves of this extended transition period and, as a result, we will adopt new or revised accounting standards on the relevant dates on which adoption of such standards is required by the IASB.</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21" w:lineRule="exact"/>
        <w:rPr>
          <w:sz w:val="20"/>
          <w:szCs w:val="20"/>
          <w:color w:val="auto"/>
        </w:rPr>
      </w:pPr>
    </w:p>
    <w:p>
      <w:pPr>
        <w:ind w:left="200" w:right="240" w:firstLine="443"/>
        <w:spacing w:after="0" w:line="259" w:lineRule="auto"/>
        <w:rPr>
          <w:sz w:val="20"/>
          <w:szCs w:val="20"/>
          <w:color w:val="auto"/>
        </w:rPr>
      </w:pPr>
      <w:r>
        <w:rPr>
          <w:rFonts w:ascii="Arial" w:cs="Arial" w:eastAsia="Arial" w:hAnsi="Arial"/>
          <w:sz w:val="18"/>
          <w:szCs w:val="18"/>
          <w:color w:val="auto"/>
        </w:rPr>
        <w:t>We are also considered a “foreign private issuer.” Accordingly, upon consummation of this offering, we will report under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92" w:lineRule="exact"/>
        <w:rPr>
          <w:sz w:val="20"/>
          <w:szCs w:val="20"/>
          <w:color w:val="auto"/>
        </w:rPr>
      </w:pPr>
    </w:p>
    <w:p>
      <w:pPr>
        <w:ind w:left="1060" w:right="4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60" w:right="48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60" w:right="220" w:hanging="431"/>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w:t>
      </w:r>
    </w:p>
    <w:p>
      <w:pPr>
        <w:spacing w:after="0" w:line="181" w:lineRule="exact"/>
        <w:rPr>
          <w:sz w:val="20"/>
          <w:szCs w:val="20"/>
          <w:color w:val="auto"/>
        </w:rPr>
      </w:pPr>
    </w:p>
    <w:p>
      <w:pPr>
        <w:jc w:val="both"/>
        <w:ind w:left="200" w:right="500" w:firstLine="443"/>
        <w:spacing w:after="0" w:line="264" w:lineRule="auto"/>
        <w:rPr>
          <w:sz w:val="20"/>
          <w:szCs w:val="20"/>
          <w:color w:val="auto"/>
        </w:rPr>
      </w:pPr>
      <w:r>
        <w:rPr>
          <w:rFonts w:ascii="Arial" w:cs="Arial" w:eastAsia="Arial" w:hAnsi="Arial"/>
          <w:sz w:val="18"/>
          <w:szCs w:val="18"/>
          <w:color w:val="auto"/>
        </w:rPr>
        <w:t>Although as a foreign private issuer we will not be required to file periodic reports and financial statements with the SEC as frequently or as promptly as U.S. companies whose securities are registered under the Exchange Act, we intend to report our results of operations voluntarily on a quarterly basis.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517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25171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w:t>
      </w:r>
    </w:p>
    <w:p>
      <w:pPr>
        <w:ind w:left="420" w:hanging="223"/>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majority of our executive officers or directors are U.S. citizens or residents, (ii) more than 50% of our assets are located in the United States or</w:t>
      </w:r>
    </w:p>
    <w:p>
      <w:pPr>
        <w:spacing w:after="0" w:line="32" w:lineRule="exact"/>
        <w:rPr>
          <w:rFonts w:ascii="Arial" w:cs="Arial" w:eastAsia="Arial" w:hAnsi="Arial"/>
          <w:sz w:val="16"/>
          <w:szCs w:val="16"/>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is administered principally in the United States.</w:t>
      </w:r>
    </w:p>
    <w:p>
      <w:pPr>
        <w:spacing w:after="0" w:line="211" w:lineRule="exact"/>
        <w:rPr>
          <w:sz w:val="20"/>
          <w:szCs w:val="20"/>
          <w:color w:val="auto"/>
        </w:rPr>
      </w:pPr>
    </w:p>
    <w:p>
      <w:pPr>
        <w:jc w:val="both"/>
        <w:ind w:left="200" w:right="40" w:firstLine="443"/>
        <w:spacing w:after="0" w:line="264" w:lineRule="auto"/>
        <w:rPr>
          <w:sz w:val="20"/>
          <w:szCs w:val="20"/>
          <w:color w:val="auto"/>
        </w:rPr>
      </w:pPr>
      <w:r>
        <w:rPr>
          <w:rFonts w:ascii="Arial" w:cs="Arial" w:eastAsia="Arial" w:hAnsi="Arial"/>
          <w:sz w:val="18"/>
          <w:szCs w:val="18"/>
          <w:color w:val="auto"/>
        </w:rPr>
        <w:t>In this prospectus, we have taken advantage of certain of the reduced reporting requirements as a result of being an emerging growth company and a foreign private issuer. Accordingly, the information contained herein may be different than the information you receive from other public companies in which you hold equity securities.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Anti-Tau Antibody Phase 1 Milestone Payment</w:t>
      </w:r>
    </w:p>
    <w:p>
      <w:pPr>
        <w:spacing w:after="0" w:line="121" w:lineRule="exact"/>
        <w:rPr>
          <w:sz w:val="20"/>
          <w:szCs w:val="20"/>
          <w:color w:val="auto"/>
        </w:rPr>
      </w:pPr>
    </w:p>
    <w:p>
      <w:pPr>
        <w:ind w:left="200" w:firstLine="443"/>
        <w:spacing w:after="0" w:line="276" w:lineRule="auto"/>
        <w:rPr>
          <w:sz w:val="20"/>
          <w:szCs w:val="20"/>
          <w:color w:val="auto"/>
        </w:rPr>
      </w:pPr>
      <w:r>
        <w:rPr>
          <w:rFonts w:ascii="Arial" w:cs="Arial" w:eastAsia="Arial" w:hAnsi="Arial"/>
          <w:sz w:val="17"/>
          <w:szCs w:val="17"/>
          <w:color w:val="auto"/>
        </w:rPr>
        <w:t>In June 2016, Genentech, our collaboration partner, informed us that the first patient has been dosed in a Phase 1 clinical study for Alzheimer’s disease with an anti-tau monoclonal antibody, making us eligible to receive a milestone payment of CHF 14 million, which we received in July 2016 (the “Anti-Tau Antibody Phase 1 Milestone Payment”). For more information on our collaboration agreement with Genentech, see “Management’s Discussion and Analysis of Financial Condition and Results of Operations—Strategic Collaborations and Licensing Agreements—Anti-Tau Antibodies —Collaboration with Genentech” and “Business—License Agreements and Collaborations—Genentech.”</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360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43605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the information you should consider before investing in our common shares. You should carefully read this entire prospectus before investing in our common shares including “Risk Factors” and our financial statements.</w:t>
      </w:r>
    </w:p>
    <w:p>
      <w:pPr>
        <w:sectPr>
          <w:pgSz w:w="11900" w:h="16838" w:orient="portrait"/>
          <w:cols w:equalWidth="0" w:num="1">
            <w:col w:w="11240"/>
          </w:cols>
          <w:pgMar w:left="240" w:top="459" w:right="419" w:bottom="1440" w:gutter="0" w:footer="0" w:header="0"/>
        </w:sectPr>
      </w:pPr>
    </w:p>
    <w:p>
      <w:pPr>
        <w:spacing w:after="0" w:line="20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shares offered by us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6,000,000 shares.</w:t>
      </w:r>
    </w:p>
    <w:p>
      <w:pPr>
        <w:spacing w:after="0" w:line="21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9"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color w:val="auto"/>
        </w:rPr>
        <w:t>Common shares to be outstanding immediately 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55,396,042 shares.</w:t>
      </w:r>
    </w:p>
    <w:p>
      <w:pPr>
        <w:spacing w:after="0" w:line="505" w:lineRule="exact"/>
        <w:rPr>
          <w:sz w:val="20"/>
          <w:szCs w:val="20"/>
          <w:color w:val="auto"/>
        </w:rPr>
      </w:pPr>
    </w:p>
    <w:p>
      <w:pPr>
        <w:sectPr>
          <w:pgSz w:w="11900" w:h="16838" w:orient="portrait"/>
          <w:cols w:equalWidth="0" w:num="2">
            <w:col w:w="4280" w:space="120"/>
            <w:col w:w="6840"/>
          </w:cols>
          <w:pgMar w:left="240" w:top="459" w:right="419" w:bottom="1440" w:gutter="0" w:footer="0" w:header="0"/>
          <w:type w:val="continuous"/>
        </w:sectPr>
      </w:pPr>
    </w:p>
    <w:p>
      <w:pPr>
        <w:spacing w:after="0" w:line="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Over-allotment option</w:t>
      </w:r>
    </w:p>
    <w:p>
      <w:pPr>
        <w:spacing w:after="0" w:line="20" w:lineRule="exact"/>
        <w:rPr>
          <w:sz w:val="20"/>
          <w:szCs w:val="20"/>
          <w:color w:val="auto"/>
        </w:rPr>
      </w:pPr>
      <w:r>
        <w:rPr>
          <w:sz w:val="20"/>
          <w:szCs w:val="20"/>
          <w:color w:val="auto"/>
        </w:rPr>
        <w:br w:type="column"/>
      </w:r>
    </w:p>
    <w:p>
      <w:pPr>
        <w:ind w:right="80"/>
        <w:spacing w:after="0" w:line="342" w:lineRule="auto"/>
        <w:rPr>
          <w:sz w:val="20"/>
          <w:szCs w:val="20"/>
          <w:color w:val="auto"/>
        </w:rPr>
      </w:pPr>
      <w:r>
        <w:rPr>
          <w:rFonts w:ascii="Arial" w:cs="Arial" w:eastAsia="Arial" w:hAnsi="Arial"/>
          <w:sz w:val="16"/>
          <w:szCs w:val="16"/>
          <w:color w:val="auto"/>
        </w:rPr>
        <w:t>We have granted the underwriters the option to purchase up to an additional 900,000 common shares from us within 30 days of the date of this prospectus to cover over-allotments, if any.</w:t>
      </w:r>
    </w:p>
    <w:p>
      <w:pPr>
        <w:spacing w:after="0" w:line="15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We estimate that the net proceeds to us from this offering will be approximately $57.8 million, after deducting underwriting discounts and commissions and estimated offering expenses payable by us. We intend to use the net proceeds from this offering together with cash and cash equivalents on hand (including the Anti-Tau Antibody Phase 1 Milestone Payment) to further the development of our therapeutic product candidates under collaboration agreements (ACI-35 and anti-tau antibodies), advance our other clinical and pre-clinical programs, and for research and development of other indications and initiatives that are complementary to our existing and planned research activities. See “Use of Proceeds” for a more complete description of the intended use of proceeds from this offering.</w:t>
      </w:r>
    </w:p>
    <w:p>
      <w:pPr>
        <w:spacing w:after="0" w:line="194"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260"/>
        <w:spacing w:after="0" w:line="342" w:lineRule="auto"/>
        <w:rPr>
          <w:sz w:val="20"/>
          <w:szCs w:val="20"/>
          <w:color w:val="auto"/>
        </w:rPr>
      </w:pPr>
      <w:r>
        <w:rPr>
          <w:rFonts w:ascii="Arial" w:cs="Arial" w:eastAsia="Arial" w:hAnsi="Arial"/>
          <w:sz w:val="16"/>
          <w:szCs w:val="16"/>
          <w:color w:val="auto"/>
        </w:rPr>
        <w:t>See “Risk Factors” and the other information included in this prospectus for a discussion of factors you should consider before deciding to invest in our common shares.</w:t>
      </w:r>
    </w:p>
    <w:p>
      <w:pPr>
        <w:spacing w:after="0" w:line="15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“ACIU.”</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240" w:top="459" w:right="41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991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39916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color w:val="auto"/>
        </w:rPr>
        <w:t>The number of our common shares to be outstanding after this offering is based on 10,819,000 common shares outstanding as at August 31, 2016 and 38,577,042 additional common shares issuable upon the conversion of all of our preferred shares on a one-for-one basis upon the closing of this offering, but excludes:</w:t>
      </w:r>
    </w:p>
    <w:p>
      <w:pPr>
        <w:spacing w:after="0" w:line="87" w:lineRule="exact"/>
        <w:rPr>
          <w:sz w:val="20"/>
          <w:szCs w:val="20"/>
          <w:color w:val="auto"/>
        </w:rPr>
      </w:pPr>
    </w:p>
    <w:p>
      <w:pPr>
        <w:ind w:left="1060" w:right="160" w:hanging="431"/>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2,196,250 of our common shares issuable upon the exercise of vested and unvested options outstanding under our existing equity incentive plans at a weighted-average exercise price of CHF 0.14548 per common share; and</w:t>
      </w:r>
    </w:p>
    <w:p>
      <w:pPr>
        <w:spacing w:after="0" w:line="75" w:lineRule="exact"/>
        <w:rPr>
          <w:rFonts w:ascii="Arial" w:cs="Arial" w:eastAsia="Arial" w:hAnsi="Arial"/>
          <w:sz w:val="18"/>
          <w:szCs w:val="18"/>
          <w:color w:val="auto"/>
        </w:rPr>
      </w:pPr>
    </w:p>
    <w:p>
      <w:pPr>
        <w:jc w:val="both"/>
        <w:ind w:left="1060" w:right="20" w:hanging="431"/>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5,300,000 of our common shares issued to Credit Suisse AG, Zurich on May 25, 2016 (the “CS AG Share Issuance”), as described in Note 7 (Other current liabilities) of our unaudited interim condensed financial statements as of and for the six months ended June 30, 2016 and June 30, 2015 included elsewhere in this prospectus.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all information contained in this prospectus assumes:</w:t>
      </w:r>
    </w:p>
    <w:p>
      <w:pPr>
        <w:spacing w:after="0" w:line="131" w:lineRule="exact"/>
        <w:rPr>
          <w:sz w:val="20"/>
          <w:szCs w:val="20"/>
          <w:color w:val="auto"/>
        </w:rPr>
      </w:pPr>
    </w:p>
    <w:p>
      <w:pPr>
        <w:ind w:left="1060" w:right="440" w:hanging="431"/>
        <w:spacing w:after="0" w:line="308"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 issuance of any common shares reserved for future issuance under our new omnibus equity incentive plan or exercise of the options outstanding under our existing equity incentive plans, each as described in the immediately preceding paragraph; and</w:t>
      </w:r>
    </w:p>
    <w:p>
      <w:pPr>
        <w:spacing w:after="0" w:line="51" w:lineRule="exact"/>
        <w:rPr>
          <w:rFonts w:ascii="Arial" w:cs="Arial" w:eastAsia="Arial" w:hAnsi="Arial"/>
          <w:sz w:val="17"/>
          <w:szCs w:val="17"/>
          <w:color w:val="auto"/>
        </w:rPr>
      </w:pPr>
    </w:p>
    <w:p>
      <w:pPr>
        <w:ind w:left="1060" w:hanging="431"/>
        <w:spacing w:after="0" w:line="259"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conversion of all of our preferred shares (including the preferred shares issued in the Series E Private Placement Extension) into common shares on a one-for-one basis upon the closing of this offering and the filing and effectiveness of our amended and restated articles of association, resulting in a total of 49,396,042 common shares outstanding, and additional authorized share capital of 16,047,500 common shares at the closing of this offering.</w:t>
      </w:r>
    </w:p>
    <w:p>
      <w:pPr>
        <w:spacing w:after="0" w:line="187" w:lineRule="exact"/>
        <w:rPr>
          <w:sz w:val="20"/>
          <w:szCs w:val="20"/>
          <w:color w:val="auto"/>
        </w:rPr>
      </w:pPr>
    </w:p>
    <w:p>
      <w:pPr>
        <w:ind w:left="200" w:right="460" w:firstLine="443"/>
        <w:spacing w:after="0" w:line="286" w:lineRule="auto"/>
        <w:rPr>
          <w:sz w:val="20"/>
          <w:szCs w:val="20"/>
          <w:color w:val="auto"/>
        </w:rPr>
      </w:pPr>
      <w:r>
        <w:rPr>
          <w:rFonts w:ascii="Arial" w:cs="Arial" w:eastAsia="Arial" w:hAnsi="Arial"/>
          <w:sz w:val="17"/>
          <w:szCs w:val="17"/>
          <w:color w:val="auto"/>
        </w:rPr>
        <w:t>In addition, unless otherwise indicated, all information in this prospectus excludes the issuance of 5,300,000 of our common shares to Credit Suisse AG, Zurich in the CS AG Share Issuance, as described in Note 7 (Other current liabilities) of our unaudited interim condensed financial statements as of and for the six months ended June 30, 2016 and June 30, 2015 included elsewhere in this prospectus.</w:t>
      </w:r>
    </w:p>
    <w:p>
      <w:pPr>
        <w:spacing w:after="0" w:line="166"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Certain of our existing shareholders have agreed to purchase an aggregate of 1.9 million of the common shares being offered in this offering at the initial public offering price. The underwriters will receive the same underwriting discount on any common shares purchased by these investors as they will on any other common shares sold to the public in this offering.</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8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648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AND OTHER FINANCIAL INFORMATION</w:t>
      </w:r>
    </w:p>
    <w:p>
      <w:pPr>
        <w:spacing w:after="0" w:line="229"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The following summary historical financial information should be read in conjunction with “Selected Financial and Other Information,” “Management’s Discussion and Analysis of Financial Condition and Results of Operations” and our financial statements, including the notes thereto, included elsewhere in this prospectus. Our historical results are not necessarily indicative of the results that may be expected in the future and results of interim periods are not necessarily indicative of results for the entire year.</w:t>
      </w:r>
    </w:p>
    <w:p>
      <w:pPr>
        <w:spacing w:after="0" w:line="187" w:lineRule="exact"/>
        <w:rPr>
          <w:sz w:val="20"/>
          <w:szCs w:val="20"/>
          <w:color w:val="auto"/>
        </w:rPr>
      </w:pPr>
    </w:p>
    <w:p>
      <w:pPr>
        <w:ind w:left="200" w:right="20" w:firstLine="443"/>
        <w:spacing w:after="0" w:line="297" w:lineRule="auto"/>
        <w:rPr>
          <w:sz w:val="20"/>
          <w:szCs w:val="20"/>
          <w:color w:val="auto"/>
        </w:rPr>
      </w:pPr>
      <w:r>
        <w:rPr>
          <w:rFonts w:ascii="Arial" w:cs="Arial" w:eastAsia="Arial" w:hAnsi="Arial"/>
          <w:sz w:val="16"/>
          <w:szCs w:val="16"/>
          <w:color w:val="auto"/>
        </w:rPr>
        <w:t>The summary income statement data and balance sheet data for and as of the years ended December 31, 2015 and 2014 are derived from our audited financial statements included elsewhere in this prospectus. The financial data as at June 30, 2016 and for the six months ended June 30, 2016 and 2015 have been derived from our unaudited interim financial statements included elsewhere in this prospectus. The unaudited interim financial statements have been prepared on the same basis as our audited financial statements and include all normal recurring adjustments that we consider necessary for a fair statement of our financial position and operating results as of the dates and for the periods presented.</w:t>
      </w:r>
    </w:p>
    <w:p>
      <w:pPr>
        <w:spacing w:after="0" w:line="158"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We maintain our books and records in, and our audited financial statements and unaudited condensed interim financial statements are prepared and presented in accordance with IFRS in, CHF.</w:t>
      </w:r>
    </w:p>
    <w:p>
      <w:pPr>
        <w:spacing w:after="0" w:line="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For the Six Months Ended</w:t>
            </w: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’000 except for share and per share data)</w:t>
            </w:r>
          </w:p>
        </w:tc>
        <w:tc>
          <w:tcPr>
            <w:tcW w:w="1360" w:type="dxa"/>
            <w:vAlign w:val="bottom"/>
            <w:gridSpan w:val="3"/>
          </w:tcPr>
          <w:p>
            <w:pPr>
              <w:jc w:val="center"/>
              <w:ind w:left="734"/>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300" w:type="dxa"/>
            <w:vAlign w:val="bottom"/>
            <w:gridSpan w:val="2"/>
            <w:vMerge w:val="continue"/>
          </w:tcPr>
          <w:p>
            <w:pPr>
              <w:spacing w:after="0"/>
              <w:rPr>
                <w:sz w:val="12"/>
                <w:szCs w:val="12"/>
                <w:color w:val="auto"/>
              </w:rPr>
            </w:pPr>
          </w:p>
        </w:tc>
        <w:tc>
          <w:tcPr>
            <w:tcW w:w="9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1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Revenue</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20,451</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14,401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39,090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(11,018)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(17,049)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(2,750)</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(1,742)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(3,417)</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income/(loss)</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6,683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18,624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10,717</w:t>
            </w: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Finance result—net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1,646</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income/(loss) before tax</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6,774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20,270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23"/>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Income taxes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income/(loss) for the period</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6,774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20,270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Earnings per share in CHF (basic)</w:t>
            </w:r>
            <w:r>
              <w:rPr>
                <w:rFonts w:ascii="Arial" w:cs="Arial" w:eastAsia="Arial" w:hAnsi="Arial"/>
                <w:sz w:val="15"/>
                <w:szCs w:val="15"/>
                <w:color w:val="auto"/>
              </w:rPr>
              <w:t>(1)(2)</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0.47</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Earnings per share in CHF (fully diluted)</w:t>
            </w:r>
            <w:r>
              <w:rPr>
                <w:rFonts w:ascii="Arial" w:cs="Arial" w:eastAsia="Arial" w:hAnsi="Arial"/>
                <w:sz w:val="15"/>
                <w:szCs w:val="15"/>
                <w:color w:val="auto"/>
              </w:rPr>
              <w:t>(2)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w w:val="93"/>
              </w:rPr>
              <w:t>Weighted-average number of shares used to compute earnings per share basic</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47,209,976</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42,725,207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43,412,250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42,684,750</w:t>
            </w:r>
          </w:p>
        </w:tc>
        <w:tc>
          <w:tcPr>
            <w:tcW w:w="0" w:type="dxa"/>
            <w:vAlign w:val="bottom"/>
          </w:tcPr>
          <w:p>
            <w:pPr>
              <w:spacing w:after="0"/>
              <w:rPr>
                <w:sz w:val="1"/>
                <w:szCs w:val="1"/>
                <w:color w:val="auto"/>
              </w:rPr>
            </w:pPr>
          </w:p>
        </w:tc>
      </w:tr>
      <w:tr>
        <w:trPr>
          <w:trHeight w:val="202"/>
        </w:trPr>
        <w:tc>
          <w:tcPr>
            <w:tcW w:w="63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Weighted-average number of shares used to compute earnings per share fully</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49,101,623</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45,845,283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46,043,198</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45,552,500</w:t>
            </w:r>
          </w:p>
        </w:tc>
        <w:tc>
          <w:tcPr>
            <w:tcW w:w="0" w:type="dxa"/>
            <w:vAlign w:val="bottom"/>
          </w:tcPr>
          <w:p>
            <w:pPr>
              <w:spacing w:after="0"/>
              <w:rPr>
                <w:sz w:val="1"/>
                <w:szCs w:val="1"/>
                <w:color w:val="auto"/>
              </w:rPr>
            </w:pPr>
          </w:p>
        </w:tc>
      </w:tr>
      <w:tr>
        <w:trPr>
          <w:trHeight w:val="68"/>
        </w:trPr>
        <w:tc>
          <w:tcPr>
            <w:tcW w:w="1100" w:type="dxa"/>
            <w:vAlign w:val="bottom"/>
            <w:tcBorders>
              <w:bottom w:val="single" w:sz="8" w:color="auto"/>
            </w:tcBorders>
          </w:tcPr>
          <w:p>
            <w:pPr>
              <w:spacing w:after="0"/>
              <w:rPr>
                <w:sz w:val="5"/>
                <w:szCs w:val="5"/>
                <w:color w:val="auto"/>
              </w:rPr>
            </w:pPr>
          </w:p>
        </w:tc>
        <w:tc>
          <w:tcPr>
            <w:tcW w:w="5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20" w:right="20" w:hanging="423"/>
        <w:spacing w:after="0" w:line="258"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preferred shares outstanding as of the dates indicated, and these preferred shares will be converted on a one-for-one basis upon the closing of this offering.</w:t>
      </w:r>
    </w:p>
    <w:p>
      <w:pPr>
        <w:spacing w:after="0" w:line="1" w:lineRule="exact"/>
        <w:rPr>
          <w:rFonts w:ascii="Arial" w:cs="Arial" w:eastAsia="Arial" w:hAnsi="Arial"/>
          <w:sz w:val="18"/>
          <w:szCs w:val="18"/>
          <w:color w:val="auto"/>
        </w:rPr>
      </w:pPr>
    </w:p>
    <w:p>
      <w:pPr>
        <w:ind w:left="620" w:hanging="423"/>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per share calculations do not give effect to the CS AG Share Issuance.</w:t>
      </w:r>
    </w:p>
    <w:p>
      <w:pPr>
        <w:spacing w:after="0" w:line="6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22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As at June 30, 2016</w:t>
            </w:r>
          </w:p>
        </w:tc>
        <w:tc>
          <w:tcPr>
            <w:tcW w:w="0" w:type="dxa"/>
            <w:vAlign w:val="bottom"/>
          </w:tcPr>
          <w:p>
            <w:pPr>
              <w:spacing w:after="0"/>
              <w:rPr>
                <w:sz w:val="1"/>
                <w:szCs w:val="1"/>
                <w:color w:val="auto"/>
              </w:rPr>
            </w:pPr>
          </w:p>
        </w:tc>
      </w:tr>
      <w:tr>
        <w:trPr>
          <w:trHeight w:val="142"/>
        </w:trPr>
        <w:tc>
          <w:tcPr>
            <w:tcW w:w="7100" w:type="dxa"/>
            <w:vAlign w:val="bottom"/>
            <w:vMerge w:val="restart"/>
          </w:tcPr>
          <w:p>
            <w:pPr>
              <w:spacing w:after="0"/>
              <w:rPr>
                <w:sz w:val="20"/>
                <w:szCs w:val="20"/>
                <w:color w:val="auto"/>
              </w:rPr>
            </w:pPr>
            <w:r>
              <w:rPr>
                <w:rFonts w:ascii="Arial" w:cs="Arial" w:eastAsia="Arial" w:hAnsi="Arial"/>
                <w:sz w:val="14"/>
                <w:szCs w:val="14"/>
                <w:b w:val="1"/>
                <w:bCs w:val="1"/>
                <w:color w:val="auto"/>
              </w:rPr>
              <w:t>(in CHF ‘000)</w:t>
            </w:r>
          </w:p>
        </w:tc>
        <w:tc>
          <w:tcPr>
            <w:tcW w:w="96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Actual</w:t>
            </w:r>
          </w:p>
        </w:tc>
        <w:tc>
          <w:tcPr>
            <w:tcW w:w="114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00" w:type="dxa"/>
            <w:vAlign w:val="bottom"/>
            <w:vMerge w:val="continue"/>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Total assets</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103,282</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159,766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(33,825)</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(33,825)</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Total equity</w:t>
            </w:r>
          </w:p>
        </w:tc>
        <w:tc>
          <w:tcPr>
            <w:tcW w:w="640" w:type="dxa"/>
            <w:vAlign w:val="bottom"/>
          </w:tcPr>
          <w:p>
            <w:pPr>
              <w:jc w:val="right"/>
              <w:spacing w:after="0"/>
              <w:rPr>
                <w:sz w:val="20"/>
                <w:szCs w:val="20"/>
                <w:color w:val="auto"/>
              </w:rPr>
            </w:pPr>
            <w:r>
              <w:rPr>
                <w:rFonts w:ascii="Arial" w:cs="Arial" w:eastAsia="Arial" w:hAnsi="Arial"/>
                <w:sz w:val="18"/>
                <w:szCs w:val="18"/>
                <w:color w:val="auto"/>
              </w:rPr>
              <w:t>90,542</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147,026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equity and liabilities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103,282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050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1050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20" w:hanging="423"/>
        <w:spacing w:after="0" w:line="259"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adjusted balance sheet data gives effect to (i) our issuance and sale of 6,000,000 common shares in this offering, at the initial public offering price of $11.00 per common share, after deducting underwriting discounts and commissions and estimated offering expenses payable by us and (ii) our receipt in July 2016 of the Anti-Tau Antibody Phase 1 Milestone Payment described under “Prospectus Summary—Anti-Tau Antibody Phase 1 Milestone Payment.”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prospectus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40" w:right="100"/>
        <w:spacing w:after="0" w:line="259" w:lineRule="auto"/>
        <w:rPr>
          <w:sz w:val="20"/>
          <w:szCs w:val="20"/>
          <w:color w:val="auto"/>
        </w:rPr>
      </w:pPr>
      <w:r>
        <w:rPr>
          <w:rFonts w:ascii="Arial" w:cs="Arial" w:eastAsia="Arial" w:hAnsi="Arial"/>
          <w:sz w:val="18"/>
          <w:szCs w:val="18"/>
          <w:b w:val="1"/>
          <w:bCs w:val="1"/>
          <w:i w:val="1"/>
          <w:iCs w:val="1"/>
          <w:color w:val="auto"/>
        </w:rPr>
        <w:t>We depend heavily on the success of crenezumab, and, to a lesser extent, ACI-24, ACI-35 and our anti-tau antibody candidate, all of which are in clinical development. If our clinical studies are unsuccessful, we or our collaboration partner do not obtain regulatory approval or we are unable to commercialize crenezumab, ACI-24 for AD and ACI-35, or we experience significant delays in doing so, our business, financial condition and results of operations will be materially adversely affected.</w:t>
      </w:r>
    </w:p>
    <w:p>
      <w:pPr>
        <w:spacing w:after="0" w:line="7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currently have no products approved for sale and have invested a significant portion of our efforts and financial resources in the development of crenezumab, ACI-24, ACI-35 and our anti-tau antibody candidate, all of which are in clinical development. Our ability to generate product revenues, which we do not expect will occur for at least the next several years, if ever, will depend heavily on successful clinical development, obtaining regulatory approval and eventual commercialization of these product candidates. We currently generate no revenues from sales of any drugs, and we may never be able to develop or commercialize a marketable drug. The success of our current and future product candidates will depend on several factors, including the following:</w:t>
      </w:r>
    </w:p>
    <w:p>
      <w:pPr>
        <w:spacing w:after="0" w:line="64"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completing clinical studies that demonstrate the efficacy and safety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launching commercial sales, marketing and distribution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our product candidates by patients, the medical community and third-party payors;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competing effectively with other therapies; and</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qualifying for, obtaining, maintaining, enforcing and defending our intellectual property rights and claims and not infringing on third parties’ intellectual property rights.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or our collaboration partner do not achieve one or more of these factors in a timely manner or at all, we could experience significant delays or an inability to successfully commercialize our current or future product candidates, which would materially adversely affect our business, financial condition and results of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early clinical studies may not be predictive of future study results.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Positive or timely results from preclinical or early stage studies do not ensure positive or timely results in late stage clinical studies or product approval by the U.S. Food and Drug Administration, or the FDA, the European Medicines Agency, or the EMA, or comparable foreign regulatory authorities. Products that show positive preclinical or early clinical results may not show sufficient safety or efficacy in later stage clinical studies and therefore may fail to obtain regulatory approvals. For example, our collaboration partner Genentech may fail to achieve success in Phase 3 clinical studies of crenezumab. In addition, preclinical and clinical data are often susceptible to varying interpretations and analyses. Many companies that believed their product candidates performed satisfactorily in preclinical and clinical studies have nonetheless failed to obtain marketing approval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the product candidates. The FDA, the EMA and comparable foreign regulatory authorities have substantial discretion in the approval process and in determining when or whether regulatory approval will be obtained for any of our product candidates. Even if we believe the data collected from clinical studies of our product candidates are promising, such data may not be sufficient to support approval by the FDA, the EMA or any other regulatory authority.</w:t>
      </w:r>
    </w:p>
    <w:p>
      <w:pPr>
        <w:spacing w:after="0" w:line="14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some instances, there can be significant variability in safety and/or efficacy results between different studies of the same product candidate due to numerous factors, including changes in study procedures set forth in protocols, differences in the size and type of the patient populations, adherence to the dosing regimen and other study protocols and the rate of dropout among clinical study participants. In the case of our late stage clinical product candidates, results may differ in general on the basis of the larger number of clinical study sites and additional countries and languages involved in Phase 3 clinical studies.</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Clinical studies are, or will be, based on patient reported outcomes, some of which are or will be captured daily by study participants with electronic diaries. We have no assurance and cannot rely on past experience that the high frequency of questioning is not influencing the measured outcome. In addition, low compliance with daily reporting requirements may impact the studies’ validity or statistical power. We cannot assure you that any Phase 2, Phase 3 or other clinical studies that either we or our collaboration partners may conduct will demonstrate consistent or adequate efficacy and safety to obtain regulatory approval to market our product candidates.</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If we or our collaboration partners are required to conduct additional clinical studies or other testing of any of our current or future product candidates that we or our collaboration partners develop beyond the studies and testing that we or our collaboration partners contemplate, if we or our collaboration partners are unable to successfully complete clinical studies of our product candidates or other testing, if the results of these studies or tests are unfavorable or are only modestly favorable or if there are safety concerns associated with our current or future product candidates, we may:</w:t>
      </w:r>
    </w:p>
    <w:p>
      <w:pPr>
        <w:spacing w:after="0" w:line="77"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obtain marketing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significant safety warnings, including boxed warnings;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remove the product from the market after obtaining marketing approval.</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product development costs will also increase if we experience delays in testing or marketing approvals and we may be required to obtain additional funds to complete clinical studies. We cannot assure you that our clinical studies will begin as planned or be completed on schedule, if at all, or that we will not need to restructure our studies after they have begun. Significant clinical study delays also could shorten any periods during which we may have the exclusive right to commercialize our product candidates or allow our competitors to bring products to market before we do or shorten any periods during which we have the exclusive right to commercialize our product candidates, which may harm our business and results of operations. In addition, some of the factors that cause, or lead to, clinical study delays may ultimately lead to the denial of regulatory approval of our product candidates.</w:t>
      </w:r>
    </w:p>
    <w:p>
      <w:pPr>
        <w:spacing w:after="0" w:line="273" w:lineRule="exact"/>
        <w:rPr>
          <w:sz w:val="20"/>
          <w:szCs w:val="20"/>
          <w:color w:val="auto"/>
        </w:rPr>
      </w:pPr>
    </w:p>
    <w:p>
      <w:pPr>
        <w:ind w:left="240" w:right="600"/>
        <w:spacing w:after="0" w:line="277" w:lineRule="auto"/>
        <w:rPr>
          <w:sz w:val="20"/>
          <w:szCs w:val="20"/>
          <w:color w:val="auto"/>
        </w:rPr>
      </w:pPr>
      <w:r>
        <w:rPr>
          <w:rFonts w:ascii="Arial" w:cs="Arial" w:eastAsia="Arial" w:hAnsi="Arial"/>
          <w:sz w:val="18"/>
          <w:szCs w:val="18"/>
          <w:b w:val="1"/>
          <w:bCs w:val="1"/>
          <w:i w:val="1"/>
          <w:iCs w:val="1"/>
          <w:color w:val="auto"/>
        </w:rPr>
        <w:t>Additional competitors could enter the market with generic versions of our products, which may result in a material decline in sales of affected products.</w:t>
      </w:r>
    </w:p>
    <w:p>
      <w:pPr>
        <w:spacing w:after="0" w:line="62"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Under the Drug Price Competition and Patent Term Restoration Act of 1984, or the Hatch-Waxman Act, a pharmaceutical manufacturer may file an abbreviated new drug application, or ANDA, seeking approval of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generic copy of an approved innovator product. Under the Hatch-Waxman Act, a manufacturer may also submit a new drug application, or NDA, under section 505(b)(2) that references the FDA’s prior approval of the innovator product. A 505(b)(2) NDA product may be for a new or improved version of the original innovator product. Hatch-Waxman also provides for certain periods of regulatory exclusivity, which preclude FDA approval (or in some circumstances, FDA filing and reviewing) of an ANDA or 505(b)(2) NDA.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protect its patents, approval of the ANDA is stayed for 30 months, or as lengthened or shortened by the court.</w:t>
      </w:r>
    </w:p>
    <w:p>
      <w:pPr>
        <w:spacing w:after="0" w:line="1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Accordingly, if crenezumab, ACI-24, ACI-35 and our anti-tau antibody candidate are approved, competitors could file ANDAs for generic versions of crenezumab, ACI-24 and ACI-35, or 505(b)(2) NDAs that reference crenezumab, ACI-24, ACI-35 or our anti-tau antibody candidate, respectively. If there are patents listed for crenezumab, ACI-24 and ACI-35 in the Orange Book, those ANDAs and 505(b)(2) NDAs would be required to include a certification as to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93"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One of our collaboration partners is evaluating a product candidate in the same indication as our lead product candidate crenezumab.</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collaboration partner Genentech is a subsidiary of Roche, which is evaluating gantenerumab, a product candidate for the same indication as our lead product candidate crenezumab. Our collaboration agreement with Genentech for crenezumab provides Genentech with control over, and responsibility for, the clinical development process, including obtaining regulatory and marketing approvals, manufacturing costs and sales and marketing costs. In addition, the collaboration agreement provides that Genentech may terminate the agreement at any time by providing three months’ notice to us. As a result, Roche may choose to devote more time and resources to advancing gantenerumab instead of crenezumab, which could render crenezumab non-competitive and limit or make it more difficult for us to achieve or maintain profitability with crenezumab. Should this occur, our business, financial condition and results of operations could be materially impacted.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and reimbursement levels and pricing policies.</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successful commercialization of our product candidates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 evidence of favorable clinical outcomes and cost-effectiveness before extending coverage. In light of such challenges to prices and increasing levels of evidence of the benefits and clinical outcomes of new technologies, we cannot be sure that coverage will be available for any of our current or future product candidates that we commercialize and, if available, that the reimbursement rates will be adequate. If we are unable to obtain adequate levels of coverage and reimbursement for our product candidates, their marketability will be negatively and materially impacted.</w:t>
      </w:r>
    </w:p>
    <w:p>
      <w:pPr>
        <w:spacing w:after="0" w:line="178"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Third party payors may deny coverage and reimbursement status altogether of a given drug product, or cover the product but may also establish prices at levels that are too low to enable us to realize an appropriate return on our investment in product development. Because the rules and regulations regarding coverage and reimbursement change frequently, in some cases at short notice, even when there is favorable coverage and reimbursement, future changes may occur that adversely impact the favorable status. Further, the net reimbursement for drug products may be subject to additional reductions if there are changes to laws that presently restrict imports of drugs from countries where they may be sold at lower prices than in the United States.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unavailability or inadequacy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295"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Our products may not gain market acceptance, in which case we may not be able to generate product revenues, which will materially adversely affect our business, financial condition and results of operations.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Even if the FDA, the EMA or other regulatory authority approves the marketing of any product candidates that we develop, physicians, healthcare providers, patients or the medical community may not accept or use them. Efforts to educate the medical community and third-party payors on the benefits of our product candidates may require significant resources and may not be successful. If any of our current or future product candidates does not achieve an adequate level of acceptance, we may not generate significant product revenues or any profits from operations. The degree of market acceptance of our product candidates that are approved for commercial sale will depend on a variety of factors, including:</w:t>
      </w:r>
    </w:p>
    <w:p>
      <w:pPr>
        <w:spacing w:after="0" w:line="78"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how clinicians and potential patients perceive our novel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patient diagnostics and screening infrastructure in each market;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coverage, reimbursement and adequate payment from health maintenance organizations and other third-party payors, both public and private;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not to be large enough to allow us to generate significant revenues.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the potential market opportunity of our product candidates is difficult to precisely estimate. Our estimates of the potential market opportunity are predicated on several key assumptions such as industry knowledge and publications, third-party research reports and other surveys. These assumptions involve the exercise of significant judgment on the part of our management, are inherently uncertain and the reasonableness of these assumptions could not have been assessed by an independent source in every detail. If any of the assumptions proves to be inaccurate, then the actual market for our product candidates could be smaller than our estimates of the potential market opportunity. If the actual market for our product candidates is smaller than we expect, or if any approved products fail to achieve an adequate level of acceptance by physicians, health care payors and patients, our product revenue may be limited and it may be more difficult for us to achieve or maintain profitability.</w:t>
      </w:r>
    </w:p>
    <w:p>
      <w:pPr>
        <w:spacing w:after="0" w:line="286"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studies for our product candidates. If we are unable to enroll patients in our clinical studies, our research and development efforts could be materially adversely affected.</w:t>
      </w:r>
    </w:p>
    <w:p>
      <w:pPr>
        <w:spacing w:after="0" w:line="6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Successful and timely completion of clinical studies will require that we enroll a sufficient number of patient candidates. Studies may be subject to delays as a result of patient enrollment taking longer than anticipated or patient withdrawal. Patient enrollment depends on many factors, including the size and nature of the patient population, eligibility criteria for the study, the proximity of patients to clinical sites, the design of the clinical protocol, the availability of competing clinical studies, the availability of new drugs approved for the indication the clinical study is investigating, and clinicians’ and patients’ perceptions as to the potential advantages of the drug being studied in relation to other available therapies. In the Phase 3 clinical studies of crenezumab, our collaboration partner Genentech will seek to enroll patients in the early stages of AD and it may be unable to successfully identify an adequate number of eligible patients.</w:t>
      </w:r>
    </w:p>
    <w:p>
      <w:pPr>
        <w:spacing w:after="0" w:line="18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specific target population of patients and therapeutic time windows may make it difficult for us to enroll enough patients to complete our clinical studies in a timely and cost-effective manner. Delays in the completion of any clinical study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studies may also ultimately lead to the denial of regulatory approval of our product candidates.</w:t>
      </w:r>
    </w:p>
    <w:p>
      <w:pPr>
        <w:spacing w:after="0" w:line="296" w:lineRule="exact"/>
        <w:rPr>
          <w:sz w:val="20"/>
          <w:szCs w:val="20"/>
          <w:color w:val="auto"/>
        </w:rPr>
      </w:pPr>
    </w:p>
    <w:p>
      <w:pPr>
        <w:ind w:left="240" w:right="60"/>
        <w:spacing w:after="0" w:line="286" w:lineRule="auto"/>
        <w:rPr>
          <w:sz w:val="20"/>
          <w:szCs w:val="20"/>
          <w:color w:val="auto"/>
        </w:rPr>
      </w:pPr>
      <w:r>
        <w:rPr>
          <w:rFonts w:ascii="Arial" w:cs="Arial" w:eastAsia="Arial" w:hAnsi="Arial"/>
          <w:sz w:val="17"/>
          <w:szCs w:val="17"/>
          <w:b w:val="1"/>
          <w:bCs w:val="1"/>
          <w:i w:val="1"/>
          <w:iCs w:val="1"/>
          <w:color w:val="auto"/>
        </w:rPr>
        <w:t>If serious adverse, undesirable or unacceptable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5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If our product candidates are associated with serious adverse, undesirable or unacceptable side effects, we may need to abandon their development or limit development to certain uses or sub-populations in which such side effects are less prevalent, less severe or more acceptable from a risk-benefit perspective. Many compounds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that initially showed promise in preclinical or early stage testing have later been found to cause side effects that restricted their use and prevented further development of the compound for larger indications.</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 In addition, adverse events identified in the clinical studies of crenezumab initiated to date have included inflammation of the throat and nasal passages, urinary tract infections and upper respiratory infections. In addition, five serious adverse events were observed in three patients during clinical studies of ACI-35, although we believe that these serious adverse events were not related to the treatment. Acute pyelonephritis, or kidney infection, and dizziness were observed in one patient and sick sinus syndrome was reported for a second patient, and these were labeled as possibly related due to the close timing proximity with the last administration of ACI-35. In the third patient, urosepsis, or blood poisoning, and pyelonephritis were described and classified as unlikely related to the drug. A relationship between these serious adverse effects and ACI-35 cannot be ruled out, however. Non-drug related serious adverse effects observed during clinical studies of ACI-24 were acute chest pain, death due to Alzheimer’s disease or myocardial infarction (heart attack), colonic cancer, wound infections and pneumonia. Occurrence of serious procedure-or treatment-related side effects could impede clinical study enrollment and receipt of marketing approval from the FDA, the EMA and comparable foreign regulatory authorities. Adverse events could also adversely affect physician or patient acceptance of our product candidates.</w:t>
      </w:r>
    </w:p>
    <w:p>
      <w:pPr>
        <w:spacing w:after="0" w:line="16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7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to take any approved products off the market;</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studies or change the labeling of the product;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limitations in how we promote the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79"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biopharmaceutical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fully integrated pharmaceutical companies, specialty pharmaceutical companies and biopharmaceutical</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companies, academic institutions, government agencies and other private and public research institutions in Europe, the United States and other jurisdictions.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66" w:lineRule="exact"/>
        <w:rPr>
          <w:sz w:val="20"/>
          <w:szCs w:val="20"/>
          <w:color w:val="auto"/>
        </w:rPr>
      </w:pPr>
    </w:p>
    <w:p>
      <w:pPr>
        <w:ind w:right="920" w:firstLine="456"/>
        <w:spacing w:after="0" w:line="264" w:lineRule="auto"/>
        <w:rPr>
          <w:sz w:val="20"/>
          <w:szCs w:val="20"/>
          <w:color w:val="auto"/>
        </w:rPr>
      </w:pPr>
      <w:r>
        <w:rPr>
          <w:rFonts w:ascii="Arial" w:cs="Arial" w:eastAsia="Arial" w:hAnsi="Arial"/>
          <w:sz w:val="18"/>
          <w:szCs w:val="18"/>
          <w:color w:val="auto"/>
        </w:rPr>
        <w:t>We believe that our key competitor product candidates are (i) aducanumab (Biogen), solanezumab (Eli Lilly), gantenerumab (Roche) and bapineuzumab (Elan, Pfizer and Johnson &amp; Johnson) for crenezumab; (ii) CAD-106 (Novartis) and ABvac 40 (Araclon Biotech) for ACI-24; and (iii) AADVAC1 (Axon Neurosciences) for ACI-35, as described under “Business—Competition.”</w:t>
      </w:r>
    </w:p>
    <w:p>
      <w:pPr>
        <w:spacing w:after="0" w:line="18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highly competitive nature of and rapid technological changes in the biotechnology and pharmaceutical industries could render our product candidates or our technology obsolete or non-competitive. Our competitors may, among other things:</w:t>
      </w:r>
    </w:p>
    <w:p>
      <w:pPr>
        <w:spacing w:after="0" w:line="7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and commercialize products that are safer, more effective, less expensive, or more convenient or easier to administer;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quicker regulatory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superior intellectual property and proprietary positions;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access to more manufacturing capacity;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Should any of these occur, our business, financial condition and results of operations could be materially adversely affected.</w:t>
      </w:r>
    </w:p>
    <w:p>
      <w:pPr>
        <w:spacing w:after="0" w:line="333" w:lineRule="exact"/>
        <w:rPr>
          <w:sz w:val="20"/>
          <w:szCs w:val="20"/>
          <w:color w:val="auto"/>
        </w:rPr>
      </w:pPr>
    </w:p>
    <w:p>
      <w:pPr>
        <w:ind w:left="240" w:right="32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Morphomer and SupraAntigen proprietary technology platforms to build additional product candidates for our pipeline.</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key element of our strategy is to use and expand our Morphomer and SupraAntigen proprietary technology platforms to create unique drug therapies for conformational diseases, such as AD, and progress these product candidates through clinical development. Although our research and development efforts to date have resulted in a pipeline of product candidates, we may not be able to develop product candidates that are safe and effective. Even if we are successful in continuing to build our pipelines,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revenues in future periods, which could result in significant harm to our financial position and adversely affect the price of our common shares.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Our business is subject to risks associated with conducting business internationally. We and a number of our suppliers and collaborative and clinical study relationships are located outside the United States. Accordingly, our future results could be harmed by a variety of factors, including:</w:t>
      </w:r>
    </w:p>
    <w:p>
      <w:pPr>
        <w:spacing w:after="0" w:line="5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non-U.S.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have no history of commercializing pharmaceutical products, which may make it difficult to evaluate the prospects for our future viability.</w:t>
      </w:r>
    </w:p>
    <w:p>
      <w:pPr>
        <w:spacing w:after="0" w:line="14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began our operations in 2003. Our operations to date have been limited to financing and staffing our company, developing our technology and developing crenezumab and our other product candidates. We have not yet demonstrated an ability successfully to complete a large-scale, pivotal clinical study,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interruptions could delay us in the process of developing our product candidates.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Loss of our laboratory facilities through fire or other causes could have an adverse effect on our ability to continue to conduct our business. We currently have insurance coverage to compensate us for such business interruptions; however, such coverage may prove insufficient to fully compensate us for the damage to our business resulting from any significant property or casualty loss to our facilities.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117" w:lineRule="exact"/>
        <w:rPr>
          <w:sz w:val="20"/>
          <w:szCs w:val="20"/>
          <w:color w:val="auto"/>
        </w:rPr>
      </w:pPr>
    </w:p>
    <w:p>
      <w:pPr>
        <w:jc w:val="both"/>
        <w:ind w:right="420" w:firstLine="456"/>
        <w:spacing w:after="0" w:line="312" w:lineRule="auto"/>
        <w:rPr>
          <w:sz w:val="20"/>
          <w:szCs w:val="20"/>
          <w:color w:val="auto"/>
        </w:rPr>
      </w:pPr>
      <w:r>
        <w:rPr>
          <w:rFonts w:ascii="Arial" w:cs="Arial" w:eastAsia="Arial" w:hAnsi="Arial"/>
          <w:sz w:val="16"/>
          <w:szCs w:val="16"/>
          <w:color w:val="auto"/>
        </w:rPr>
        <w:t>Our success depends upon the continued contributions of our key management, scientific and technical personnel, many of whom have substantial experience with or been instrumental for us and our projects. Members of our key management include Dr. Andrea Pfeifer, our Chief Executive Officer; Dr. Andreas Muhs, our Chief Scientific Officer; George Pavey, our Chief Financial Officer; and Jean-Fabien Monin, our Chief Administrative Officer.</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loss of our key managers and senior scientists could delay our research and development activities. Laws and regulations on executive compensation, including legislation in our home country, Switzerland, may restrict our ability to attract, motivate and retain the required level of qualified personnel. In Switzerland, new legislation affecting public companies has been passed that, among other things, (i) imposes an annual binding shareholders’ “say on pay” vote with respect to the compensation of executive management, including executive officers and the board of directors; (ii) prohibits severance, advances, transaction premiums and similar payments to executive officers and directors; and (iii) requires companies to specify various compensation-related matters in their articles of association, thus requiring them to be approved by a shareholders’ vote. In addition, the competition for qualified personnel in the biopharmaceutical and pharmaceutical field is intense, and our future success depends upon our ability to attract, retain and motivate highly-skilled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business strategy, which could have a material adverse effect on our business.</w:t>
      </w:r>
    </w:p>
    <w:p>
      <w:pPr>
        <w:spacing w:after="0" w:line="286"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62"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We expect to experience growth in the number of our employees and the scope of our operations.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1" w:lineRule="exact"/>
        <w:rPr>
          <w:sz w:val="20"/>
          <w:szCs w:val="20"/>
          <w:color w:val="auto"/>
        </w:rPr>
      </w:pPr>
    </w:p>
    <w:p>
      <w:pPr>
        <w:ind w:left="240" w:right="22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our current and future use of product candidates in clinical studies, and the sale of any approved products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Although the clinical study process is designed to identify and assess potential side effects, it is always possible that a drug, even after regulatory approval, may exhibit unforeseen side effects. If any of our product candidates were to cause adverse side effects during clinical studies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purchase liability insurance in connection with the clinical studies that we undertake in amounts that we consider to be consistent with industry norms.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 events described above occur, this could have a material adverse effect on our business, financial condition and results of operations.</w:t>
      </w:r>
    </w:p>
    <w:p>
      <w:pPr>
        <w:spacing w:after="0" w:line="356" w:lineRule="exact"/>
        <w:rPr>
          <w:sz w:val="20"/>
          <w:szCs w:val="20"/>
          <w:color w:val="auto"/>
        </w:rPr>
      </w:pPr>
    </w:p>
    <w:p>
      <w:pPr>
        <w:ind w:left="240" w:right="120"/>
        <w:spacing w:after="0" w:line="264" w:lineRule="auto"/>
        <w:rPr>
          <w:sz w:val="20"/>
          <w:szCs w:val="20"/>
          <w:color w:val="auto"/>
        </w:rPr>
      </w:pPr>
      <w:r>
        <w:rPr>
          <w:rFonts w:ascii="Arial" w:cs="Arial" w:eastAsia="Arial" w:hAnsi="Arial"/>
          <w:sz w:val="18"/>
          <w:szCs w:val="18"/>
          <w:b w:val="1"/>
          <w:bCs w:val="1"/>
          <w:i w:val="1"/>
          <w:iCs w:val="1"/>
          <w:color w:val="auto"/>
        </w:rPr>
        <w:t>We may seek to obtain orphan drug designation for certain of our product candidates. Orphan drug designation may not ensure that we will enjoy market exclusivity in a particular market, and if we fail to obtain or maintain orphan drug exclusivity for such product candidates, we may be subject to earlier competition and our potential revenue will be reduced.</w:t>
      </w:r>
    </w:p>
    <w:p>
      <w:pPr>
        <w:spacing w:after="0" w:line="73"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Under the Orphan Drug Act, the FDA may designate a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or COMP, grants orphan drug designation to promote the development of products that are intended for the diagnosis, prevention, or treatment of a life-threatening or chronically debilitating condition affecting not more than five in 10,000 persons in the European Union. Additionally, designation is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18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European Union,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9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not be able to obtain orphan drug designation for any of our product candidates, and even if we do, we may not be the first to obtain marketing approval for any particular orphan indication due to the uncertainties associated with developing pharmaceutical products. Further, even if we obtain orphan drug designation for a product, that exclusivity may not effectively protect the product from competition because different drugs with different active moieties can be approved for the same condition. Orphan drug designation neither shortens the development time or regulatory review time of a drug nor gives the drug any advantage in the regulatory review or approval process.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Due to our limited resources and access to capital, we must prioritize development of certain product candidates.</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Because we have limited resources and access to capital to fund our operations, we must decide which product candidates to pursue and the amount of resources to allocate to each. As such, we are currently primarily focused on the development of ACI-24 and ACI-35 for the treatment of AD.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neurological disorders, our business, financial condition and results of operations could be materially adversely affected.</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studies in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information technology systems could face serious disruptions that could adversely affect our business.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Our information technology and other internal infrastructure systems, including corporate firewalls, servers, leased lines and connection to the internet, face the risk of systemic failure that could disrupt our operations. A significant disruption in the availability of our information technology and other internal infrastructure systems could cause interruptions in our collaborations with our partners and delays in our research and development work. The loss of product development or clinical study data could result in delays in our regulatory approval efforts and significantly increase our costs. To the extent that any disruption or security breach were to result in a loss of, or damage to, our data or applications, or inappropriate disclosure of confidential or proprietary information, we could incur liability and our development programs and the development of our product candidates could be delayed.</w:t>
      </w:r>
    </w:p>
    <w:p>
      <w:pPr>
        <w:spacing w:after="0" w:line="273" w:lineRule="exact"/>
        <w:rPr>
          <w:sz w:val="20"/>
          <w:szCs w:val="20"/>
          <w:color w:val="auto"/>
        </w:rPr>
      </w:pPr>
    </w:p>
    <w:p>
      <w:pPr>
        <w:ind w:left="240" w:right="108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partners.</w:t>
      </w:r>
    </w:p>
    <w:p>
      <w:pPr>
        <w:spacing w:after="0" w:line="62"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never commercialized a product candidate, and we currently have no sales force, marketing or distribution capabilities. To achieve commercial success for our product candidates, we will have to develop our own sales, marketing and supply organization or outsource these activities to a third party.</w:t>
      </w:r>
    </w:p>
    <w:p>
      <w:pPr>
        <w:spacing w:after="0" w:line="12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drug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121"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If we fail to maintain our current strategic relationships with Genentech, Janssen, Piramal and other of our current or future strategic partners, our business, commercialization prospects and financial condition may be materially adversely affected.</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two partnerships with Genentech. In 2006, we granted Genentech an exclusive, worldwide license for crenezumab. In 2012, we entered into a second partnership to commercialize our anti-tau antibodies for use as immunotherapies. We partner with Janssen to develop and commercialize therapeutic anti-tau vaccines for the treatment of AD and potentially other tauopathies. We also have a diagnostic partnership with Piramal Imaging for a compound from our Morphomer chemical library that binds pathogenic tau for use as a positron emission tomography, or PET, tracer. Genentech has the right to terminate its agreements with us at any time and for any reason upon providing us with a certain notice period. After a specified amount of time, Janssen and Piramal will also each have the right to terminate their agreements with us for any reason upon providing us with a certain notice period. If Genentech, Janssen, Piramal or other of our current or future strategic partners terminates its agreement with us at any time, it could delay or prevent development of our product candidates and materially harm our business, financial condition, commercialization prospects and results of operations.</w:t>
      </w:r>
    </w:p>
    <w:p>
      <w:pPr>
        <w:spacing w:after="0" w:line="166"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Good relationships with Genentech, Janssen, Piramal and other of our current or future strategic partners are important for our business prospects. If our relationships with Genentech, Janssen, Piramal or other of our current or future strategic partners were to deteriorate substantially or Genentech, Janssen, Piramal or other of our current or future strategic partners were to challenge our use of their intellectual property or our calculations of the payments we owe under our agreements, our business, financial condition, commercialization prospects and results of operations could be materially adversely affected.</w:t>
      </w:r>
    </w:p>
    <w:p>
      <w:pPr>
        <w:spacing w:after="0" w:line="154"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Lastly, our collaboration agreement with Genentech for crenezumab provides Genentech with control over, and responsibility for, the clinical development process, including obtaining regulatory and marketing approvals, manufacturing costs and sales and marketing costs. Our other existing collaboration agreements provide our collaboration partners with similar control over the clinical development process and future collaboration agreements may also relinquish development control to our partners. Genentech or our other current or future collaboration partners may separately pursue competing products, therapeutic approaches or technologies to develop treatments for the diseases targeted by us or our collaborative efforts. Even if our partners continue their contributions to the collaborative agreements to which we are a party, they may nevertheless determine not to actively pursue the development or commercialization of any resulting products. Our partners may also fail to perform their obligations under the collaboration agreements or may be slow in performing their obligations. Any of these circumstances could result in a material adverse impact on our business, financial condition, commercialization prospectus or results of operations.</w:t>
      </w:r>
    </w:p>
    <w:p>
      <w:pPr>
        <w:spacing w:after="0" w:line="290" w:lineRule="exact"/>
        <w:rPr>
          <w:sz w:val="20"/>
          <w:szCs w:val="20"/>
          <w:color w:val="auto"/>
        </w:rPr>
      </w:pPr>
    </w:p>
    <w:p>
      <w:pPr>
        <w:ind w:left="240" w:right="280"/>
        <w:spacing w:after="0" w:line="342" w:lineRule="auto"/>
        <w:rPr>
          <w:sz w:val="20"/>
          <w:szCs w:val="20"/>
          <w:color w:val="auto"/>
        </w:rPr>
      </w:pPr>
      <w:r>
        <w:rPr>
          <w:rFonts w:ascii="Arial" w:cs="Arial" w:eastAsia="Arial" w:hAnsi="Arial"/>
          <w:sz w:val="16"/>
          <w:szCs w:val="16"/>
          <w:b w:val="1"/>
          <w:bCs w:val="1"/>
          <w:i w:val="1"/>
          <w:iCs w:val="1"/>
          <w:color w:val="auto"/>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product development programs and the potential commercialization of our product candidates will require substantial additional cash to fund expenses and may require expertise, such as sales and marketing expertise, which we do not currently possess. Therefore, in addition to our relationships with Genentech, Janssen and Piramal, we may decide to enter into strategic alliances, or create joint ventures or collaborations with pharmaceutical or biopharmaceutical companies for the further development and potential commercialization of those and other of our product candidates.</w:t>
      </w:r>
    </w:p>
    <w:p>
      <w:pPr>
        <w:spacing w:after="0" w:line="154"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face significant competition in seeking appropriate collaborators. Collaborations are complex and time-consuming to negotiate and document. Any delays in entering into new strategic partnership agreements related to our product candidates could delay the development and commercialization of our product candidates and reduce their competitiveness even if they reach the market. We may also be restricted under existing and future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collaboration agreements from entering into strategic partnerships or collaboration agreements on certain terms with other potential collaborators. We may not be able to negotiate collaborations on acceptable terms, or at all, for any of our existing or future product candidates and programs because the potential partner may consider that our research and development pipeline is insufficiently developed to justify a collaborative effort, or that our product candidates and programs do not have the requisite potential to demonstrate safety and efficacy in the target population. If we are unsuccessful in establishing and maintaining a collaboration with respect to a particular product candidate, we may have to curtail the development of that product candidate, reduce the scope of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for which we have not budgeted.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Even if we are successful in establishing a new strategic partnership or entering into a collaboration agreement, we cannot be certain that, following such a strategic transaction or license, we will be able to progress the development and commercialization of the applicable product candidates as envisaged, or that we will achieve the revenues that would justify such transaction, and we could be subject to the following risks, each of which may materially harm our business, commercialization prospects and financial condition:</w:t>
      </w:r>
    </w:p>
    <w:p>
      <w:pPr>
        <w:spacing w:after="0" w:line="80"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not be able to control the amount and timing of resources that the collaboration partner devotes to the product development program;</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collaboration partner may experience financial difficulties;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grant or otherwise relinquish important rights such as marketing, distribution and intellectual property rights;</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collaboration partner could move forward with a competing product developed either independently or in collaboration with third parties, including our competitors;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collaboration partner’s business strategy may adversely affect our willingness to complete our obligations under any arrangement.</w:t>
      </w:r>
    </w:p>
    <w:p>
      <w:pPr>
        <w:spacing w:after="0" w:line="279" w:lineRule="exact"/>
        <w:rPr>
          <w:sz w:val="20"/>
          <w:szCs w:val="20"/>
          <w:color w:val="auto"/>
        </w:rPr>
      </w:pPr>
    </w:p>
    <w:p>
      <w:pPr>
        <w:ind w:left="240" w:right="8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relied upon and plan to continue to rely upon third-party clinical research organizations, or CROs, to monitor and manage data for our ongoing nonclinical and clinical programs, including the clinical studies of our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good manufacturing practices, or cGMP, current good clinical practice, or cGCP, and Good Laboratory Practice, or GLP, which are regulations and guidelines enforced by the FDA, the Competent Authorities of the Member States of the European Union and comparable foreign regulatory authorities for all of our product candidates in nonclinical and clinical development. Regulatory authorities enforce these regulations through periodic inspections of study sponsors, principal investigators, study sites and other contractors. If we or any of our CROs or vendors fail to comply with applicable regulations, the data generated in our nonclinical and clinical studies may be deemed unreliable and the EMA, FDA, other regulatory authorities may require us to perform additional nonclinical and clinical studies before approving our marketing applications. We cannot assure you that upon inspection by a given regulatory authority, such regulatory authority will determine that all of our clinical studies comply with cGCP regulations. In addition, our clinical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studies must be conducted with products produced under cGMP regulations. Our failure to comply with these regulations may require us to repeat clinical studies, which would delay the regulatory approval process.</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any of our relationships with these third-party CROs terminates,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7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280" w:lineRule="exact"/>
        <w:rPr>
          <w:sz w:val="20"/>
          <w:szCs w:val="20"/>
          <w:color w:val="auto"/>
        </w:rPr>
      </w:pPr>
    </w:p>
    <w:p>
      <w:pPr>
        <w:ind w:left="240" w:right="180"/>
        <w:spacing w:after="0" w:line="308" w:lineRule="auto"/>
        <w:rPr>
          <w:sz w:val="20"/>
          <w:szCs w:val="20"/>
          <w:color w:val="auto"/>
        </w:rPr>
      </w:pPr>
      <w:r>
        <w:rPr>
          <w:rFonts w:ascii="Arial" w:cs="Arial" w:eastAsia="Arial" w:hAnsi="Arial"/>
          <w:sz w:val="17"/>
          <w:szCs w:val="17"/>
          <w:b w:val="1"/>
          <w:bCs w:val="1"/>
          <w:i w:val="1"/>
          <w:iCs w:val="1"/>
          <w:color w:val="auto"/>
        </w:rPr>
        <w:t>We currently rely on third-party suppliers and other third parties for production of our product candidates and our dependence on these third parties may impair the advancement of our research and development programs and the development of our product candidates.</w:t>
      </w:r>
    </w:p>
    <w:p>
      <w:pPr>
        <w:spacing w:after="0" w:line="3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We currently rely on and expect to continue to rely on third parties, for the manufacturing and supply of chemical compounds for the clinical studies of our current and future product candidates. For the foreseeable future, we expect to continue to rely on such third parties for the manufacture of any of our product candidates on a clinical or commercial scale, if any of our product candidates receives regulatory approval. Reliance on third-party providers may expose us to different risks than if we were to manufacture product candidates ourselves. The facilities used by our contract manufacturers to manufacture our product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these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w:t>
      </w:r>
    </w:p>
    <w:p>
      <w:pPr>
        <w:spacing w:after="0" w:line="18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Third-party providers may breach agreements they have with us because of factors beyond our control. Contract manufacturers often encounter difficulties involving production yields, quality control and quality assurance, as well as shortages of qualified personnel. They may also terminate or refuse to renew their agreements because of their own financial difficulties or business priorities, potentially at a time that is costly or otherwise inconvenient for us. If we were unable to find adequate replacement or another acceptable solution in time, our clinical studies could be delayed or our commercial activities could be harmed.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the fact that we are dependent on our suppliers and other third parties for the manufacture, storage and distribution of our product candidates means that we are subject to the risk that our product candidates and, if approved, commercial products may have manufacturing defects that we have limited ability to prevent or control. The sale of products containing such defects could result in recalls or regulatory enforcement action that could adversely affect our business, financial condition and results of operations.</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Growth in the costs and expenses of components or raw materials may also adversely influence our business, financial condition and results of operations. Supply sources could be interrupted from time to time and, if interrupted, we cannot be certain that supplies could be resumed (whether in part or in whole) within a reasonable timeframe and at an acceptable cost or at all. Our current and anticipated future dependence upon others for the manufacturing of our current and future product candidates may adversely affect our future profit margins and our ability to commercialize any products that receive marketing approval on a timely and competitive basis.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collaboration arrangements with our strategic partners may make us an attractive target for potential acquisitions under certain circumstances.</w:t>
      </w:r>
    </w:p>
    <w:p>
      <w:pPr>
        <w:spacing w:after="0" w:line="15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Under certain circumstances, due to the structure of our collaboration arrangements with our strategic partners, our strategic partners may prefer to acquire us rather than paying the milestone payments or royalties under the collaboration arrangements, which may bring additional uncertainties to our business development and prospects. For example, under our collaboration arrangements with Genentech and Janssen, we may become entitled to substantial milestone payments and royalties. As a result, rather than paying the milestone payments or royalties, Genentech or Janssen, or one of their affiliates including Roche or Johnson &amp; Johnson, may choose to acquire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have sufficient patent terms to effectively protect our products and business.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 is filed. Although various extensions or adjustments may be available, such as adjustments based on certain delays caused by the United States Patent and Trademark Office, or the USPTO,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co-owned and licensed patent portfolios may not provide us with sufficient rights to exclude others from commercializing products similar or identical to ours or otherwise provide us with a competitive advantage. Even if patents covering our product candidates are obtained and unchallenged, once the patent life has expired for a product, we may be open to competition from generic medications.</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patent term extensions under the Hatch-Waxman Act, in the United States and under supplementary protection certificates in Europe may be available to extend the patent exclusivity term for our products, we cannot provide any assurances that any such patent term extension will be obtained and, if so, for how long.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any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such result could have a material adverse effect on our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40" w:right="140"/>
        <w:spacing w:after="0" w:line="264" w:lineRule="auto"/>
        <w:rPr>
          <w:sz w:val="20"/>
          <w:szCs w:val="20"/>
          <w:color w:val="auto"/>
        </w:rPr>
      </w:pPr>
      <w:r>
        <w:rPr>
          <w:rFonts w:ascii="Arial" w:cs="Arial" w:eastAsia="Arial" w:hAnsi="Arial"/>
          <w:sz w:val="18"/>
          <w:szCs w:val="18"/>
          <w:b w:val="1"/>
          <w:bCs w:val="1"/>
          <w:i w:val="1"/>
          <w:iCs w:val="1"/>
          <w:color w:val="auto"/>
        </w:rPr>
        <w:t>We or our licensing or collaboration partners may become subject to intellectual property-related litigation or other proceedings to protect or enforce our patents or the patents of our licensors or collaborators, any of which could be expensive, time consuming, and unsuccessful, and may ultimately result in our loss of ownership of intellectual property.</w:t>
      </w:r>
    </w:p>
    <w:p>
      <w:pPr>
        <w:spacing w:after="0" w:line="73"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Competitors may infringe our patents or the patents of our licensors or collaborators. To counter such infringement, we may be required to file claims against those competitors, which can be expensive and time-consuming. If we or one of our licensing or collaboration partners were to initiate legal proceedings against a third party to enforce a patent covering one of our product candidates, the defendant could counterclaim that the patent covering our product candidate is invalid or unenforceable, or that we infringe the defendant’s patents. In patent litigation in the United States, defendant counterclaims alleging invalidity or unenforceability are commonplace. Grounds for a validity challenge could be an alleged failure to meet any of several statutory requirements, including lack of novelty, obviousness, obviousness-type double patenting, lack of written description, or non-enablement. Grounds for an unenforceability assertion could be an allegation that someone connected with prosecution of the patent withheld relevant information from the USPTO, or made a misleading statement, during prosecution. In addition, third parties may raise similar claims before administrative bodies in the United States or abroad, even outside the context of litigation. Such mechanisms include re-examination, post grant review</w:t>
      </w:r>
      <w:r>
        <w:rPr>
          <w:rFonts w:ascii="Arial" w:cs="Arial" w:eastAsia="Arial" w:hAnsi="Arial"/>
          <w:sz w:val="17"/>
          <w:szCs w:val="17"/>
          <w:i w:val="1"/>
          <w:iCs w:val="1"/>
          <w:color w:val="auto"/>
        </w:rPr>
        <w:t>, inter partes</w:t>
      </w:r>
      <w:r>
        <w:rPr>
          <w:rFonts w:ascii="Arial" w:cs="Arial" w:eastAsia="Arial" w:hAnsi="Arial"/>
          <w:sz w:val="17"/>
          <w:szCs w:val="17"/>
          <w:color w:val="auto"/>
        </w:rPr>
        <w:t xml:space="preserve"> review, interference and derivation proceedings as well as equivalent proceedings in foreign jurisdictions. The outcome following legal assertions of invalidity and unenforceability is unpredictable. Such proceedings or patent litigations could result in the revocation or cancellation of or amendment to our patents in such a way that they no longer cover our product candidates or otherwise provide any competitive advantage. With respect to the validity question, for example, we cannot be certain that there is no invalidating prior art, of which the patent examiner and we or our licensing or collaboration partners were unaware during prosecution. A court may also refuse to stop a third party from using the technology in question on the grounds that our patents do not cover that technology. An adverse result in any proceeding could put one or more of our patents at risk of being invalidated or interpreted narrowly, which could have a material adverse effect on our business and financial condition.</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Interference proceedings provoked by third parties or brought by us or declared by the USPTO may be necessary to determine the priority of inventions with respect to our patents or patent applications or those of our licensors or collaborators. An unfavorable outcome could require us or our licensing or collaboration partners to cease using the related technology or to attempt to license rights to it from the prevailing party. Our business could be materially harmed if the prevailing party does not offer us or our licensing or collaboration partners a license on commercially reasonable terms or at all. If we or our licensing or collaboration partners are unsuccessful in any interference proceedings, we may lose our ownership of intellectual property or our patents may be narrowed or invalidated. There can be no assurance as to the outcome of the interference and opposition proceedings, and any of the foregoing could result in a material adverse effect on our business, financial condition, results of operations or prospects.</w:t>
      </w:r>
    </w:p>
    <w:p>
      <w:pPr>
        <w:spacing w:after="0" w:line="178"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Our defense of litigation, interference proceedings or other intellectual property-related proceedings may fail and, even if successful, may result in substantial costs and distract our management and other employees from their normal responsibilities. Such litigation or proceedings could substantially increase our operating losses and could substantially reduce the funds necessary to continue our clinical studies, continue our research programs, license necessary technology from third parties, or enter into development partnerships that would help us bring our product candidates to market. We may not be able to prevent, alone or with our licensing or collaboration partners, misappropriation of our intellectual property rights, particularly in countries where the laws may not protect those rights as fully as in the United States.</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20"/>
        <w:spacing w:after="0" w:line="259" w:lineRule="auto"/>
        <w:rPr>
          <w:sz w:val="20"/>
          <w:szCs w:val="20"/>
          <w:color w:val="auto"/>
        </w:rPr>
      </w:pPr>
      <w:r>
        <w:rPr>
          <w:rFonts w:ascii="Arial" w:cs="Arial" w:eastAsia="Arial" w:hAnsi="Arial"/>
          <w:sz w:val="18"/>
          <w:szCs w:val="18"/>
          <w:b w:val="1"/>
          <w:bCs w:val="1"/>
          <w:i w:val="1"/>
          <w:iCs w:val="1"/>
          <w:color w:val="auto"/>
        </w:rPr>
        <w:t>If we or our licensing or collaboration partners are unable to obtain and maintain effective patent rights for our technologies, product candidates or any future product candidates, or if the scope of the patent rights obtained is not sufficiently broad, our competitors could develop and commercialize products and technology similar or identical to ours, and our ability to successfully commercialize our products and technology may be adversely affected.</w:t>
      </w:r>
    </w:p>
    <w:p>
      <w:pPr>
        <w:spacing w:after="0" w:line="7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technologies and product candidates. Our success depends in large part on our and our licensing or collaboration partners’ ability to obtain and maintain patent and other intellectual property protection in the United States and in other countries with respect to our proprietary technologies and product candidates. In particular, Genentech or our other licensing or collaboration partners may be dependent on a license with a third party for the development and commercialization of crenezumab or our other product candidates. If such license is terminated, Genentech or such other licensing or collaboration partners may be required to cease development and commercialization of crenezumab or our other product candidates, any of which could have a material adverse effect on our business, financial condition, results of operations or prospects.</w:t>
      </w:r>
    </w:p>
    <w:p>
      <w:pPr>
        <w:spacing w:after="0" w:line="17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any of our novel technologies and products that are important to our business. This process is expensive, time consuming, and complex, and we may not be able to file and prosecute all necessary or desirable patent applications at a reasonable cost, in a timely manner or in all jurisdictions. It is also possible that we will fail to identify patentable aspects of our or our licensing or collaboration partners’ research and development output before it is too late to obtain patent protection. 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p>
    <w:p>
      <w:pPr>
        <w:spacing w:after="0" w:line="18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patent position of biotechnology and pharmaceutical companies generally is highly uncertain and involves complex legal and factual questions for which legal principles remain unsolved. As a result, the inventorship, issuance, scope, validity, enforceability and commercial value of our patent rights are highly uncertain. The pending or future patent applications that we own, co-own or in-license may fail to issue, fail to result in issued patents with claims that cover our product candidates in the United States or in other foreign countries, or fail to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9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may not be aware of all third-party intellectual property rights potentially relating to our technologies or product candidates. Publications of discoveries in the scientific literature often lag behind the actual discoveries, and patent applications in the United States and other jurisdictions remain confidential for a period of time after filing, and some remain so until issued. Therefore, we cannot be certain that we were the first to file any patent application related to our product candidates or technologies, or whether we were the first to make the inventions claimed in our owned or co-owned patents or pending patent applications, nor can we know whether those from whom we license patents were the first to make the inventions claimed or were the first to file.</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which could allow third parties to commercialize our technology or products and compete directly with us, without payment to us, or result in our inability to manufacture or commercialize products without infringing third party patent rights. Furthermore, even if they are unchallenged, our patents and patent applications may not adequately protect our intellectual property, provide exclusivity for our product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candidates, prevent others from designing around our claims or provide us with a competitive advantage. Any of these outcomes could impair our ability to prevent competition from third parties, which may have a material adverse effect on our business.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or our ownership of our patents or other intellectual property. If we fail in defending any such claims, in addition to paying monetary damages, we may lose valuable intellectual property rights, such as exclusive ownership of, or the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7"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Patent policy and rule changes could increase the uncertainties and costs surrounding the prosecution of our patent applications and the enforcement or defense of our issued patents, thereby impairing our ability to protect our technologies and products.</w:t>
      </w:r>
    </w:p>
    <w:p>
      <w:pPr>
        <w:spacing w:after="0" w:line="6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moved to a first-to-file system. Under a first-to-file system, assuming the other requirements for patentability are met, the first inventor to file a patent application generally will be entitled to the patent on an invention regardless of whether a third party was the first to invent the invention. The Leahy-Smith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by the USPTO administered post grant proceedings, including reexamination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and derivation proceedings. The effects of these changes on the operation of our business are currently unclear as, among other reasons, the USPTO must still implement various regulations and courts must interpret these changes.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66"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technologies, product candidates or any future product candidates, we may not be able to compete effectively in our markets.</w:t>
      </w:r>
    </w:p>
    <w:p>
      <w:pPr>
        <w:spacing w:after="0" w:line="62"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Because we rely on our advisors, employees and third-party contractors and consultants to research and develop and to manufacture our product candidates, we must, at times, share our intellectual property with them. We seek to protect our intellectual property and other proprietary technology in part by entering into confidentiality agreements and, if applicable, material transfer agreements, consulting agreements or other similar agreements with our advisors, employees, contractors, consultants, licensing and collaboration partners, and other third parties. These agreements typically limit the rights of these third parties to use or disclose our confidential information, including our intellectual property and trade secrets. These agreements also typically restrict the ability of third parties to publish data potentially relating to our intellectual property, although our agreements may contain certain limited publication rights. For example, any academic institution that we may collaborate with in the future may expect to be granted rights to publish data arising out of such collaboration, provided that we may have the right to be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intellectual property under the terms of our research and development or similar agreements. However, we cannot guarantee that we have entered into such agreements with each party that may have or have had access to our trade secrets or other confidential information or proprietary technology and processes or that such agreements will not be breached or that our trade secrets or other confidential information will not otherwise be disclosed. Despite the contractual provisions employed when working with these advisors, employees and third party contractors and consultants, the need to share intellectual property and other confidential information increases the risk that such confidential information becomes known by our competitors, are inadvertently incorporated into the product development of others or are disclosed or used in violation of these agreements.</w:t>
      </w:r>
    </w:p>
    <w:p>
      <w:pPr>
        <w:spacing w:after="0" w:line="173"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Despite our efforts to protect our intellectual property, our competitors may discover our trade secrets through breach of our agreements with third parties, where we may not have adequate remedies for any breach, independent development or publication of information by any of our licensing or collaboration partners. Additionally, if the steps taken to maintain our trade secrets are deemed inadequate, we may have insufficient recourse against third parties for misappropriating such trade secrets. Misappropriation or unauthorized disclosure of our trade secrets could impair our competitive position and may have a material adverse effect on our business. Moreover, if any of our trade secrets were to be lawfully obtained or independently developed by a competitor or other third party, we would have no right to prevent such competitor or other third party from using that technology or information to compete with us. A competitor’s or other third party’s discovery of our intellectual property would impair our competitive position and have a material adverse effect on our business.</w:t>
      </w:r>
    </w:p>
    <w:p>
      <w:pPr>
        <w:spacing w:after="0" w:line="182"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w:t>
      </w:r>
    </w:p>
    <w:p>
      <w:pPr>
        <w:spacing w:after="0" w:line="280" w:lineRule="exact"/>
        <w:rPr>
          <w:sz w:val="20"/>
          <w:szCs w:val="20"/>
          <w:color w:val="auto"/>
        </w:rPr>
      </w:pPr>
    </w:p>
    <w:p>
      <w:pPr>
        <w:jc w:val="both"/>
        <w:ind w:left="240" w:right="46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Periodic maintenance fees, renewal fees, annuity fees and various other government fees on a patent and patent application are due to be paid to the USPTO and foreign patent agencies in several stages over the lifetime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of the patent and patent application. The USPTO and various foreign governmental patent agencies require compliance with a number of procedural, documentary, fee payment and other similar provisions during the patent application process. We employ reputable law firms and other professionals to help us comply with these requirements and we are also dependent on our licensors or collaboration partners to take the necessary action to comply with these requirements with respect to certain of our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is dependent on third parties.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licensors or collaboration partners. If any of our current or future licensing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305"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If we fail to comply with the obligations in our intellectual property agreements, including those under which we license intellectual property and other rights to or from third parties, or otherwise experience disruptions to our business relationships with our licensees, our licensors and partners, we could lose intellectual property rights that are important to our business.</w:t>
      </w:r>
    </w:p>
    <w:p>
      <w:pPr>
        <w:spacing w:after="0" w:line="73"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We are a party to a number of intellectual property license and co-ownership agreements that are important to our business and expect to enter into additional such agreements in the future. Under certain circumstances, the royalties payable to us under these agreements are subject to certain reductions, which may have a materially adverse effect on our business, financial condition, results of operations and prospects. In addition, our existing agreements impose, and we expect that future agreements will impose, various diligence, commercialization,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regarding intellectual property subject to a licensing or co-ownership agreement, including:</w:t>
      </w:r>
    </w:p>
    <w:p>
      <w:pPr>
        <w:spacing w:after="0" w:line="7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of rights granted under the agreement and other interpretation-related issues;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or otherwise violate intellectual property of the licensor, the licensee or partner that is not subject to the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diligence, development and commercialization obligations under the agreement and what activities satisfy those obligations;</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or collaboration partners and us;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If disputes over intellectual property and other rights that we have licensed or co-own prevent or impair our ability to maintain our current licensing or exclusivity arrangements on acceptable terms, we may be unable to successfully develop and commercialize the affected product candidates.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certain provisions in the agreements under which we currently license intellectual property or technology to and from third parties may be susceptible to multiple interpretations. 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 any of which could have a material adverse effect on our business, financial condition, results of operations and prospects.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programs may in the future require the use of proprietary rights held by third parties, the growth of our business will likely depend in part on our ability to acquire, in-license, maintain or use these proprietary rights. In addition,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8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example, 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w:t>
      </w:r>
    </w:p>
    <w:p>
      <w:pPr>
        <w:spacing w:after="0" w:line="188"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232" w:lineRule="exact"/>
        <w:rPr>
          <w:sz w:val="20"/>
          <w:szCs w:val="20"/>
          <w:color w:val="auto"/>
        </w:rPr>
      </w:pPr>
    </w:p>
    <w:p>
      <w:pPr>
        <w:ind w:left="240" w:right="122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expose us to substantial liability or prevent or delay our development and commercialization efforts.</w:t>
      </w:r>
    </w:p>
    <w:p>
      <w:pPr>
        <w:spacing w:after="0" w:line="6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commercial success depends on our ability and the ability of our licensees or collaborators to develop, manufacture, market and sell our product candidates and use our proprietary technology without infringing,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misappropriating, or otherwise violating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patent infringement lawsuits, interferences, oppositions, reexamination proceedings,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derivation proceedings and post grant review before the USPTO and corresponding foreign patent offices.</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Numerous U.S. and foreign issued patents and pending patent applications, which are owned by third parties, exist in the fields in which we are developing product candidates. For example, we are aware of third party patents that may be construed to cover one or more of our product candidates. If these patents are asserted against us or our licensing or collaboration partners and either we or our licensing or collaboration partners are found to infringe any of these patents, and are unsuccessful in demonstrating that such patents are invalid or unenforceable, then we and our licensing or collaboration partners could be required to pay substantial monetary damages or cease further development or commercialization of one or more of our product candidates. There may also be other third-party patents or patent applications with claims to materials, formulations, methods of manufacture, or methods of treatment related to the use or manufacture of our product candidates and technology. Although we generally conduct a freedom to operate search and review with respect to our product candidates, we cannot guarantee that our search and review is complete and thorough, nor can we be sure that we have identified each and every patent and pending application in the United States and abroad that is relevant or necessary to the commercialization of our product candidates or use of our technology.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8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Third parties may assert infringement claims against us based on existing patents or patents that may be granted in the future, regardless of merit. Even if we believe such claims are without merit, a court of competent jurisdiction could hold that these third party patents are valid, enforceable and infringed, which could materially and adversely affect our ability to commercialize our product candidates or technologies covered by the asserted third party patents.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payments to the licensor.</w:t>
      </w:r>
    </w:p>
    <w:p>
      <w:pPr>
        <w:spacing w:after="0" w:line="16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Parties making claims against us may also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Any of the foregoing could have a material and adverse effect on our business, financial conditions, results of operations and prospects.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claims that we have misappropriated the confidential information or trade secrets of third parties could have a similar negative impact on our business, financial condition, results of operations and prospects.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Some of our competitors may have substantially greater resources and more mature and developed intellectual property portfolios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our product candidates may be subject to claims of infringement of the patent rights of third parties. The uncertainties resulting from the initiation and continuation of patent litigation or other proceedings could have a material adverse effect on our ability to compete in the marketplace.</w:t>
      </w:r>
    </w:p>
    <w:p>
      <w:pPr>
        <w:spacing w:after="0" w:line="301" w:lineRule="exact"/>
        <w:rPr>
          <w:sz w:val="20"/>
          <w:szCs w:val="20"/>
          <w:color w:val="auto"/>
        </w:rPr>
      </w:pPr>
    </w:p>
    <w:p>
      <w:pPr>
        <w:ind w:left="240" w:right="2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3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employ and utilize the services of individuals who were previously employed or provided services to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consultant’s or independent contractor’s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7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addition, while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the laws in the United States. Consequently, we may not be able to prevent third parties from practicing our inventions in all countries outside the United States, or from selling or importing products made using our inventions in and into the United States or other jurisdictions. In the ordinary course of prosecution and maintenance activities, we determine whether to seek patent protection outside the U.S. and in which countries. This also applies to patents we have acquired or in-licensed from third parties. In some cases, we, or our predecessors in interest or licensors of patents within our portfolio, have sought patent protection in a limited number of countries for patents covering our product candidates. Competitors may use our technologies in jurisdictions where we have not obtained or are unable to adequately enforce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which would have a material adverse effect on our business and financial positions.</w:t>
      </w:r>
    </w:p>
    <w:p>
      <w:pPr>
        <w:spacing w:after="0" w:line="17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not favor the enforcement of patents, trade secrets, and other intellectual property protection, particularly those relating to biotechnology products, which could make it difficult for us to stop the infringement, misappropriation or other violations of our intellectual property and proprietary rights.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clinical-stage company and have a history of operating losses. We anticipate that we will continue to incur losses for the foreseeable future.</w:t>
      </w:r>
    </w:p>
    <w:p>
      <w:pPr>
        <w:spacing w:after="0" w:line="15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a clinical-stage biopharmaceutical company. Since 2003, while we have received upfront and milestone payments from our collaboration partners and certain other revenue, we have also incurred significant operating losses. For example, we incurred net losses (defined as net loss attributable to owners of the company) of CHF 11.2 million for the year ended December 31, 2013. In addition, we had accumulated losses of CHF 33.8 million as of June 30, 2016.</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losses have resulted principally from research and development expenses and from general business and administrative expenses. We expect to continue to incur significant operating losses in the future as we continue our research and development efforts for our current and future product candidates and seek to obtain regulatory approval and commercialization of such product candidates.</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To date, we have financed our operations through private placements of preferred securities, in addition to upfront and milestone payments from our collaboration partners and certain other revenue.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or royalties from product sales.</w:t>
      </w:r>
    </w:p>
    <w:p>
      <w:pPr>
        <w:spacing w:after="0" w:line="296" w:lineRule="exact"/>
        <w:rPr>
          <w:sz w:val="20"/>
          <w:szCs w:val="20"/>
          <w:color w:val="auto"/>
        </w:rPr>
      </w:pPr>
    </w:p>
    <w:p>
      <w:pPr>
        <w:ind w:left="240" w:right="560"/>
        <w:spacing w:after="0" w:line="277" w:lineRule="auto"/>
        <w:rPr>
          <w:sz w:val="20"/>
          <w:szCs w:val="20"/>
          <w:color w:val="auto"/>
        </w:rPr>
      </w:pPr>
      <w:r>
        <w:rPr>
          <w:rFonts w:ascii="Arial" w:cs="Arial" w:eastAsia="Arial" w:hAnsi="Arial"/>
          <w:sz w:val="18"/>
          <w:szCs w:val="18"/>
          <w:b w:val="1"/>
          <w:bCs w:val="1"/>
          <w:i w:val="1"/>
          <w:iCs w:val="1"/>
          <w:color w:val="auto"/>
        </w:rPr>
        <w:t>While we have generated revenues from upfront and milestone payments related to our collaboration agreements, we have never generated any revenue from product sales and may never be profitable.</w:t>
      </w:r>
    </w:p>
    <w:p>
      <w:pPr>
        <w:spacing w:after="0" w:line="6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While we have generated revenue from upfront and milestone payments related to our collaboration agreements, we have no products approved for commercialization and have never generated any revenue product sales. Our ability to generate revenue and achieve profitability depends on our ability to successfully complete the development of, and obtain the marketing approvals necessary to commercialize, one or more of our product candidates. We do not anticipate generating revenue from product sales unless and until we or our collaboration partners obtain regulatory approval for, and commercialize, our product candidates. Our ability to generate future revenue from product sales depends heavily on our success in many areas, including but not limited to:</w:t>
      </w:r>
    </w:p>
    <w:p>
      <w:pPr>
        <w:spacing w:after="0" w:line="64" w:lineRule="exact"/>
        <w:rPr>
          <w:sz w:val="20"/>
          <w:szCs w:val="20"/>
          <w:color w:val="auto"/>
        </w:rPr>
      </w:pPr>
    </w:p>
    <w:p>
      <w:pPr>
        <w:ind w:left="900" w:hanging="446"/>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completing research and clinical development of our product candidates, including us or our collaboration partners, as the case may be, successfully completing a Phase 3 clinical study of crenezumab, a Phase 1/2a clinical study of ACI-24 for AD, a Phase 1 clinical study of ACI-24 in Down syndrome, a Phase 1b clinical study of ACI-35 and a Phase 1 clinical study of our anti-tau antibody;</w:t>
      </w:r>
    </w:p>
    <w:p>
      <w:pPr>
        <w:spacing w:after="0" w:line="86"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marketing approvals for our product candidates, including crenezumab, ACI-24 for AD, ACI-35 or our anti-tau antibody, for which we complete clinical studies;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4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launching and commercializing product candidates for which we obtain marketing approval, either directly or with a collaborator or distributor;</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similar arrangements into which we may enter;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Because of the numerous risks and uncertainties with pharmaceutical product development, we are unable to accurately predict the timing or amount of increased expenses or when, or if, we will be able to achieve profitability. Our expenses could increase beyond expectations if we are required by the FDA, the EMA, or other regulatory agencies, domestic or foreign, to change our manufacturing processes,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coverage and reimbursement at any price,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Accordingly, we may not be profitable in the future from the sale of any approved products.</w:t>
      </w:r>
    </w:p>
    <w:p>
      <w:pPr>
        <w:spacing w:after="0" w:line="16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may be unable to develop and commercialize any of our current or future product candidates and, even if we do, may not achieve profitability in the future. Even if we do achieve profitability in the future, we may not be able to sustain or increase profitability on a quarterly or annual basis. Our failure to be profitable in the future would decrease the value of our company and could impair our ability to raise capital, expand our business or continue our operations. A decline in the value of our company could cause you to lose all or part of your investment.</w:t>
      </w:r>
    </w:p>
    <w:p>
      <w:pPr>
        <w:spacing w:after="0" w:line="295"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expect that we will need substantial additional funding before we can expect to become profitable from sales of our products. If we are unable to raise capital when needed, we could be forced to delay, reduce or eliminate our product development programs or commercialization efforts.</w:t>
      </w:r>
    </w:p>
    <w:p>
      <w:pPr>
        <w:spacing w:after="0" w:line="1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are currently advancing our product candidates through clinical development, either together with a collaboration partner (crenezumab, ACI-35 and our anti-tau antibody) or independently (ACI-24 for AD and Down syndrome). We expect our research and development expenses to continue to increase in connection with our ongoing activities, particularly as we and/or our collaboration partners continue our ongoing studies and initiate new studies of crenezumab, ACI-24 for AD, ACI-35 and our anti-tau antibody and initiate preclinical and clinical development of our other product candidates. As of June 30, 2016, we had cash and cash equivalents of CHF 82.4 million. We currently believe that our existing capital resources, not including potential milestone payments and the proceeds we receive from this offering, but including the proceeds we received from the Series E Private Placement Extension, will be sufficient to meet our projected operating requirements for at least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306" w:lineRule="auto"/>
        <w:rPr>
          <w:sz w:val="20"/>
          <w:szCs w:val="20"/>
          <w:color w:val="auto"/>
        </w:rPr>
      </w:pPr>
      <w:r>
        <w:rPr>
          <w:rFonts w:ascii="Arial" w:cs="Arial" w:eastAsia="Arial" w:hAnsi="Arial"/>
          <w:sz w:val="17"/>
          <w:szCs w:val="17"/>
          <w:color w:val="auto"/>
        </w:rPr>
        <w:t>through the fourth quarter of fiscal year 2017. We have based this estimate on assumptions that may prove to be wrong, and we could exhaust our capital resources sooner than we currently expect. Our future funding requirements will depend on many factors, including but not limited to:</w:t>
      </w:r>
    </w:p>
    <w:p>
      <w:pPr>
        <w:spacing w:after="0" w:line="1"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existing product candidates and any other products we may develop;</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 the future, as well as our existing such arrangements, including any required milestone and royalty payments thereunder;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expect that we will require additional capital to commercialize our product candidates. If we receive regulatory approval for our current and future product candidates, and if we have not already licensed such product candidate to a collaboration partner and choose to commercialize such product candidate independently, we expect to incur significant commercialization expenses related to product manufacturing, sales, marketing and distribution, depending on where we choose to commercialize. We also expect to incur additional costs associated with operating as a public company following this offering. Additional funds may not be available on a timely basis, on favorable terms, or at all, and such funds, if raised, may not be sufficient to enable us to continue to implement our long-term business strategy. If we are not able to raise capital when needed, we could be forced to delay, reduce or eliminate our product development programs or commercialization efforts.</w:t>
      </w:r>
    </w:p>
    <w:p>
      <w:pPr>
        <w:spacing w:after="0" w:line="286"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intellectual property or future revenue streams.</w:t>
      </w:r>
    </w:p>
    <w:p>
      <w:pPr>
        <w:spacing w:after="0" w:line="6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grants and license and development agreements in connection with collaborations. We do not have any committed external source of funds. In the event we need to seek additional funds, we may raise additional capital through the sale of equity, convertible debt or other securities. In such an event, your ownership interest will be diluted, and the terms of these securities may include liquidation or other preferences that adversely affect your rights as a holder of our common shares. Debt financing, if available, may involve agreements that include covenants limiting or restricting our ability to take specific actions, such as incurring additional debt, making capital expenditures or proposing dividends to our shareholders.</w:t>
      </w:r>
    </w:p>
    <w:p>
      <w:pPr>
        <w:spacing w:after="0" w:line="178"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grant or otherwise relinquish valuable rights to our intellectual property or future revenue streams.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use tax loss carryforwards in Switzerland may be limited.</w:t>
      </w:r>
    </w:p>
    <w:p>
      <w:pPr>
        <w:spacing w:after="0" w:line="117" w:lineRule="exact"/>
        <w:rPr>
          <w:sz w:val="20"/>
          <w:szCs w:val="20"/>
          <w:color w:val="auto"/>
        </w:rPr>
      </w:pPr>
    </w:p>
    <w:p>
      <w:pPr>
        <w:jc w:val="both"/>
        <w:ind w:right="200" w:firstLine="456"/>
        <w:spacing w:after="0" w:line="279" w:lineRule="auto"/>
        <w:rPr>
          <w:sz w:val="20"/>
          <w:szCs w:val="20"/>
          <w:color w:val="auto"/>
        </w:rPr>
      </w:pPr>
      <w:r>
        <w:rPr>
          <w:rFonts w:ascii="Arial" w:cs="Arial" w:eastAsia="Arial" w:hAnsi="Arial"/>
          <w:sz w:val="17"/>
          <w:szCs w:val="17"/>
          <w:color w:val="auto"/>
        </w:rPr>
        <w:t>As of December 31, 2015, we reported tax loss carryforwards from financial years 2007 until 2014 for purposes of Swiss corporate income tax in the aggregate amount of CHF 29.1 million that could be available to offset future taxable income. If not used, these tax losses will expire seven years after the year in which they were incurred. Due to our limited income, there is a high risk that the tax loss carryforwards will expire partly or entirely and cannot be used to offset future taxable income thereafter for Swiss corporate income tax purposes.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Exchange rate fluctuations or abandonment of the euro currency may materially affect our results of operations and financial condition.</w:t>
      </w:r>
    </w:p>
    <w:p>
      <w:pPr>
        <w:spacing w:after="0" w:line="1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Under our existing agreements, we receive a significant amount of payments in USD, Swiss Francs and euro. As a result, changes and fluctuations in currency exchange rates between the Swiss Franc and other currencies, especially the USD and euro could have a materially adverse effect on our operating results. Since our reporting currency is the Swiss Franc, financial line items are converted into Swiss Francs at the applicable exchange rates. We also expect that in the future, a significant portion of our revenues and expenses will be denominated in Swiss Franc, USD and euro. Therefore, unfavorable developments in the value of the Swiss Franc as compared to the euro or any other currency could have a material adverse effect on our business,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Regulatory Environment</w:t>
      </w:r>
    </w:p>
    <w:p>
      <w:pPr>
        <w:spacing w:after="0" w:line="121" w:lineRule="exact"/>
        <w:rPr>
          <w:sz w:val="20"/>
          <w:szCs w:val="20"/>
          <w:color w:val="auto"/>
        </w:rPr>
      </w:pPr>
    </w:p>
    <w:p>
      <w:pPr>
        <w:ind w:left="240" w:right="106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which is necessary before they can be commercialized.</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future success is dependent on our ability to successfully develop, obtain regulatory approval for, and then successfully commercialize one or more product candidates. We currently have one product candidate that has completed Phase 2 clinical studies. Enrollment in Phase 3 clinical studies of crenezumab initiated by our collaboration partner Genentech started in the first quarter of 2016. We are not permitted to market or promote any of our product candidates before we receive regulatory approval from the FDA, EMA or comparable foreign regulatory authorities, and we may never receive such regulatory approval for any of our product candidates.</w:t>
      </w:r>
    </w:p>
    <w:p>
      <w:pPr>
        <w:spacing w:after="0" w:line="188"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We cannot be certain that any of our product candidates will be successful in clinical studies or receive regulatory approval. Applications for our product candidates could fail to receive regulatory approval for many reasons, including but not limited to the following:</w:t>
      </w:r>
    </w:p>
    <w:p>
      <w:pPr>
        <w:spacing w:after="0" w:line="5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studies;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disagree with our interpretation of data from nonclinical or clinical studies;</w:t>
      </w:r>
    </w:p>
    <w:p>
      <w:pPr>
        <w:spacing w:after="0" w:line="142" w:lineRule="exact"/>
        <w:rPr>
          <w:rFonts w:ascii="Arial" w:cs="Arial" w:eastAsia="Arial" w:hAnsi="Arial"/>
          <w:sz w:val="17"/>
          <w:szCs w:val="17"/>
          <w:color w:val="auto"/>
        </w:rPr>
      </w:pPr>
    </w:p>
    <w:p>
      <w:pPr>
        <w:ind w:left="900" w:right="8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NDA or other submission or to obtain regulatory approval in the United States or elsewhere;</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comparable foreign regulatory authorities that a product candidate’s risk-benefit ratio for its proposed indication is acceptable;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test procedures and specifications, or facilities of third-party manufacturers with which we contract for clinical and commercial supplies; and</w:t>
      </w:r>
    </w:p>
    <w:p>
      <w:pPr>
        <w:spacing w:after="0" w:line="75"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comparable foreign regulatory authorities may significantly change in a manner rendering our clinical data insufficient for approval.</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generally plan to seek regulatory approval to commercialize our product candidates in the United States, the European Union and in additional foreign countries where we have commercial rights. To obtain regulatory approval in other countries, we must comply with numerous and varying regulatory requirements of such other countries regarding safety, efficacy, chemistry, manufacturing and controls, clinical studies, commercial sales, pricing, and distribution of our product candidates. Even if we are successful in obtaining approval in one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jurisdiction, we cannot ensure that we will obtain approval in any other jurisdictions. Failure to obtain marketing authorization for our product candidates will result in our being unable to market and sell such products, which would materially adversely affect our business, financial conditional and results of operation. If we fail to obtain approval in any jurisdiction, the geographic market for our product candidates could be limited. Similarly, regulatory agencies may not approve the labeling claims that are necessary or desirable for the successful commercialization of our product candidates.</w:t>
      </w:r>
    </w:p>
    <w:p>
      <w:pPr>
        <w:spacing w:after="0" w:line="280" w:lineRule="exact"/>
        <w:rPr>
          <w:sz w:val="20"/>
          <w:szCs w:val="20"/>
          <w:color w:val="auto"/>
        </w:rPr>
      </w:pPr>
    </w:p>
    <w:p>
      <w:pPr>
        <w:ind w:left="240"/>
        <w:spacing w:after="0" w:line="26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studies of our product candidates are prolonged or delayed, we may be unable to obtain required regulatory approvals, and therefore be unable to commercialize our product candidates on a timely basis or at all.</w:t>
      </w:r>
    </w:p>
    <w:p>
      <w:pPr>
        <w:spacing w:after="0" w:line="73"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To obtain the requisite regulatory approvals to market and sell any of our product candidates, we must demonstrate through extensive preclinical and clinical studies that our products are safe and effective in humans. Clinical testing is expensive and can take many years to complete, and its outcome is inherently uncertain. Failure can occur at any time during the clinical study process. The results of preclinical and early clinical studies of our product candidates may not be predictive of the results of later-stage clinical studies. For example, the positive results generated to date in clinical studies for our product candidates do not ensure that later clinical studies will demonstrate similar results. Product candidates in later stages of clinical studies may fail to show the desired safety and efficacy traits despite having progressed through preclinical studies and initial clinical studies. A number of companies in the biopharmaceutical industry have suffered significant setbacks in advanced clinical studies due to lack of efficacy or adverse safety profiles, notwithstanding promising results in earlier studies. Our future clinical study results may not be successful.</w:t>
      </w:r>
    </w:p>
    <w:p>
      <w:pPr>
        <w:spacing w:after="0" w:line="179"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Clinical studies must be conducted in accordance with FDA, EMA and comparable foreign regulatory authorities’ legal requirements, regulations or guidelines, and are subject to oversight by these governmental agencies and Institutional Review Boards, or IRBs, at the medical institutions where the clinical studies are conducted. In addition, clinical studies must be conducted with supplies of our product candidates produced under cGMP and other requirements. We depend on medical institutions and CROs, to conduct our clinical studies in compliance with cGCP standards. To the extent the CROs fail to enroll participants for our clinical studies, fail to conduct the study to cGCP standards or are delayed for a significant time in the execution of studies, including achieving full enrollment, we may be affected by increased costs, program delays or both, which may harm our business.</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date, neither we nor our collaboration partners have completed all clinical studies required for the approval of any of our product candidates. Crenezumab has completed Phase 2 clinical testing, ACI-24 for AD is in a combined Phase 1/2a clinical study, ACI-24 for Down syndrome in a Phase 1 clinical study, ACI-35 is in Phase 1b clinical studies and our anti-tau antibody in a Phase 1 clinical study. The development of our other product candidates is less advanced and studies have not yet started.</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completion of clinical studies for our clinical product candidates may be delayed, suspended or terminated as a result of many factors, including but not limited to:</w:t>
      </w:r>
    </w:p>
    <w:p>
      <w:pPr>
        <w:spacing w:after="0" w:line="76" w:lineRule="exact"/>
        <w:rPr>
          <w:sz w:val="20"/>
          <w:szCs w:val="20"/>
          <w:color w:val="auto"/>
        </w:rPr>
      </w:pPr>
    </w:p>
    <w:p>
      <w:pPr>
        <w:ind w:left="900" w:right="5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delay or refusal of regulators or IRBs to authorize us to commence a clinical study at a prospective study site or changes in regulatory requirements, policies and guidelines;</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or failure to reach agreement on acceptable terms with prospective CROs and clinical study sites, the terms of which can be subject to extensive negotiation and may vary significantly among different CROs and study sites;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patient enrollment and variability in the number and types of patients available for clinical studies;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studies to ensure adequate statistical power to detect statistically significant treatment effects;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negative or inconclusive results, which may require us to conduct additional preclinical or clinical studies or to abandon projects that we expected to be promising;</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safety or tolerability concerns, which could cause us to suspend or terminate a study if we find that the participants are being exposed to unacceptable health risks;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studies;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CROs or clinical study sites failing to comply with regulatory requirements or meet their contractual obligations to us in a timely manner, or at all, deviating from the protocol or dropping out of a study;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relating to adding new clinical study sites;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produce or obtain sufficient quantities of the product candidate to complete clinical studies;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studies.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delays in completing our clinical studies will increase our costs, slow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product candidates.</w:t>
      </w:r>
    </w:p>
    <w:p>
      <w:pPr>
        <w:spacing w:after="0" w:line="295" w:lineRule="exact"/>
        <w:rPr>
          <w:sz w:val="20"/>
          <w:szCs w:val="20"/>
          <w:color w:val="auto"/>
        </w:rPr>
      </w:pPr>
    </w:p>
    <w:p>
      <w:pPr>
        <w:ind w:left="240" w:right="44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one jurisdiction, we may never obtain approval for our drug candidates in other jurisdictions, which would limit our market opportunities and adversely affect our business.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Sales of our approved drugs will be subject to U.S. and non-U.S. regulatory requirements governing clinical studies and regulatory approval, and we plan to seek regulatory approval to commercialize our drug candidates in the United States, the EEA, and other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United States by the FDA does not ensure approval by the regulatory authorities in other countries or jurisdictions, and similarly approval by a non-U.S. regulatory authority, such as the EMA, does not ensure approval by regulatory authorities in other countries, including by the FDA. However, the failure to obtain approval in one jurisdiction may have a negative impact on our ability to obtain approval elsewhere. Approval processes and regulatory requirements vary among countries and can involve additional drug testing and validation and additional administrative review periods. Even if a drug is approved, the FDA or EMA, as the case may be, may limit the indications for which the drug may be marketed, require extensive warnings on the drug labeling or require expensive and time-consuming clinical studies or reporting as conditions of approval. In many countries outside the United States, a drug candidate must be approved for reimbursement before it can be approved for sale in that country. In some cases, the price that we intend to charge for a drug is also subject to approval. Regulatory authorities in other countries also have their own requirements for approval of drug candidates with which we must comply prior to marketing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drug candidates will be unrealized.</w:t>
      </w:r>
    </w:p>
    <w:p>
      <w:pPr>
        <w:spacing w:after="0" w:line="280"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If marketing authorization is obtained for any of our product candidates, the product will remain subject to continual regulatory review and therefore authorization could be subsequently withdrawn or restricted.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studies and surveillance to monitor the safety and efficacy of the product candidate. In addition, if the FDA or a comparable foreign regulatory authority approves any of our product candidates, we will be subject to ongoing regulatory obligations and oversight by regulatory authorities, including with respect to the manufacturing processes, labeling, packing, distribution, adverse event reporting, storage, advertising and marketing restrictions, and recordkeeping and, potentially, other post-marketing obligations, all of which may result in significant expense and limit our ability to commercialize such products. These requirements include submissions of safety and other post-marketing information and reports, registration, as well as continued compliance with cGMPs and cGCPs for any clinical studies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8" w:lineRule="exact"/>
        <w:rPr>
          <w:sz w:val="20"/>
          <w:szCs w:val="20"/>
          <w:color w:val="auto"/>
        </w:rPr>
      </w:pPr>
    </w:p>
    <w:p>
      <w:pPr>
        <w:ind w:left="900" w:right="36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warning letters or holds on clinical studies;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If any of these events occurs, our ability to sell such product may be impaired, and we may incur substantial additional expense to comply with regulatory requirements, which could materially adversely affect our business, financial condition and results of operations.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301" w:lineRule="exact"/>
        <w:rPr>
          <w:sz w:val="20"/>
          <w:szCs w:val="20"/>
          <w:color w:val="auto"/>
        </w:rPr>
      </w:pPr>
    </w:p>
    <w:p>
      <w:pPr>
        <w:ind w:left="240" w:right="420"/>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studies for our drug candidates outside the United States, and the FDA and applicable foreign regulatory authorities may not accept data from such studies.</w:t>
      </w:r>
    </w:p>
    <w:p>
      <w:pPr>
        <w:spacing w:after="0" w:line="62"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have conducted and may in the future choose to conduct one or more of our clinical studies outside the United States, including in Germany, Austria, Denmark, Sweden and Finland. The acceptance of study data from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clinical studies conducted outside the United States or another jurisdiction by the FDA or applicable foreign regulatory authority may be subject to certain conditions. In cases where data from foreign clinical studies are intended to serve as the basis for marketing approval in the United States, the FDA will not approve the application on the basis of foreign data alone unless the following are true: the data are applicable to the United States population and United States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Additionally, the FDA’s clinical study requirements, including sufficient size of patient populations and statistical powering, must be met. Many foreign regulatory bodies have similar requirements. In addition, such foreign studies would be subject to the applicable local laws of the foreign jurisdictions where the studies are conducted. There can be no assurance that the FDA or any applicable foreign regulatory authority will accept data from studies conducted outside of the United States or the applicable jurisdiction. If the FDA or any applicable foreign regulatory authority does not accept such data, it would result in the need for additional studies, which would be costly and time-consuming and delay aspects of our business plan, and which may result in our drugs or drug candidates not receiving approval or clearance for commercialization in the applicable jurisdiction.</w:t>
      </w:r>
    </w:p>
    <w:p>
      <w:pPr>
        <w:spacing w:after="0" w:line="281"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the United States and the European Union, there have been a number of legislative and regulatory changes and proposed changes regarding the healthcare system. These changes could prevent or delay marketing approval of our product candidates, restrict or regulate post-approval activities and affect our ability to profitably sell any products for which we obtain marketing approval.</w:t>
      </w:r>
    </w:p>
    <w:p>
      <w:pPr>
        <w:spacing w:after="0" w:line="18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Medicare Modernization Act, changed the way Medicare covers and pays for pharmaceutical products. The legislation expanded Medicare coverage for drug purchases by the elderly and introduced a new reimbursement methodology based on average sale prices for physician-administered drugs. In addition, this legislation provided authority for limiting the number of drugs that will be covered in any therapeutic class. Cost-reduction initiatives and other provisions of this legislation could decrease the coverage and price that we receive for any approved products. While the Medicare Modernization Act applies only to drug benefits for Medicare beneficiaries, private payors often follow Medicare coverage policy and payment limitations in setting their own reimbursement rates. Therefore, any reduction in reimbursement that results from the Medicare Modernization Act may result in a similar reduction in payments from private payors.</w:t>
      </w:r>
    </w:p>
    <w:p>
      <w:pPr>
        <w:spacing w:after="0" w:line="16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More recently, in March 2010, President Obama signed into law the Patient Protection and Affordable Care Act, as amended by the Health Care and Education Reconciliation Act, or collectively, the Health Care Reform Law,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Health Care Reform Law, among other things, increased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 affecting compliance were enacted, which may affect our business practices with health care practitioners.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Moreover, other legislative changes have also been proposed and adopted in the United States since the Health Care Reform Law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2% per fiscal year, which went into effect on April 1, 2013. On January 2, 2013, President Obama signed into law the American Taxpayer Relief Act of 2012, or the ATRA, which, among other things, further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 care funding, which could have a material adverse effect on our customers and accordingly, our financial operations.</w:t>
      </w:r>
    </w:p>
    <w:p>
      <w:pPr>
        <w:spacing w:after="0" w:line="18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European Union, proposed new clinical study regulations will centralize clinical study approval, which eliminates redundancy, but in some cases this may extend timelines for clinical study approvals due to potentially longer wait times. Proposals to require specific consents for use of data in research, among other measures, may increase the costs and timelines for our product development efforts. Austerity measures in certain European nations may also affect the prices we are able to seek if our products are approved, as discussed below.</w:t>
      </w:r>
    </w:p>
    <w:p>
      <w:pPr>
        <w:spacing w:after="0" w:line="18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Both in the United States and in the European Union,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295" w:lineRule="exact"/>
        <w:rPr>
          <w:sz w:val="20"/>
          <w:szCs w:val="20"/>
          <w:color w:val="auto"/>
        </w:rPr>
      </w:pPr>
    </w:p>
    <w:p>
      <w:pPr>
        <w:ind w:left="240" w:right="60"/>
        <w:spacing w:after="0" w:line="342" w:lineRule="auto"/>
        <w:rPr>
          <w:sz w:val="20"/>
          <w:szCs w:val="20"/>
          <w:color w:val="auto"/>
        </w:rPr>
      </w:pPr>
      <w:r>
        <w:rPr>
          <w:rFonts w:ascii="Arial" w:cs="Arial" w:eastAsia="Arial" w:hAnsi="Arial"/>
          <w:sz w:val="16"/>
          <w:szCs w:val="16"/>
          <w:b w:val="1"/>
          <w:bCs w:val="1"/>
          <w:i w:val="1"/>
          <w:iCs w:val="1"/>
          <w:color w:val="auto"/>
        </w:rPr>
        <w:t>We could be subject to liabilities under environmental, health and safety laws or regulations, or fines, penalties or other sanctions, if we fail to comply with such laws or regulations or otherwise incur costs that could have a material adverse effect on the success of our business.</w:t>
      </w:r>
    </w:p>
    <w:p>
      <w:pPr>
        <w:spacing w:after="0" w:line="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subject to numerous environmental, health and safety laws,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including chemicals and biological materials and produce hazardous waste products. We generally contract with third parties for the disposal of these materials and wastes. We cannot eliminate the risk of contamination or injury from these materials or wastes either at our sites or at third party disposal sites. In the event of such contamination or injury,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w:t>
      </w:r>
    </w:p>
    <w:p>
      <w:pPr>
        <w:spacing w:after="0" w:line="166"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regulations or permitting requirements. Such laws, regulations and requirements are becoming increasingly more stringent and may impair our research, development or production efforts. Failure to comply with these laws, regulations and permitting requirements also may result in substantial fines, penalties or other sanctions.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8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7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60" w:lineRule="exact"/>
        <w:rPr>
          <w:sz w:val="20"/>
          <w:szCs w:val="20"/>
          <w:color w:val="auto"/>
        </w:rPr>
      </w:pPr>
    </w:p>
    <w:p>
      <w:pPr>
        <w:ind w:left="900" w:right="2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U.S. government healthcare programs such as Medicare and Medicaid;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False Claims Act imposes criminal and civil penalties, including civil whistleblower or qui tam actions, against individuals or entities for knowingly presenting, or causing to be presented, to the U.S. government, claims for payment that are false or fraudulent or making a false statement to avoid, decrease or conceal an obligation to pay money to the federal government;</w:t>
      </w:r>
    </w:p>
    <w:p>
      <w:pPr>
        <w:spacing w:after="0" w:line="86"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Health Insurance Portability and Accountability Act of 1996, or HIPAA, imposes criminal and civil liability for executing a scheme to defraud any healthcare benefit program or making false statements relating to healthcare matters;</w:t>
      </w:r>
    </w:p>
    <w:p>
      <w:pPr>
        <w:spacing w:after="0" w:line="75" w:lineRule="exact"/>
        <w:rPr>
          <w:rFonts w:ascii="Arial" w:cs="Arial" w:eastAsia="Arial" w:hAnsi="Arial"/>
          <w:sz w:val="18"/>
          <w:szCs w:val="18"/>
          <w:color w:val="auto"/>
        </w:rPr>
      </w:pPr>
    </w:p>
    <w:p>
      <w:pPr>
        <w:ind w:left="900" w:right="340" w:hanging="446"/>
        <w:spacing w:after="0" w:line="34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imposes obligations, including mandatory contractual terms, with respect to safeguarding the privacy, security and transmission of individually identifiable health information;</w:t>
      </w:r>
    </w:p>
    <w:p>
      <w:pPr>
        <w:spacing w:after="0" w:line="29" w:lineRule="exact"/>
        <w:rPr>
          <w:rFonts w:ascii="Arial" w:cs="Arial" w:eastAsia="Arial" w:hAnsi="Arial"/>
          <w:sz w:val="16"/>
          <w:szCs w:val="16"/>
          <w:color w:val="auto"/>
        </w:rPr>
      </w:pPr>
    </w:p>
    <w:p>
      <w:pPr>
        <w:ind w:left="900" w:right="36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transparency requirements under the Health Care Reform Law require manufacturers of drugs, devices, biologics and medical supplies to report to the U.S. Department of Health and Human Services information related to payments and other transfers of value made by such manufacturers to physicians and teaching hospitals, and ownership and investment interests held by physicians or their immediate family members; and</w:t>
      </w:r>
    </w:p>
    <w:p>
      <w:pPr>
        <w:spacing w:after="0" w:line="92" w:lineRule="exact"/>
        <w:rPr>
          <w:rFonts w:ascii="Arial" w:cs="Arial" w:eastAsia="Arial" w:hAnsi="Arial"/>
          <w:sz w:val="18"/>
          <w:szCs w:val="18"/>
          <w:color w:val="auto"/>
        </w:rPr>
      </w:pPr>
    </w:p>
    <w:p>
      <w:pPr>
        <w:ind w:left="900" w:right="180" w:hanging="446"/>
        <w:spacing w:after="0" w:line="25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analogous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w:t>
      </w:r>
    </w:p>
    <w:p>
      <w:pPr>
        <w:spacing w:after="0" w:line="18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future business activities could be subject to challenge under one or more of such laws. In addition, recent health care 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spacing w:after="0" w:line="275"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6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18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FDA or EMA regulations, to provide accurate information to the FDA or the EMA or intentional failures to report financial information or data accurately or to disclose unauthorized activities to us. Employee misconduct could also involve the improper use of information obtained in the course of clinical studies, which could result in regulatory sanctions and serious harm to our reputation. We will adopt a code of conduct in connection with this offering,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business activities may be subject to the Foreign Corrupt Practices Act, or FCPA, and similar anti-bribery and anti-corruption laws.</w:t>
      </w:r>
    </w:p>
    <w:p>
      <w:pPr>
        <w:spacing w:after="0" w:line="14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common shares may be volatile and may fluctuate due to factors beyond our control.</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share prices of publicly traded emerging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29"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studies by us, strategic partners, or competitors;</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events and factors beyond our control.</w:t>
      </w:r>
    </w:p>
    <w:p>
      <w:pPr>
        <w:spacing w:after="0" w:line="225" w:lineRule="exact"/>
        <w:rPr>
          <w:sz w:val="20"/>
          <w:szCs w:val="20"/>
          <w:color w:val="auto"/>
        </w:rPr>
      </w:pPr>
    </w:p>
    <w:p>
      <w:pPr>
        <w:ind w:right="760" w:firstLine="456"/>
        <w:spacing w:after="0" w:line="264" w:lineRule="auto"/>
        <w:rPr>
          <w:sz w:val="20"/>
          <w:szCs w:val="20"/>
          <w:color w:val="auto"/>
        </w:rPr>
      </w:pPr>
      <w:r>
        <w:rPr>
          <w:rFonts w:ascii="Arial" w:cs="Arial" w:eastAsia="Arial" w:hAnsi="Arial"/>
          <w:sz w:val="18"/>
          <w:szCs w:val="18"/>
          <w:color w:val="auto"/>
        </w:rPr>
        <w:t>In addition, the stock market in general has recently experienced extreme price and volume fluctuations that have often been unrelated or disproportionate to the operating performance of individual companies. Broad market and industry factors may materially affect the market price of companies’ stock, including ours, regardless of actual operating performance.</w:t>
      </w:r>
    </w:p>
    <w:p>
      <w:pPr>
        <w:spacing w:after="0" w:line="289" w:lineRule="exact"/>
        <w:rPr>
          <w:sz w:val="20"/>
          <w:szCs w:val="20"/>
          <w:color w:val="auto"/>
        </w:rPr>
      </w:pPr>
    </w:p>
    <w:p>
      <w:pPr>
        <w:ind w:left="240" w:right="460"/>
        <w:spacing w:after="0" w:line="277" w:lineRule="auto"/>
        <w:rPr>
          <w:sz w:val="20"/>
          <w:szCs w:val="20"/>
          <w:color w:val="auto"/>
        </w:rPr>
      </w:pPr>
      <w:r>
        <w:rPr>
          <w:rFonts w:ascii="Arial" w:cs="Arial" w:eastAsia="Arial" w:hAnsi="Arial"/>
          <w:sz w:val="18"/>
          <w:szCs w:val="18"/>
          <w:b w:val="1"/>
          <w:bCs w:val="1"/>
          <w:i w:val="1"/>
          <w:iCs w:val="1"/>
          <w:color w:val="auto"/>
        </w:rPr>
        <w:t>There was no public market for our common shares prior to this offering, and an active market in our common shares may not develop in which investors can resell our common shares.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Prior to this offering there was no public market for our common shares. We cannot predict the extent to which an active market for our common shares will develop or be sustained after this offering, or how the development of such a market might affect the market price for our common shares. The initial public offering price of our common shares in this offering was agreed among us and the underwriters based on a number of factors, including market conditions in effect at the time of this offering, which may not be indicative of the price at which our common shares will trade following completion of this offering. Investors may not be able to sell their common shares at or above the initial public offering price.</w:t>
      </w:r>
    </w:p>
    <w:p>
      <w:pPr>
        <w:spacing w:after="0" w:line="281"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Certain of our existing shareholders will continue to be able to exercise significant control over us, and your interests may conflict with the interests of our existing shareholders.</w:t>
      </w:r>
    </w:p>
    <w:p>
      <w:pPr>
        <w:spacing w:after="0" w:line="62"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Following completion of this offering, our existing shareholders are expected to own approximately 89.2% of our common shares (or approximately 87.7% if the underwriters exercise their over-allotment option in full), excluding any shares purchased by any such holders in this offering. Depending on the level of attendance at our general meetings of shareholders, these shareholders may be in a position to determine the outcome of decisions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Future sales, or the possibility of future sales, of a substantial number of our common shares could adversely affect the price of our common shares.</w:t>
      </w:r>
    </w:p>
    <w:p>
      <w:pPr>
        <w:spacing w:after="0" w:line="15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Future sales of a substantial number of our common shares, or the perception that such sales will occur, could cause a decline in the market price of our common shares. Following the completion of this offering, we will have 55,396,042 common shares outstanding based on 10,819,000 common shares outstanding as of August 31, 2016 and 38,577,042 additional common shares issuable upon the conversion of all of our outstanding preferred shares into common shares, excluding 5,300,000 of our common shares issued to Credit Suisse AG, Zurich in the CS AG Share Issuance. This includes the common shares in this offering, which may be resold in the public market immediately upon the closing of this offering without restriction, unless purchased by our affiliates. Approximately 64.2% of the common shares outstanding are expected to be held by affiliates (assuming no exercise of the underwriters’ over-allotment option). All of these common shares will be subject to the lock-up agreements described in the “Underwriting” section of this prospectus. If, after the end of such lock-up agreements, these shareholders sell substantial amounts of common shares in the public market, or the market perceives that such sales may occur, the market price of our common shares and our ability to raise capital through an issue of equity securities in the future could be adversely affected. We also entered into a registration rights agreement in connection with the Series E Private Placement with certain investors in the Series E Private Placement pursuant to which we agreed under certain circumstances to file a registration statement to register the resale of the common shares held by certain of our existing shareholders, as well as to cooperate in certain public offerings of such common shares. In addition, following the completion of this offering, we intend to cease any new grants under our existing equity incentive plans and to adopt a new omnibus equity incentive plan under which we would have the discretion to grant a broad range of equity-based awards to eligible participants. We intend to register all common shares that we may issue under this equity compensation plan. Once we register these common shares, they can be freely sold in the public market upon issuance, subject to volume limitations applicable to affiliates and the lock-up agreements described in the “Underwriting” section of this prospectus. If a large number of our common shares or securities convertible into our common shares are sold in the public market after they become eligible for sale, the sales could reduce the trading price of our common shares and impede our ability to raise future capital.</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you purchase common shares in this offering, you will suffer immediate dilution of your investment.</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initial public offering price of our common shares is substantially higher than the as adjusted net tangible book value per common share. Therefore, if you purchase common shares in this offering, you will pay a price per common share that substantially exceeds our as adjusted net tangible book value per common share after this offering. To the extent outstanding options are exercised, you will incur further dilution. You will experience immediate dilution of CHF 6.76 ($6.92) per common share, representing the difference between our as adjusted net tangible book value per common share after giving effect to this offering and the initial public offering price. In addition, purchasers of common shares in this offering will have contributed approximately 31.2% of the aggregate price paid by all purchasers of common shares issued by us but will own only approximately 10.8% of our common shares outstanding after this offering. See “Dilution.”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that do not improve our results of operations or enhance the value of our common shares. The failure by our management to apply these funds effectively could result in financial losses that could have a material adverse effect on our business, cause the price of our common shares to decline and delay the development of our product candidates. Pending their use, we may invest the net proceeds from this offering in a manner that does not produce income or that loses value.</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The proposal to pay future dividends to shareholders will in addition effectively be at the discretion of our board of directors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Swiss corporation. The rights of our shareholders may be different from the rights of shareholders in companies governed by the laws of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jurisdictions.</w:t>
      </w:r>
    </w:p>
    <w:p>
      <w:pPr>
        <w:spacing w:after="0" w:line="10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in Lausanne, Switzerland, or where the relevant member of our board of directors is domiciled. In addition, under Swiss law, any claims by our shareholders against us must be brought exclusively in Lausanne, Switzerland. See “Description of Share Capital and Articles of Association” and “Comparison of Delaware Law and Swiss Law.”</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implementation of the authorized share capital increase may be blocked.</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This offering is based upon and subject to a resolution regarding the authorized share capital increase that was approved by the shareholders at the shareholders’ meeting held on October 21, 2015, which requires registration with the commercial register of the Canton of Vaud. On May 27, 2016, the commercial register of the Canton of Vaud approved an increase in our authorized share capital of 5,300,000 common shares, all of which were issued to Credit Suisse AG, Zurich. See Note 7 (Other current liabilities) of our unaudited interim condensed financial statements as of and for the six months ended June 30, 2016 and June 30, 2015 included elsewhere in this prospectus. Any registration of a capital increase over and above these 5,300,000 common shares in the commercial register of the Canton of Vaud may be blocked by a shareholder and, therefore, prevent or delay the completion of this offering.</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common shares are issued under the laws of Switzerland, which may not protect investors in a similar fashion afforded by incorporation in a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state.</w:t>
      </w:r>
    </w:p>
    <w:p>
      <w:pPr>
        <w:spacing w:after="0" w:line="10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organized under the laws of Switzerland. A further summary of applicable Swiss company law is contained in this prospectus, see “Description of Share Capital and Articles of Association” and “Comparison of Delaware Law and Swiss Law.” However, there can be no assurance that Swiss law will not change in the future or that it will serve to protect investors in a similar fashion afforded under corporate law principles in the U.S., which could adversely affect the rights of investors.</w:t>
      </w:r>
    </w:p>
    <w:p>
      <w:pPr>
        <w:spacing w:after="0" w:line="295"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Swiss law allows our shareholders to authorize share capital that can be issued by the board of directors without additional shareholder approval. This authorization is limited to 50% of the existing registered share capital and must be renewed by the shareholders every two years. Additionally, subject to specified exceptions, Swiss law grants pre-emptive subscription rights to existing shareholders to subscribe to any new issuance of shares. Swiss law also does not provide as much flexibility in the various terms that can attach to different classes of shares as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 management may limit our flexibility, and situations may arise where greater flexibility would have provided substantial benefits to our shareholders.</w:t>
      </w:r>
    </w:p>
    <w:p>
      <w:pPr>
        <w:spacing w:after="0" w:line="17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contributions received from shareholders) in the “reserve from capital contributions.” Distributions may be made out of issued share capital—the aggregate nominal value of a company’s issued shares—only by way of a capital reduction. Upon completion of this offering, we expect the Company to have CHF 152.5 million of qualifying capital contributions and CHF 1,107,921 of registered share capital (consisting of 55,396,042 common shares each with a nominal value of CHF 0.02 and no preferred shares) on its audited statutory balance sheet. The number of common shares referred to in the preceding sentence includes the number of shares to be issued in this offering from the 5,300,000 common shares issued in the CS AG Share Issuance. We expect the aggregate of these amounts (less the minimum issued share capital and legal reserve of together CHF 150,000) to represent the amount available for future dividends or capital reductions on a Swiss withholding tax-free basis. We will not be able to pay dividends or make other distributions to shareholders on a Swiss withholding tax-free basis in excess of that amount unless the Company increases its share capital or its reserves from capital contributions. We would also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72"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Generally, Swiss withholding tax of 35% is due on dividends and similar distributions to our shareholders, regardless of the place of residency of the shareholder, unless the distribution is made to shareholders out of (i) a reduction of nominal value or (ii) assuming certain conditions are met, qualifying capital contributions accumulated on or after January 1, 1997. A U.S. holder that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can be no assurance that we will have sufficient qualifying capital contributions to pay dividends free from Swiss withholding tax, or that Swiss withholding rules will not be changed in the future. In addition, we cannot provide assurance that the current Swiss law with respect to distributions out of qualifying capital contributions will not be changed or that a change in Swiss law will not adversely affect us or our shareholders, in particular as a result of distributions out of qualifying capital contributions becoming subject to additional corporate law or other restrictions. There are currently motions pending in the Swiss Parliament that purport to limit the distribution of qualifying capital contributions. In addition, over the long term, the amount of par value available to us for nominal value reductions or qualifying capital contributions available to us to pay out as distributions is limited. If we are unable to make a distribution through a reduction in nominal value or out of qualifying capital contributions, we may not be able to make distributions without subjecting our shareholders to Swiss withholding taxes.</w:t>
      </w:r>
    </w:p>
    <w:p>
      <w:pPr>
        <w:spacing w:after="0" w:line="19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Under present Swiss tax laws, repurchases of shares for the purposes of cancellation are treated as a partial liquidation subject to 35% Swiss withholding tax on the difference between the repurchase price and the nominal value except, since January 1, 2011, to the extent attributable to qualifying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if any, and to the extent that, the repurchase of shares is out of retained earnings or other taxable reserves. No partial liquidation treatment applies and no withholding tax is triggered if the shares are not repurchased for cancellation but held by the Company as treasury shares. However, should Company not resell such treasury shares within six years, the withholding tax becomes due at the end of the six year period.</w:t>
      </w:r>
    </w:p>
    <w:p>
      <w:pPr>
        <w:spacing w:after="0" w:line="266"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organized under the laws of Switzerland and our registered office and domicile is located in Ecublens, near Lausanne, Switzerland. Moreover, a number of our directors and executive officers and a number of directors of each of our subsidiaries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Also, certain mandatory provisions of Swiss law may be applicable regardless of any other law that would otherwise apply.</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92"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issued share capital at the time of the authorization. The 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subscription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 See “Description of Share Capital and Articles of Association” and “Comparison of Delaware Law and Swiss Law.”</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Swiss law restricts our ability to pay dividends.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proposal to pay future dividends to shareholders will effectively be at the discretion of our board of directors and subject to approval by, in their discretion, our shareholders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 Dividends paid on our common shares are subject to Swiss federal withholding tax, except if paid out of reserves from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See “Taxation— Swiss Tax Considerations” for a summary of certain Swiss tax consequences regarding dividends distributed to holders of our common shares.</w:t>
      </w:r>
    </w:p>
    <w:p>
      <w:pPr>
        <w:spacing w:after="0" w:line="275"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will be a foreign private issuer and, as a result, we will not be subject to U.S. proxy rules and will be subject to Exchange Act reporting obligations that, to some extent, are more lenient and less frequent than those of a U.S. domestic public company.</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Upon consummation of this offering, we will report under the Exchange Act as a non-U.S. company with foreign private issuer status. Because we qualify as a foreign private issuer under the Exchange Act and although 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will rely on certain home country governance practices rather than the corporate governance requirements of NASDAQ.</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be a foreign private issuer as of the effective date of this registration statement. As a result, in accordance with NASDAQ Listing Rule 5615(a) (3), we will comply with home country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will not be subject to NASDAQ Listing Rule 5605(b)(2), which requires that independent directors must regularly have scheduled meetings at which only independent directors are present.</w:t>
      </w:r>
    </w:p>
    <w:p>
      <w:pPr>
        <w:spacing w:after="0" w:line="193"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Although Swiss law also requires that we adopt a compensation committee, we will follow home country requirements with respect to such committee and our compensation, nomination and governance committee will also be tasked with certain director nomination and governance responsibilities as described under “Management—Committees of the Board of Directors.”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pacing w:after="0" w:line="17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will vary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7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an overview of our corporate governance principles, see “Description of Share Capital and Articles of Association.” As a result of the above, you may not have the same protections afforded to shareholders of companies that are not foreign private issuers.</w:t>
      </w:r>
    </w:p>
    <w:p>
      <w:pPr>
        <w:spacing w:after="0" w:line="279"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6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2017 (the end of our second fiscal quarter in the fiscal year after this offering), which would require us to comply with all of the periodic disclosure and current reporting requirements of the Exchange Act applicable to U.S. domestic issuers as of January 1, 2018. In order to maintain our current status as a foreign private issuer, either (a) a majority of our common shares must be either directly or indirectly owned of record by non-residents of the United States or (b)(i) a majority of our executive officers or directors may not be United States citizens or residents, (ii) more than 50 percent of our assets cannot be located in the United States and (iii) our business must be administered principally outside the United States. If we lost this status, we would be required to comply with the Exchange Act reporting and other requirements applicable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87"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shares less attractive to investors.</w:t>
      </w:r>
    </w:p>
    <w:p>
      <w:pPr>
        <w:spacing w:after="0" w:line="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exemptions from the requirements of holding a nonbinding advisory vote on executive compensation and shareholder approval of any golden parachute payments not previously approved. As an “emerging growth company” in our initial registration statement we are required to report only two years of financial results and selected financial data compared to three and five years, respectively, for comparable data reported by other public companies. We could be an “emerging growth company” for up to five years, although circumstances could cause us to lose that status earlier, including if the market value of our common shares held by non-affiliates exceeds $700 million as of any June 30 (the end of our second fiscal quarter) before that time, in which case we would no longer be an “emerging growth company” as of the following December 31 (our fiscal year end). We cannot predict if investors will find our common shares less attractive because we may rely on these exemptions. If some investors find our common shares less attractive as a result, there may be a less active trading market for our common shares and the price of our common shares may be more volatile.</w:t>
      </w:r>
    </w:p>
    <w:p>
      <w:pPr>
        <w:spacing w:after="0" w:line="281"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As a result of being a public company we will incur additional costs and we may not manage to comply with our internal control procedures and corporate governance structures.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public company, we will incur additional legal, insurance, accounting and other expenses that we did not incur as a private company. For example, in anticipation of becoming a public company, we will need to adopt additional internal controls and disclosure controls and procedures and bear all of the internal and external costs of preparing and distributing periodic public reports in compliance with our obligation under the securities laws. However, if our efforts to comply with evolving laws, regulations and standards differ from the activities intended by regulatory or governing bodies due to ambiguities related to practice, regulatory authorities may initiate legal proceedings against us. This could have a material adverse impact on our business, financial condition and results of operations.</w:t>
      </w:r>
    </w:p>
    <w:p>
      <w:pPr>
        <w:spacing w:after="0" w:line="301" w:lineRule="exact"/>
        <w:rPr>
          <w:sz w:val="20"/>
          <w:szCs w:val="20"/>
          <w:color w:val="auto"/>
        </w:rPr>
      </w:pPr>
    </w:p>
    <w:p>
      <w:pPr>
        <w:ind w:left="240" w:right="20"/>
        <w:spacing w:after="0" w:line="257" w:lineRule="auto"/>
        <w:rPr>
          <w:sz w:val="20"/>
          <w:szCs w:val="20"/>
          <w:color w:val="auto"/>
        </w:rPr>
      </w:pPr>
      <w:r>
        <w:rPr>
          <w:rFonts w:ascii="Arial" w:cs="Arial" w:eastAsia="Arial" w:hAnsi="Arial"/>
          <w:sz w:val="18"/>
          <w:szCs w:val="18"/>
          <w:b w:val="1"/>
          <w:bCs w:val="1"/>
          <w:i w:val="1"/>
          <w:iCs w:val="1"/>
          <w:color w:val="auto"/>
        </w:rPr>
        <w:t>In connection with the audit of our financial statements as at and for the year ended December 31, 2014, we and our independent registered public accounting firm identified a material weakness in our internal control over financial reporting. This material weakness continued to exist as at December 31, 2015 and as at June 30, 2016. If we fail to maintain an effective system of internal control over financial reporting, we may be unable to accurately report our financial results or prevent fraud, and investor confidence in our company and the market price of our shares may be adversely affected.</w:t>
      </w:r>
    </w:p>
    <w:p>
      <w:pPr>
        <w:spacing w:after="0" w:line="8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Prior to this offering, we have been a private company with limited accounting personnel and other resources with which to address our internal control over financial reporting. Further, our reporting obligations as a public company will continue to place a significant strain on our management, operational and financial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resources and systems for the foreseeable future. In connection with our preparation and the audit of our financial statements as of and for the year ended December 31, 2014, we and our independent registered public accounting firm identified a material weakness as defined under the Exchange Act and by the U.S. Public Company Accounting Oversight Board, or PCAOB, in our internal control over financial reporting, and this material weakness was not remediated as of December 31, 2015 nor as at June 30, 2016. A material weakness is a deficiency, or a combination of deficiencies, in internal control over financial reporting, such that there is a reasonable possibility that a material misstatement of the company’s annual financial statements will not be prevented or detected on a timely basis. The material weakness identified relates specifically to the accounting for and disclosure of non-routine and complex accounting transactions and the related internal controls and processes supporting these areas. In light of the material weakness that was identified, we believe it is possible that, had we performed a formal assessment of our internal control over financial reporting or had our independent registered public accounting firm performed an audit of our internal control over financial reporting in accordance with PCAOB standards, additional control deficiencies may have been identified.</w:t>
      </w:r>
    </w:p>
    <w:p>
      <w:pPr>
        <w:spacing w:after="0" w:line="19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Once public, we will be subject to reporting obligations under U.S. securities laws and the Sarbanes-Oxley Act of 2002. Section 404 of the Sarbanes-Oxley Act will require that we include a report from management on the effectiveness of our internal control over financial reporting in our annual report on Form 20-F beginning with our annual report for the fiscal year ending December 31, 2017. If we fail to remediate the material weakness identified above, our management may conclude that our internal control over financial reporting is not effective. This conclusion could adversely impact the market price of our shares due to a loss of investor confidence in the reliability of our reporting processes.</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begun taking measures and plan to continue to take measures to remediate this material weakness. However, the implementation of these measures may not fully address this material weakness in our internal control over financial reporting, and therefore we would not be able to conclude that it has been fully remedied. Our failure to correct this material weakness or our failure to discover and address any other control deficiencies could result in inaccuracies in our financial statements and could also impair our ability to comply with applicable financial reporting requirements and make related regulatory filings on a timely basis. As a result, our business, financial condition, results of operations and prospects, as well as the trading price of our shares, may be materially and adversely affected.</w:t>
      </w:r>
    </w:p>
    <w:p>
      <w:pPr>
        <w:spacing w:after="0" w:line="301" w:lineRule="exact"/>
        <w:rPr>
          <w:sz w:val="20"/>
          <w:szCs w:val="20"/>
          <w:color w:val="auto"/>
        </w:rPr>
      </w:pPr>
    </w:p>
    <w:p>
      <w:pPr>
        <w:ind w:left="240" w:right="140"/>
        <w:spacing w:after="0" w:line="264" w:lineRule="auto"/>
        <w:rPr>
          <w:sz w:val="20"/>
          <w:szCs w:val="20"/>
          <w:color w:val="auto"/>
        </w:rPr>
      </w:pPr>
      <w:r>
        <w:rPr>
          <w:rFonts w:ascii="Arial" w:cs="Arial" w:eastAsia="Arial" w:hAnsi="Arial"/>
          <w:sz w:val="18"/>
          <w:szCs w:val="18"/>
          <w:b w:val="1"/>
          <w:bCs w:val="1"/>
          <w:i w:val="1"/>
          <w:iCs w:val="1"/>
          <w:color w:val="auto"/>
        </w:rPr>
        <w:t>If in the future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As discussed above, in connection with the audit of our financial statements as and for the year ended December 31, 2014, we identified a material weakness in our internal control over financial reporting, which was not remediated as at December 31, 2015 nor as at June 30, 2016.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have a negative effect on the trading price of our common shares.</w:t>
      </w:r>
    </w:p>
    <w:p>
      <w:pPr>
        <w:spacing w:after="0" w:line="16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will be required to disclose changes made in our internal controls and procedures and our management will be required to assess the effectiveness of these controls annually. However, for as long as we are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“emerging growth company” under the JOBS Act, our independent registered public accounting firm will not be 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262"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trading market for our common shares will depend in part on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common shares would likely be negatively affected. In the event securities or industry analysts initiate coverage,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273" w:lineRule="exact"/>
        <w:rPr>
          <w:sz w:val="20"/>
          <w:szCs w:val="20"/>
          <w:color w:val="auto"/>
        </w:rPr>
      </w:pPr>
    </w:p>
    <w:p>
      <w:pPr>
        <w:ind w:left="240" w:right="160"/>
        <w:spacing w:after="0" w:line="264" w:lineRule="auto"/>
        <w:rPr>
          <w:sz w:val="20"/>
          <w:szCs w:val="20"/>
          <w:color w:val="auto"/>
        </w:rPr>
      </w:pPr>
      <w:r>
        <w:rPr>
          <w:rFonts w:ascii="Arial" w:cs="Arial" w:eastAsia="Arial" w:hAnsi="Arial"/>
          <w:sz w:val="18"/>
          <w:szCs w:val="18"/>
          <w:b w:val="1"/>
          <w:bCs w:val="1"/>
          <w:i w:val="1"/>
          <w:iCs w:val="1"/>
          <w:color w:val="auto"/>
        </w:rPr>
        <w:t>Although we believe that we were not a “passive foreign investment company,” or PFIC, for U.S. federal income tax purposes in 2015 and we do not expect to be a PFIC in the immediately foreseeable future, if we were a PFIC U.S. shareholders may be subject to adverse U.S. federal income tax consequences.</w:t>
      </w:r>
    </w:p>
    <w:p>
      <w:pPr>
        <w:spacing w:after="0" w:line="7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the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our business plan and certain estimates and projections, including as to the relative values of our assets, we do not believe that we were a PFIC for our 2015 taxable year and do not expect to be a PFIC in the immediately foreseeable future. However, there can be no assurance that the IRS will agree with our conclusion. In addition, whether we will be a PFIC in 2016 or any future 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w:t>
      </w:r>
    </w:p>
    <w:p>
      <w:pPr>
        <w:spacing w:after="0" w:line="16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If we are a PFIC for any taxable year during which a U.S. investor holds common shares, we generally would continue to be treated as a PFIC with respect to that U.S. investor for all succeeding years during which the U.S. investor holds common shares, even if we ceased to meet the threshold requirements for PFIC status. Such a U.S. investor may be subject to adverse U.S. federal income tax consequences, including (i) the treatment of all or a portion of any gain on disposition as ordinary income, (ii) the application of a deferred interest charge on such gain and the receipt of certain dividends and</w:t>
      </w:r>
    </w:p>
    <w:p>
      <w:pPr>
        <w:spacing w:after="0" w:line="2" w:lineRule="exact"/>
        <w:rPr>
          <w:sz w:val="20"/>
          <w:szCs w:val="20"/>
          <w:color w:val="auto"/>
        </w:rPr>
      </w:pPr>
    </w:p>
    <w:p>
      <w:pPr>
        <w:ind w:right="20" w:firstLine="8"/>
        <w:spacing w:after="0" w:line="261" w:lineRule="auto"/>
        <w:tabs>
          <w:tab w:leader="none" w:pos="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compliance with certain reporting requirements. We do not intend to provide the information that would enable investors to take a qualified electing fund election that could mitigate the adverse U.S. federal income tax consequences should we be classified as a PFIC.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further discussion, see “Taxation—Material U.S. Federal Income Tax Considerations for U.S. Holders.”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this prospectus. These risks and uncertainties include factors relating to:</w:t>
      </w:r>
    </w:p>
    <w:p>
      <w:pPr>
        <w:spacing w:after="0" w:line="121" w:lineRule="exact"/>
        <w:rPr>
          <w:sz w:val="20"/>
          <w:szCs w:val="20"/>
          <w:color w:val="auto"/>
        </w:rPr>
      </w:pPr>
    </w:p>
    <w:p>
      <w:pPr>
        <w:ind w:left="900" w:right="24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for AD and ACI-35;</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Morphomer and SupraAntigen proprietary technology platforms and their success in building additional product candidates for our pipeline;</w:t>
      </w:r>
    </w:p>
    <w:p>
      <w:pPr>
        <w:spacing w:after="0" w:line="180" w:lineRule="exact"/>
        <w:rPr>
          <w:rFonts w:ascii="Arial" w:cs="Arial" w:eastAsia="Arial" w:hAnsi="Arial"/>
          <w:sz w:val="16"/>
          <w:szCs w:val="16"/>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FDA’s and applicable foreign regulatory authorities’ acceptance of data from studies we conduct outside the United States in the future;</w:t>
      </w:r>
    </w:p>
    <w:p>
      <w:pPr>
        <w:spacing w:after="0" w:line="169" w:lineRule="exact"/>
        <w:rPr>
          <w:rFonts w:ascii="Arial" w:cs="Arial" w:eastAsia="Arial" w:hAnsi="Arial"/>
          <w:sz w:val="17"/>
          <w:szCs w:val="17"/>
          <w:color w:val="auto"/>
        </w:rPr>
      </w:pPr>
    </w:p>
    <w:p>
      <w:pPr>
        <w:ind w:left="900" w:right="16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0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 and</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other risk factors discussed under “Risk Factors.”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These forward-looking statements speak only as of the date of this prospectus and are subject to a number of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The forward-looking statements contained in this prospectus are excluded from the safe harbor protection provided by the Private Securities Litigation Reform Act of 1995 and Section 27A of the Securities Act.</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00"/>
          </w:cols>
          <w:pgMar w:left="240" w:top="459"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prospectus contains industry, market and competitive position data that are based on industry publications and studies conducted by third parties as well as our own internal estimates and research. These industry publications and third-party studies generally state that the information that they contain has been obtained from sources believed to be reliable, although they do not guarantee the accuracy or completeness of such information. While we believe that each of these publications, third-party studies and our internal research is reliable and that the definition of our market and industry is appropriate, you are cautioned not to give undue weight to this information.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estimate that the net proceeds from the sale of 6,000,000 common shares by us in this offering will be approximately $57.8 million, after deducting the underwriting discount and estimated offering expenses payable by us. In addition, we received gross proceeds of CHF 14 million in July 2016 from Genentech related to our collaboration on the anti-tau antibody program.</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undertaking this offering in order to access the public capital markets and to increase our liquidity. At June 30, 2016, after taking into consideration the CHF 14 million milestone payment from Genentech related to the anti-tau antibody program, we would have had cash and cash equivalents of CHF 96.4 million. We intend to use the net proceeds of this offering over the next three years together with our existing cash and cash equivalents as follows:</w:t>
      </w:r>
    </w:p>
    <w:p>
      <w:pPr>
        <w:spacing w:after="0" w:line="92" w:lineRule="exact"/>
        <w:rPr>
          <w:sz w:val="20"/>
          <w:szCs w:val="20"/>
          <w:color w:val="auto"/>
        </w:rPr>
      </w:pPr>
    </w:p>
    <w:p>
      <w:pPr>
        <w:ind w:left="900" w:right="60" w:hanging="325"/>
        <w:spacing w:after="0" w:line="25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approximately $5.0 million to fund our share of the costs for the further development of our therapeutic product candidates (other than ACI-35) and diagnostics product candidates under collaboration agreements (anti-tau antibodies and the tau PET tracers), excluding our collaboration agreement with Biogen, over the next three years, of which approximately $4.0 million will be spent on therapeutic product candidates and of which approximately $1.0 million will be spent on diagnostic product candidates, and we expect these expenditures will take the tau PET tracers into Phase 2 and the anti-tau antibody program into Phase 2;</w:t>
      </w:r>
    </w:p>
    <w:p>
      <w:pPr>
        <w:spacing w:after="0" w:line="93"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approximately $10.0 million to fund our share of the costs for the further development of ACI-35, our tau vaccine under collaboration with Janssen, and we expect these expenditures will take ACI-35 into Phase 2;</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approximately $65.0 million for the further development of ACI-24 for AD through the remainder of the Phase 1/2a study and the Phase 2b study and for our ongoing Phase 1 study and a portion of the proposed Phase 2 study of ACI-24 for Down syndrome;</w:t>
      </w:r>
    </w:p>
    <w:p>
      <w:pPr>
        <w:spacing w:after="0" w:line="75" w:lineRule="exact"/>
        <w:rPr>
          <w:rFonts w:ascii="Arial" w:cs="Arial" w:eastAsia="Arial" w:hAnsi="Arial"/>
          <w:sz w:val="18"/>
          <w:szCs w:val="18"/>
          <w:color w:val="auto"/>
        </w:rPr>
      </w:pPr>
    </w:p>
    <w:p>
      <w:pPr>
        <w:ind w:left="900" w:right="20" w:hanging="325"/>
        <w:spacing w:after="0" w:line="31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approximately $25.0 million for funding our PD-focused programs, including further pre-clinical development, the completion of Phase 1 studies and commencement of Phase 2 studies for our alpha-synuclein diagnostic product candidate as well as further pre-clinical development and the commencement of a Phase 1 clinical study of Morphomer alpha-synuclein, our alpha-synuclein morphomer product candidate;</w:t>
      </w:r>
    </w:p>
    <w:p>
      <w:pPr>
        <w:spacing w:after="0" w:line="52" w:lineRule="exact"/>
        <w:rPr>
          <w:rFonts w:ascii="Arial" w:cs="Arial" w:eastAsia="Arial" w:hAnsi="Arial"/>
          <w:sz w:val="16"/>
          <w:szCs w:val="16"/>
          <w:color w:val="auto"/>
        </w:rPr>
      </w:pPr>
    </w:p>
    <w:p>
      <w:pPr>
        <w:ind w:left="900" w:right="2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approximately $20.0 million for the further development of non-AD and non-PD programs, including our morphomer tau and glaucoma program for which we intend to commence a Phase 1 study;</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approximately $10.0 million for new research and development initiatives that are complementary to our existing and planned research initiatives (with the intent to advance these new initiatives through the discovery phase);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remainder for general corporate purposes.</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However, due to the uncertainties inherent in the product development process, it is difficult to estimate with certainty the exact amounts of the net proceeds from this offering that may be used for the above purposes. The amount and timing of our actual expenditures will depend upon numerous factors, including the results of our research and development efforts, the timing and success of our ongoing preclinical and clinical studies or preclinical and clinical studies we may commence in the future and the timing of regulatory submissions. As a result, our management will have broad discretion over the use of the net proceeds from this offering, and investors will be relying on our judgment regarding the application of the net proceeds. In addition, we might decide to postpone or not pursue certain preclinical activities or clinical studies if the net proceeds from this offering and our other sources of cash are less than expected.</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Pending the use of the proceeds from this offering, we intend to invest the net proceeds in interest-bearing, investment-grade securities, certificates of deposit or direct or guaranteed obligations of the U.S. and Swiss governments. We are likely to convert a substantial amount of the proceeds into CHF shortly after the closing of this offering.</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Swiss law, any dividend must be proposed by our board of directors and approved by our shareholders. In addition, our auditors must confirm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the dividend proposal of our board of directors conforms to Swiss statutory law and our articles of association. A Swiss corporation may pay dividends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only if it has sufficient distributable profits brought forward from the previous business years (“</w:t>
      </w:r>
      <w:r>
        <w:rPr>
          <w:rFonts w:ascii="Arial" w:cs="Arial" w:eastAsia="Arial" w:hAnsi="Arial"/>
          <w:sz w:val="17"/>
          <w:szCs w:val="17"/>
          <w:i w:val="1"/>
          <w:iCs w:val="1"/>
          <w:color w:val="auto"/>
        </w:rPr>
        <w:t>report des bénéfices</w:t>
      </w:r>
      <w:r>
        <w:rPr>
          <w:rFonts w:ascii="Arial" w:cs="Arial" w:eastAsia="Arial" w:hAnsi="Arial"/>
          <w:sz w:val="17"/>
          <w:szCs w:val="17"/>
          <w:color w:val="auto"/>
        </w:rPr>
        <w:t>”) or if it has distributable reserves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réserves à libre disposition</w:t>
      </w:r>
      <w:r>
        <w:rPr>
          <w:rFonts w:ascii="Arial" w:cs="Arial" w:eastAsia="Arial" w:hAnsi="Arial"/>
          <w:sz w:val="16"/>
          <w:szCs w:val="16"/>
          <w:color w:val="auto"/>
        </w:rPr>
        <w:t>”), each as evidenced by its audited standalone statutory balance sheet prepared pursuant to Swiss law and after allocations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reserves required by Swiss law and its articles of association have been deducted. Distributable reserves are generally booked either as “free reserves”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réserves libres</w:t>
      </w:r>
      <w:r>
        <w:rPr>
          <w:rFonts w:ascii="Arial" w:cs="Arial" w:eastAsia="Arial" w:hAnsi="Arial"/>
          <w:sz w:val="17"/>
          <w:szCs w:val="17"/>
          <w:color w:val="auto"/>
        </w:rPr>
        <w:t>”) or as “reserve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Distributions out of nominal share capital, which is the aggregate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nominal value of a corporation’s issued shares, may be made only by way of a share capital reduction. See “Description of Share Capital and Articles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Association.”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0"/>
          </w:cols>
          <w:pgMar w:left="240" w:top="459" w:right="3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cash and cash equivalents and our total capitalization (defined as the sum of total debt and shareholders’ equity)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 derived from our unaudited interim financial statements prepared in accordance with IFRS:</w:t>
      </w:r>
    </w:p>
    <w:p>
      <w:pPr>
        <w:spacing w:after="0" w:line="11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an as adjusted basis to reflect:</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conversion of all shares of our preferred stock outstanding as of June 30, 2016 into an aggregate of 38,577,042 common shares;</w:t>
      </w:r>
    </w:p>
    <w:p>
      <w:pPr>
        <w:spacing w:after="0" w:line="140" w:lineRule="exact"/>
        <w:rPr>
          <w:rFonts w:ascii="Arial" w:cs="Arial" w:eastAsia="Arial" w:hAnsi="Arial"/>
          <w:sz w:val="16"/>
          <w:szCs w:val="16"/>
          <w:color w:val="auto"/>
        </w:rPr>
      </w:pPr>
    </w:p>
    <w:p>
      <w:pPr>
        <w:ind w:left="1760" w:hanging="268"/>
        <w:spacing w:after="0"/>
        <w:tabs>
          <w:tab w:leader="none" w:pos="17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articles of association;</w:t>
      </w:r>
    </w:p>
    <w:p>
      <w:pPr>
        <w:spacing w:after="0" w:line="117" w:lineRule="exact"/>
        <w:rPr>
          <w:rFonts w:ascii="Arial" w:cs="Arial" w:eastAsia="Arial" w:hAnsi="Arial"/>
          <w:sz w:val="18"/>
          <w:szCs w:val="18"/>
          <w:color w:val="auto"/>
        </w:rPr>
      </w:pPr>
    </w:p>
    <w:p>
      <w:pPr>
        <w:ind w:left="1500" w:right="320" w:hanging="8"/>
        <w:spacing w:after="0" w:line="277" w:lineRule="auto"/>
        <w:tabs>
          <w:tab w:leader="none" w:pos="1815" w:val="left"/>
        </w:tabs>
        <w:numPr>
          <w:ilvl w:val="1"/>
          <w:numId w:val="39"/>
        </w:numPr>
        <w:rPr>
          <w:rFonts w:ascii="Arial" w:cs="Arial" w:eastAsia="Arial" w:hAnsi="Arial"/>
          <w:sz w:val="18"/>
          <w:szCs w:val="18"/>
          <w:color w:val="auto"/>
        </w:rPr>
      </w:pPr>
      <w:r>
        <w:rPr>
          <w:rFonts w:ascii="Arial" w:cs="Arial" w:eastAsia="Arial" w:hAnsi="Arial"/>
          <w:sz w:val="18"/>
          <w:szCs w:val="18"/>
          <w:color w:val="auto"/>
        </w:rPr>
        <w:t>our receipt in July 2016 of the Anti-Tau Antibody Phase 1 Milestone Payment described under “Prospectus Summary—Anti-Tau Antibody Phase 1 Milestone Payment”; and</w:t>
      </w:r>
    </w:p>
    <w:p>
      <w:pPr>
        <w:spacing w:after="0" w:line="62" w:lineRule="exact"/>
        <w:rPr>
          <w:rFonts w:ascii="Arial" w:cs="Arial" w:eastAsia="Arial" w:hAnsi="Arial"/>
          <w:sz w:val="18"/>
          <w:szCs w:val="18"/>
          <w:color w:val="auto"/>
        </w:rPr>
      </w:pPr>
    </w:p>
    <w:p>
      <w:pPr>
        <w:ind w:left="1800" w:hanging="308"/>
        <w:spacing w:after="0"/>
        <w:tabs>
          <w:tab w:leader="none" w:pos="1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exercise of options into a total of 4,500 common shares between July 1, 2016 and August 31, 2016; and</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an as further adjusted basis to further reflect the receipt of the estimated net proceeds from the sale of 6,000,000 common shares by us in this offering, after deducting the underwriting discount and estimated expenses payable by us.</w:t>
      </w:r>
    </w:p>
    <w:p>
      <w:pPr>
        <w:spacing w:after="0" w:line="116"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You should read this table in conjunction with our audited financial statements included in this prospectus as well as “Use of Proceeds,” “Selected Financial and Other Information” and “Management’s Discussion and Analysis of Financial Condition and Results of Operations” and our financial statements included elsewhere in this prospectus.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Stockholders’ equity</w:t>
      </w:r>
    </w:p>
    <w:p>
      <w:pPr>
        <w:spacing w:after="0" w:line="21" w:lineRule="exact"/>
        <w:rPr>
          <w:sz w:val="20"/>
          <w:szCs w:val="20"/>
          <w:color w:val="auto"/>
        </w:rPr>
      </w:pPr>
    </w:p>
    <w:p>
      <w:pPr>
        <w:ind w:left="520" w:hanging="170"/>
        <w:spacing w:after="0" w:line="248" w:lineRule="auto"/>
        <w:rPr>
          <w:sz w:val="20"/>
          <w:szCs w:val="20"/>
          <w:color w:val="auto"/>
        </w:rPr>
      </w:pPr>
      <w:r>
        <w:rPr>
          <w:rFonts w:ascii="Arial" w:cs="Arial" w:eastAsia="Arial" w:hAnsi="Arial"/>
          <w:sz w:val="17"/>
          <w:szCs w:val="17"/>
          <w:color w:val="auto"/>
        </w:rPr>
        <w:t>Common shares nominal value CHF 0.02 per share, 10,814,500 shares issued and outstanding, actual; 65,443,542 shares authorized, 49,396,042 shares issued and outstanding, as adjusted; and 65,443,542 shares authorized, 55,396,042 shares issued and outstanding, as further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246620" cy="3860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386080"/>
                    </a:xfrm>
                    <a:prstGeom prst="rect">
                      <a:avLst/>
                    </a:prstGeom>
                    <a:noFill/>
                  </pic:spPr>
                </pic:pic>
              </a:graphicData>
            </a:graphic>
          </wp:anchor>
        </w:drawing>
      </w:r>
    </w:p>
    <w:p>
      <w:pPr>
        <w:ind w:left="520" w:hanging="170"/>
        <w:spacing w:after="0" w:line="281" w:lineRule="auto"/>
        <w:rPr>
          <w:sz w:val="20"/>
          <w:szCs w:val="20"/>
          <w:color w:val="auto"/>
        </w:rPr>
      </w:pPr>
      <w:r>
        <w:rPr>
          <w:rFonts w:ascii="Arial" w:cs="Arial" w:eastAsia="Arial" w:hAnsi="Arial"/>
          <w:sz w:val="15"/>
          <w:szCs w:val="15"/>
          <w:color w:val="auto"/>
        </w:rPr>
        <w:t>Preferred shares nominal value CHF 0.02 per share, 38,577,042 authorized preferred shares, 38,577,042 preferred shares issued and outstanding, actual; no shares authorized or issued and outstanding, as adjusted or as further adjusted</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Share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7"/>
          <w:szCs w:val="17"/>
          <w:color w:val="auto"/>
        </w:rPr>
        <w:t>Accumulated (deficit)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As at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6350</wp:posOffset>
            </wp:positionV>
            <wp:extent cx="15862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4"/>
          <w:szCs w:val="14"/>
          <w:b w:val="1"/>
          <w:bCs w:val="1"/>
          <w:color w:val="auto"/>
        </w:rPr>
        <w:t>As</w:t>
      </w:r>
    </w:p>
    <w:p>
      <w:pPr>
        <w:ind w:left="1040"/>
        <w:spacing w:after="0" w:line="221" w:lineRule="auto"/>
        <w:tabs>
          <w:tab w:leader="none" w:pos="1780" w:val="left"/>
        </w:tabs>
        <w:rPr>
          <w:sz w:val="20"/>
          <w:szCs w:val="20"/>
          <w:color w:val="auto"/>
        </w:rPr>
      </w:pPr>
      <w:r>
        <w:rPr>
          <w:rFonts w:ascii="Arial" w:cs="Arial" w:eastAsia="Arial" w:hAnsi="Arial"/>
          <w:sz w:val="14"/>
          <w:szCs w:val="14"/>
          <w:b w:val="1"/>
          <w:bCs w:val="1"/>
          <w:color w:val="auto"/>
        </w:rPr>
        <w:t>As</w:t>
      </w:r>
      <w:r>
        <w:rPr>
          <w:sz w:val="20"/>
          <w:szCs w:val="20"/>
          <w:color w:val="auto"/>
        </w:rPr>
        <w:tab/>
      </w:r>
      <w:r>
        <w:rPr>
          <w:rFonts w:ascii="Arial" w:cs="Arial" w:eastAsia="Arial" w:hAnsi="Arial"/>
          <w:sz w:val="14"/>
          <w:szCs w:val="14"/>
          <w:b w:val="1"/>
          <w:bCs w:val="1"/>
          <w:color w:val="auto"/>
        </w:rPr>
        <w:t>Further</w:t>
      </w:r>
    </w:p>
    <w:p>
      <w:pPr>
        <w:ind w:left="20"/>
        <w:spacing w:after="0"/>
        <w:tabs>
          <w:tab w:leader="none" w:pos="820" w:val="left"/>
          <w:tab w:leader="none" w:pos="1740" w:val="left"/>
        </w:tabs>
        <w:rPr>
          <w:sz w:val="20"/>
          <w:szCs w:val="20"/>
          <w:color w:val="auto"/>
        </w:rPr>
      </w:pPr>
      <w:r>
        <w:rPr>
          <w:rFonts w:ascii="Arial" w:cs="Arial" w:eastAsia="Arial" w:hAnsi="Arial"/>
          <w:sz w:val="14"/>
          <w:szCs w:val="14"/>
          <w:b w:val="1"/>
          <w:bCs w:val="1"/>
          <w:color w:val="auto"/>
        </w:rPr>
        <w:t>Actual</w:t>
      </w:r>
      <w:r>
        <w:rPr>
          <w:sz w:val="20"/>
          <w:szCs w:val="20"/>
          <w:color w:val="auto"/>
        </w:rPr>
        <w:tab/>
      </w:r>
      <w:r>
        <w:rPr>
          <w:rFonts w:ascii="Arial" w:cs="Arial" w:eastAsia="Arial" w:hAnsi="Arial"/>
          <w:sz w:val="14"/>
          <w:szCs w:val="14"/>
          <w:b w:val="1"/>
          <w:bCs w:val="1"/>
          <w:color w:val="auto"/>
        </w:rPr>
        <w:t>Adjusted</w:t>
      </w:r>
      <w:r>
        <w:rPr>
          <w:sz w:val="20"/>
          <w:szCs w:val="20"/>
          <w:color w:val="auto"/>
        </w:rPr>
        <w:tab/>
      </w:r>
      <w:r>
        <w:rPr>
          <w:rFonts w:ascii="Arial" w:cs="Arial" w:eastAsia="Arial" w:hAnsi="Arial"/>
          <w:sz w:val="13"/>
          <w:szCs w:val="13"/>
          <w:b w:val="1"/>
          <w:bCs w:val="1"/>
          <w:color w:val="auto"/>
        </w:rPr>
        <w:t>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-3175</wp:posOffset>
            </wp:positionV>
            <wp:extent cx="15862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jc w:val="center"/>
        <w:ind w:right="260"/>
        <w:spacing w:after="0" w:line="223" w:lineRule="auto"/>
        <w:rPr>
          <w:sz w:val="20"/>
          <w:szCs w:val="20"/>
          <w:color w:val="auto"/>
        </w:rPr>
      </w:pPr>
      <w:r>
        <w:rPr>
          <w:rFonts w:ascii="Arial" w:cs="Arial" w:eastAsia="Arial" w:hAnsi="Arial"/>
          <w:sz w:val="14"/>
          <w:szCs w:val="14"/>
          <w:b w:val="1"/>
          <w:bCs w:val="1"/>
          <w:color w:val="auto"/>
        </w:rPr>
        <w:t>(in CHF thousands)</w:t>
      </w:r>
    </w:p>
    <w:p>
      <w:pPr>
        <w:jc w:val="center"/>
        <w:ind w:right="260"/>
        <w:spacing w:after="0"/>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p>
      <w:pPr>
        <w:ind w:left="100"/>
        <w:spacing w:after="0"/>
        <w:tabs>
          <w:tab w:leader="none" w:pos="980" w:val="left"/>
          <w:tab w:leader="none" w:pos="1800" w:val="left"/>
        </w:tabs>
        <w:rPr>
          <w:sz w:val="20"/>
          <w:szCs w:val="20"/>
          <w:color w:val="auto"/>
        </w:rPr>
      </w:pPr>
      <w:r>
        <w:rPr>
          <w:rFonts w:ascii="Arial" w:cs="Arial" w:eastAsia="Arial" w:hAnsi="Arial"/>
          <w:sz w:val="17"/>
          <w:szCs w:val="17"/>
          <w:color w:val="auto"/>
        </w:rPr>
        <w:t>82,377</w:t>
      </w:r>
      <w:r>
        <w:rPr>
          <w:sz w:val="20"/>
          <w:szCs w:val="20"/>
          <w:color w:val="auto"/>
        </w:rPr>
        <w:tab/>
      </w:r>
      <w:r>
        <w:rPr>
          <w:rFonts w:ascii="Arial" w:cs="Arial" w:eastAsia="Arial" w:hAnsi="Arial"/>
          <w:sz w:val="17"/>
          <w:szCs w:val="17"/>
          <w:color w:val="auto"/>
        </w:rPr>
        <w:t>96,377</w:t>
      </w:r>
      <w:r>
        <w:rPr>
          <w:sz w:val="20"/>
          <w:szCs w:val="20"/>
          <w:color w:val="auto"/>
        </w:rPr>
        <w:tab/>
      </w:r>
      <w:r>
        <w:rPr>
          <w:rFonts w:ascii="Arial" w:cs="Arial" w:eastAsia="Arial" w:hAnsi="Arial"/>
          <w:sz w:val="15"/>
          <w:szCs w:val="15"/>
          <w:color w:val="auto"/>
        </w:rPr>
        <w:t>155,423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12065</wp:posOffset>
            </wp:positionV>
            <wp:extent cx="158623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8623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00"/>
        <w:spacing w:after="0"/>
        <w:tabs>
          <w:tab w:leader="none" w:pos="1200" w:val="left"/>
          <w:tab w:leader="none" w:pos="1980" w:val="left"/>
        </w:tabs>
        <w:rPr>
          <w:sz w:val="20"/>
          <w:szCs w:val="20"/>
          <w:color w:val="auto"/>
        </w:rPr>
      </w:pPr>
      <w:r>
        <w:rPr>
          <w:rFonts w:ascii="Arial" w:cs="Arial" w:eastAsia="Arial" w:hAnsi="Arial"/>
          <w:sz w:val="17"/>
          <w:szCs w:val="17"/>
          <w:color w:val="auto"/>
        </w:rPr>
        <w:t>216</w:t>
      </w:r>
      <w:r>
        <w:rPr>
          <w:sz w:val="20"/>
          <w:szCs w:val="20"/>
          <w:color w:val="auto"/>
        </w:rPr>
        <w:tab/>
      </w:r>
      <w:r>
        <w:rPr>
          <w:rFonts w:ascii="Arial" w:cs="Arial" w:eastAsia="Arial" w:hAnsi="Arial"/>
          <w:sz w:val="17"/>
          <w:szCs w:val="17"/>
          <w:color w:val="auto"/>
        </w:rPr>
        <w:t>988</w:t>
      </w:r>
      <w:r>
        <w:rPr>
          <w:sz w:val="20"/>
          <w:szCs w:val="20"/>
          <w:color w:val="auto"/>
        </w:rPr>
        <w:tab/>
      </w:r>
      <w:r>
        <w:rPr>
          <w:rFonts w:ascii="Arial" w:cs="Arial" w:eastAsia="Arial" w:hAnsi="Arial"/>
          <w:sz w:val="15"/>
          <w:szCs w:val="15"/>
          <w:color w:val="auto"/>
        </w:rPr>
        <w:t>1,108</w:t>
      </w:r>
    </w:p>
    <w:p>
      <w:pPr>
        <w:spacing w:after="0" w:line="210" w:lineRule="exact"/>
        <w:rPr>
          <w:sz w:val="20"/>
          <w:szCs w:val="20"/>
          <w:color w:val="auto"/>
        </w:rPr>
      </w:pPr>
    </w:p>
    <w:p>
      <w:pPr>
        <w:ind w:left="300"/>
        <w:spacing w:after="0"/>
        <w:tabs>
          <w:tab w:leader="none" w:pos="1200" w:val="left"/>
          <w:tab w:leader="none" w:pos="2100" w:val="left"/>
        </w:tabs>
        <w:rPr>
          <w:sz w:val="20"/>
          <w:szCs w:val="20"/>
          <w:color w:val="auto"/>
        </w:rPr>
      </w:pPr>
      <w:r>
        <w:rPr>
          <w:rFonts w:ascii="Arial" w:cs="Arial" w:eastAsia="Arial" w:hAnsi="Arial"/>
          <w:sz w:val="17"/>
          <w:szCs w:val="17"/>
          <w:color w:val="auto"/>
        </w:rPr>
        <w:t>772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1" w:lineRule="exact"/>
        <w:rPr>
          <w:sz w:val="20"/>
          <w:szCs w:val="20"/>
          <w:color w:val="auto"/>
        </w:rPr>
      </w:pPr>
    </w:p>
    <w:p>
      <w:pPr>
        <w:spacing w:after="0"/>
        <w:tabs>
          <w:tab w:leader="none" w:pos="900" w:val="left"/>
          <w:tab w:leader="none" w:pos="1800" w:val="left"/>
        </w:tabs>
        <w:rPr>
          <w:sz w:val="20"/>
          <w:szCs w:val="20"/>
          <w:color w:val="auto"/>
        </w:rPr>
      </w:pPr>
      <w:r>
        <w:rPr>
          <w:rFonts w:ascii="Arial" w:cs="Arial" w:eastAsia="Arial" w:hAnsi="Arial"/>
          <w:sz w:val="17"/>
          <w:szCs w:val="17"/>
          <w:color w:val="auto"/>
        </w:rPr>
        <w:t>123,379</w:t>
      </w:r>
      <w:r>
        <w:rPr>
          <w:sz w:val="20"/>
          <w:szCs w:val="20"/>
          <w:color w:val="auto"/>
        </w:rPr>
        <w:tab/>
      </w:r>
      <w:r>
        <w:rPr>
          <w:rFonts w:ascii="Arial" w:cs="Arial" w:eastAsia="Arial" w:hAnsi="Arial"/>
          <w:sz w:val="17"/>
          <w:szCs w:val="17"/>
          <w:color w:val="auto"/>
        </w:rPr>
        <w:t>123,380</w:t>
      </w:r>
      <w:r>
        <w:rPr>
          <w:sz w:val="20"/>
          <w:szCs w:val="20"/>
          <w:color w:val="auto"/>
        </w:rPr>
        <w:tab/>
      </w:r>
      <w:r>
        <w:rPr>
          <w:rFonts w:ascii="Arial" w:cs="Arial" w:eastAsia="Arial" w:hAnsi="Arial"/>
          <w:sz w:val="15"/>
          <w:szCs w:val="15"/>
          <w:color w:val="auto"/>
        </w:rPr>
        <w:t>179,743</w:t>
      </w:r>
    </w:p>
    <w:p>
      <w:pPr>
        <w:spacing w:after="0" w:line="21" w:lineRule="exact"/>
        <w:rPr>
          <w:sz w:val="20"/>
          <w:szCs w:val="20"/>
          <w:color w:val="auto"/>
        </w:rPr>
      </w:pPr>
    </w:p>
    <w:p>
      <w:pPr>
        <w:ind w:left="40"/>
        <w:spacing w:after="0"/>
        <w:tabs>
          <w:tab w:leader="none" w:pos="920" w:val="left"/>
          <w:tab w:leader="none" w:pos="1840" w:val="left"/>
        </w:tabs>
        <w:rPr>
          <w:sz w:val="20"/>
          <w:szCs w:val="20"/>
          <w:color w:val="auto"/>
        </w:rPr>
      </w:pPr>
      <w:r>
        <w:rPr>
          <w:rFonts w:ascii="Arial" w:cs="Arial" w:eastAsia="Arial" w:hAnsi="Arial"/>
          <w:sz w:val="17"/>
          <w:szCs w:val="17"/>
          <w:color w:val="auto"/>
        </w:rPr>
        <w:t>(33,825)</w:t>
      </w:r>
      <w:r>
        <w:rPr>
          <w:sz w:val="20"/>
          <w:szCs w:val="20"/>
          <w:color w:val="auto"/>
        </w:rPr>
        <w:tab/>
      </w:r>
      <w:r>
        <w:rPr>
          <w:rFonts w:ascii="Arial" w:cs="Arial" w:eastAsia="Arial" w:hAnsi="Arial"/>
          <w:sz w:val="17"/>
          <w:szCs w:val="17"/>
          <w:color w:val="auto"/>
        </w:rPr>
        <w:t>(33,825)</w:t>
      </w:r>
      <w:r>
        <w:rPr>
          <w:sz w:val="20"/>
          <w:szCs w:val="20"/>
          <w:color w:val="auto"/>
        </w:rPr>
        <w:tab/>
      </w:r>
      <w:r>
        <w:rPr>
          <w:rFonts w:ascii="Arial" w:cs="Arial" w:eastAsia="Arial" w:hAnsi="Arial"/>
          <w:sz w:val="15"/>
          <w:szCs w:val="15"/>
          <w:color w:val="auto"/>
        </w:rPr>
        <w:t>(33,825)</w:t>
      </w:r>
    </w:p>
    <w:p>
      <w:pPr>
        <w:spacing w:after="0" w:line="41" w:lineRule="exact"/>
        <w:rPr>
          <w:sz w:val="20"/>
          <w:szCs w:val="20"/>
          <w:color w:val="auto"/>
        </w:rPr>
      </w:pPr>
    </w:p>
    <w:p>
      <w:pPr>
        <w:sectPr>
          <w:pgSz w:w="11900" w:h="16838" w:orient="portrait"/>
          <w:cols w:equalWidth="0" w:num="2">
            <w:col w:w="8600" w:space="300"/>
            <w:col w:w="25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7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shareholders’ equity</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90,542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90,542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147,026</w:t>
            </w:r>
          </w:p>
        </w:tc>
        <w:tc>
          <w:tcPr>
            <w:tcW w:w="0" w:type="dxa"/>
            <w:vAlign w:val="bottom"/>
          </w:tcPr>
          <w:p>
            <w:pPr>
              <w:spacing w:after="0"/>
              <w:rPr>
                <w:sz w:val="1"/>
                <w:szCs w:val="1"/>
                <w:color w:val="auto"/>
              </w:rPr>
            </w:pPr>
          </w:p>
        </w:tc>
      </w:tr>
      <w:tr>
        <w:trPr>
          <w:trHeight w:val="20"/>
        </w:trPr>
        <w:tc>
          <w:tcPr>
            <w:tcW w:w="8780" w:type="dxa"/>
            <w:vAlign w:val="bottom"/>
            <w:vMerge w:val="restart"/>
          </w:tcPr>
          <w:p>
            <w:pPr>
              <w:ind w:left="1040"/>
              <w:spacing w:after="0"/>
              <w:rPr>
                <w:sz w:val="20"/>
                <w:szCs w:val="20"/>
                <w:color w:val="auto"/>
              </w:rPr>
            </w:pPr>
            <w:r>
              <w:rPr>
                <w:rFonts w:ascii="Arial" w:cs="Arial" w:eastAsia="Arial" w:hAnsi="Arial"/>
                <w:sz w:val="17"/>
                <w:szCs w:val="17"/>
                <w:color w:val="auto"/>
              </w:rPr>
              <w:t>Total capitalization</w:t>
            </w: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90,542</w:t>
            </w:r>
          </w:p>
        </w:tc>
        <w:tc>
          <w:tcPr>
            <w:tcW w:w="2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90,542</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147,026</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common shares in the table above excludes:</w:t>
      </w:r>
    </w:p>
    <w:p>
      <w:pPr>
        <w:spacing w:after="0" w:line="131" w:lineRule="exact"/>
        <w:rPr>
          <w:sz w:val="20"/>
          <w:szCs w:val="20"/>
          <w:color w:val="auto"/>
        </w:rPr>
      </w:pPr>
    </w:p>
    <w:p>
      <w:pPr>
        <w:ind w:left="90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2,196,250 of our common shares issuable upon the exercise of vested and unvested options outstanding under our existing equity incentive plans as at August 31, 2016 at an exercise price of CHF 0.14548 per common share; and</w:t>
      </w:r>
    </w:p>
    <w:p>
      <w:pPr>
        <w:spacing w:after="0" w:line="75"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5,300,000 of our common shares issued to Credit Suisse AG, Zurich in the CS AG Share Issuance, as described in Note 7 (Other current liabilities) of our unaudited interim condensed financial statements as at and for the six months ended June 30, 2016 and June 30, 2015 included elsewhere in this prospectus.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20"/>
          </w:cols>
          <w:pgMar w:left="24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If you invest in our common shares, your interest will be diluted to the extent of the difference between the initial public offering price per share and the as adjusted net tangible book value per share of our common shares immediately after this offering and our preferred shares that will convert into our common shares on a one-for-one basis upon the completion of this offering.</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Net tangible book value is determined by dividing our total tangible assets less our total liabilities by the number of our common shares outstanding. Our historical net tangible book value as of June 30, 2016 was $92.7 (CHF 90.5) million, or $8.57 (CHF 8.37), per common share (on a fully diluted basis). Our as adjusted net tangible book value as at June 30, 2016, before giving effect to this offering was $92.7 (CHF 90.5) million, or $1.88 (CHF 1.83) per common share, based on the total number of our common shares outstanding as at June 30, 2016, after giving effect to (i) the conversion of all preferred stock outstanding as of June 30, 2016 into an aggregate of 38,577,042 common shares, (ii) our receipt in July 2016 of the Anti-Tau Antibody Phase 1 Milestone Payment described under “Prospectus Summary—Anti-Tau Antibody Phase 1 Milestone Payment” and (iii) the exercise of options into a total of 4,500 common shares between July 1, 2016 and August 31, 2016.</w:t>
      </w:r>
    </w:p>
    <w:p>
      <w:pPr>
        <w:spacing w:after="0" w:line="18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Dilution per share to new investors represents the difference between the amount per share paid by purchasers of common shares in this offering and the as further adjusted net tangible book value per common share immediately after completion of this offering. After giving effect to the sale of 6,000,000 common shares in this offering, after deducting the underwriting discount and estimated expenses payable by us, our as further adjusted net tangible book value as at June 30, 2016 would have been $150.5 (CHF 147.0) million, or $2.72 (CHF 2.65) per share. This represents an immediate increase in as adjusted net tangible book value of $9.64 (CHF 9.41) per share to existing shareholders and an immediate dilution of $6.92 (CHF 6.76) per share to investors participating in this offering, as illustrated in the following table: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0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USD)</w:t>
            </w: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CHF)</w:t>
            </w:r>
          </w:p>
        </w:tc>
      </w:tr>
      <w:tr>
        <w:trPr>
          <w:trHeight w:val="210"/>
        </w:trPr>
        <w:tc>
          <w:tcPr>
            <w:tcW w:w="9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6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7"/>
              </w:rPr>
              <w:t>11.00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7"/>
              </w:rPr>
              <w:t>10.75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ind w:left="360"/>
              <w:spacing w:after="0"/>
              <w:rPr>
                <w:sz w:val="20"/>
                <w:szCs w:val="20"/>
                <w:color w:val="auto"/>
              </w:rPr>
            </w:pPr>
            <w:r>
              <w:rPr>
                <w:rFonts w:ascii="Arial" w:cs="Arial" w:eastAsia="Arial" w:hAnsi="Arial"/>
                <w:sz w:val="18"/>
                <w:szCs w:val="18"/>
                <w:color w:val="auto"/>
              </w:rPr>
              <w:t>Historical net tangible book value per share at June 30, 2016</w:t>
            </w: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8.57</w:t>
            </w:r>
          </w:p>
        </w:tc>
        <w:tc>
          <w:tcPr>
            <w:tcW w:w="16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8.37</w:t>
            </w:r>
          </w:p>
        </w:tc>
        <w:tc>
          <w:tcPr>
            <w:tcW w:w="40" w:type="dxa"/>
            <w:vAlign w:val="bottom"/>
          </w:tcPr>
          <w:p>
            <w:pPr>
              <w:spacing w:after="0"/>
              <w:rPr>
                <w:sz w:val="18"/>
                <w:szCs w:val="18"/>
                <w:color w:val="auto"/>
              </w:rPr>
            </w:pPr>
          </w:p>
        </w:tc>
      </w:tr>
      <w:tr>
        <w:trPr>
          <w:trHeight w:val="202"/>
        </w:trPr>
        <w:tc>
          <w:tcPr>
            <w:tcW w:w="9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As adjusted net tangible book value per share at June 30, 2016, before giving effect to this offering but giving effect to the</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9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adjustments described in the second immediately preceding paragraph</w:t>
            </w: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1.83</w:t>
            </w:r>
          </w:p>
        </w:tc>
        <w:tc>
          <w:tcPr>
            <w:tcW w:w="40" w:type="dxa"/>
            <w:vAlign w:val="bottom"/>
            <w:shd w:val="clear" w:color="auto" w:fill="CCEEFF"/>
          </w:tcPr>
          <w:p>
            <w:pPr>
              <w:spacing w:after="0"/>
              <w:rPr>
                <w:sz w:val="20"/>
                <w:szCs w:val="20"/>
                <w:color w:val="auto"/>
              </w:rPr>
            </w:pPr>
          </w:p>
        </w:tc>
      </w:tr>
      <w:tr>
        <w:trPr>
          <w:trHeight w:val="216"/>
        </w:trPr>
        <w:tc>
          <w:tcPr>
            <w:tcW w:w="9900" w:type="dxa"/>
            <w:vAlign w:val="bottom"/>
          </w:tcPr>
          <w:p>
            <w:pPr>
              <w:ind w:left="360"/>
              <w:spacing w:after="0"/>
              <w:rPr>
                <w:sz w:val="20"/>
                <w:szCs w:val="20"/>
                <w:color w:val="auto"/>
              </w:rPr>
            </w:pPr>
            <w:r>
              <w:rPr>
                <w:rFonts w:ascii="Arial" w:cs="Arial" w:eastAsia="Arial" w:hAnsi="Arial"/>
                <w:sz w:val="18"/>
                <w:szCs w:val="18"/>
                <w:color w:val="auto"/>
                <w:w w:val="99"/>
              </w:rPr>
              <w:t>Increase in as adjusted net tangible book value per share attributable to new investors purchasing shares in this offering</w:t>
            </w: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9.64</w:t>
            </w:r>
          </w:p>
        </w:tc>
        <w:tc>
          <w:tcPr>
            <w:tcW w:w="16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9.41</w:t>
            </w:r>
          </w:p>
        </w:tc>
        <w:tc>
          <w:tcPr>
            <w:tcW w:w="40" w:type="dxa"/>
            <w:vAlign w:val="bottom"/>
          </w:tcPr>
          <w:p>
            <w:pPr>
              <w:spacing w:after="0"/>
              <w:rPr>
                <w:sz w:val="18"/>
                <w:szCs w:val="18"/>
                <w:color w:val="auto"/>
              </w:rPr>
            </w:pPr>
          </w:p>
        </w:tc>
      </w:tr>
      <w:tr>
        <w:trPr>
          <w:trHeight w:val="202"/>
        </w:trPr>
        <w:tc>
          <w:tcPr>
            <w:tcW w:w="9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As further adjusted net tangible book value per share after giving effect to this</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9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offering</w:t>
            </w: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2.65</w:t>
            </w:r>
          </w:p>
        </w:tc>
        <w:tc>
          <w:tcPr>
            <w:tcW w:w="40" w:type="dxa"/>
            <w:vAlign w:val="bottom"/>
            <w:shd w:val="clear" w:color="auto" w:fill="CCEEFF"/>
          </w:tcPr>
          <w:p>
            <w:pPr>
              <w:spacing w:after="0"/>
              <w:rPr>
                <w:sz w:val="20"/>
                <w:szCs w:val="20"/>
                <w:color w:val="auto"/>
              </w:rPr>
            </w:pPr>
          </w:p>
        </w:tc>
      </w:tr>
      <w:tr>
        <w:trPr>
          <w:trHeight w:val="230"/>
        </w:trPr>
        <w:tc>
          <w:tcPr>
            <w:tcW w:w="9900" w:type="dxa"/>
            <w:vAlign w:val="bottom"/>
          </w:tcPr>
          <w:p>
            <w:pPr>
              <w:ind w:left="360"/>
              <w:spacing w:after="0"/>
              <w:rPr>
                <w:sz w:val="20"/>
                <w:szCs w:val="20"/>
                <w:color w:val="auto"/>
              </w:rPr>
            </w:pPr>
            <w:r>
              <w:rPr>
                <w:rFonts w:ascii="Arial" w:cs="Arial" w:eastAsia="Arial" w:hAnsi="Arial"/>
                <w:sz w:val="18"/>
                <w:szCs w:val="18"/>
                <w:color w:val="auto"/>
              </w:rPr>
              <w:t>Dilution per share to investors participating in this offering</w:t>
            </w: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6.92</w:t>
            </w:r>
          </w:p>
        </w:tc>
        <w:tc>
          <w:tcPr>
            <w:tcW w:w="160" w:type="dxa"/>
            <w:vAlign w:val="bottom"/>
          </w:tcPr>
          <w:p>
            <w:pPr>
              <w:spacing w:after="0"/>
              <w:rPr>
                <w:sz w:val="20"/>
                <w:szCs w:val="20"/>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6.76</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following table presents, on an as further adjusted basis described above, the difference between the existing shareholders as at June 30, 2016 and the purchasers of shares in this offering with respect to the number of shares purchased from us, the total consideration paid, which includes net proceeds received from the issuance of common and preferred stock and cash received from the exercise of stock options.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w w:val="98"/>
              </w:rPr>
              <w:t>Total Consideration</w:t>
            </w:r>
          </w:p>
        </w:tc>
        <w:tc>
          <w:tcPr>
            <w:tcW w:w="184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w w:val="98"/>
              </w:rPr>
              <w:t>Total Consideration</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060" w:type="dxa"/>
            <w:vAlign w:val="bottom"/>
            <w:gridSpan w:val="4"/>
            <w:vMerge w:val="restart"/>
          </w:tcPr>
          <w:p>
            <w:pPr>
              <w:jc w:val="right"/>
              <w:ind w:right="860"/>
              <w:spacing w:after="0"/>
              <w:rPr>
                <w:sz w:val="20"/>
                <w:szCs w:val="20"/>
                <w:color w:val="auto"/>
              </w:rPr>
            </w:pPr>
            <w:r>
              <w:rPr>
                <w:rFonts w:ascii="Arial" w:cs="Arial" w:eastAsia="Arial" w:hAnsi="Arial"/>
                <w:sz w:val="14"/>
                <w:szCs w:val="14"/>
                <w:b w:val="1"/>
                <w:bCs w:val="1"/>
                <w:color w:val="auto"/>
              </w:rPr>
              <w:t>Total Shares</w:t>
            </w:r>
          </w:p>
        </w:tc>
        <w:tc>
          <w:tcPr>
            <w:tcW w:w="1860" w:type="dxa"/>
            <w:vAlign w:val="bottom"/>
            <w:gridSpan w:val="4"/>
            <w:vMerge w:val="continue"/>
          </w:tcPr>
          <w:p>
            <w:pPr>
              <w:spacing w:after="0"/>
              <w:rPr>
                <w:sz w:val="12"/>
                <w:szCs w:val="12"/>
                <w:color w:val="auto"/>
              </w:rPr>
            </w:pPr>
          </w:p>
        </w:tc>
        <w:tc>
          <w:tcPr>
            <w:tcW w:w="1840" w:type="dxa"/>
            <w:vAlign w:val="bottom"/>
            <w:gridSpan w:val="4"/>
            <w:vMerge w:val="continue"/>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 per</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Price per</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060" w:type="dxa"/>
            <w:vAlign w:val="bottom"/>
            <w:gridSpan w:val="4"/>
            <w:vMerge w:val="continue"/>
          </w:tcPr>
          <w:p>
            <w:pPr>
              <w:spacing w:after="0"/>
              <w:rPr>
                <w:sz w:val="14"/>
                <w:szCs w:val="14"/>
                <w:color w:val="auto"/>
              </w:rPr>
            </w:pPr>
          </w:p>
        </w:tc>
        <w:tc>
          <w:tcPr>
            <w:tcW w:w="18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(USD ’000)</w:t>
            </w:r>
          </w:p>
        </w:tc>
        <w:tc>
          <w:tcPr>
            <w:tcW w:w="18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(CHF ’000)</w:t>
            </w: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Share</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2"/>
        </w:trPr>
        <w:tc>
          <w:tcPr>
            <w:tcW w:w="41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Number</w:t>
            </w:r>
          </w:p>
        </w:tc>
        <w:tc>
          <w:tcPr>
            <w:tcW w:w="30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4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4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4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(USD)</w:t>
            </w:r>
          </w:p>
        </w:tc>
        <w:tc>
          <w:tcPr>
            <w:tcW w:w="3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(CHF)</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 before this offering</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49,396,042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89.2%</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127,290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124,367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68.8%</w:t>
            </w:r>
          </w:p>
        </w:tc>
        <w:tc>
          <w:tcPr>
            <w:tcW w:w="5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2.58</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Investors participating in this offering</w:t>
            </w:r>
          </w:p>
        </w:tc>
        <w:tc>
          <w:tcPr>
            <w:tcW w:w="860" w:type="dxa"/>
            <w:vAlign w:val="bottom"/>
          </w:tcPr>
          <w:p>
            <w:pPr>
              <w:jc w:val="right"/>
              <w:spacing w:after="0"/>
              <w:rPr>
                <w:sz w:val="20"/>
                <w:szCs w:val="20"/>
                <w:color w:val="auto"/>
              </w:rPr>
            </w:pPr>
            <w:r>
              <w:rPr>
                <w:rFonts w:ascii="Arial" w:cs="Arial" w:eastAsia="Arial" w:hAnsi="Arial"/>
                <w:sz w:val="18"/>
                <w:szCs w:val="18"/>
                <w:color w:val="auto"/>
              </w:rPr>
              <w:t>6,000,000</w:t>
            </w:r>
          </w:p>
        </w:tc>
        <w:tc>
          <w:tcPr>
            <w:tcW w:w="3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10.8</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57,811</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31.2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56,483</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31.2</w:t>
            </w: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9.64</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55,396,042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185,101</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100.0%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180,851</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3.34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64</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calculations above are based on 49,396,042 shares outstanding as at June 30, 2016 after giving effect to (i) the conversion of all preferred stock outstanding as of June 30, 2016 into an aggregate of 38,577,042 common shares, (ii) our receipt in July 2016 of the Anti-Tau Antibody Phase 1 Milestone Payment described under “Prospectus Summary—Anti-Tau Antibody Phase 1 Milestone Payment” and (iii) the exercise of options into a total of 4,500 common shares between July 1, 2016 and August 31, 2016, and exclude 2,196,250 of our common shares issuable upon the exercise of vested and unvested options outstanding under our existing equity incentive plans at an exercise price of CHF 0.14548 per common share.</w:t>
      </w:r>
    </w:p>
    <w:p>
      <w:pPr>
        <w:spacing w:after="0" w:line="1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After giving effect to the sale of shares in this offering by us, if the underwriters exercise in full their option to purchase additional shares from us, our existing shareholders would own approximately 87.7% and our new investors would own approximately 12.3% of the total number of common shares outstanding after this offering, excluding any shares purchased by any existing holders in this offering.</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To the extent that any outstanding options are exercised, new options are issued under our stock-based compensation plans or we issue additional common shares in the future, there will be further dilution to investors participating in this offering.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80"/>
          </w:cols>
          <w:pgMar w:left="240" w:top="459" w:right="3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RATES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following table sets forth, for the periods indicated, the high, low, average and period-end exchange rates for the purchase of U.S. dollars expressed in CHF per U.S. dollar. The average rate is calculated by using the average of the U.S. Federal Reserve Bank’s reported exchange rates on each day during a monthly period and on the last day of each month during an annual period. On September 9, 2016, the exchange rate as reported by the U.S. Federal Reserve Bank was CHF 1.0235 to $1.00. In this prospectus, translations from CHF to U.S. dollars were made at this rate.</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0"/>
              </w:rPr>
              <w:t>Period-end</w:t>
            </w:r>
          </w:p>
        </w:tc>
        <w:tc>
          <w:tcPr>
            <w:tcW w:w="1260" w:type="dxa"/>
            <w:vAlign w:val="bottom"/>
          </w:tcPr>
          <w:p>
            <w:pPr>
              <w:jc w:val="right"/>
              <w:ind w:right="193"/>
              <w:spacing w:after="0"/>
              <w:rPr>
                <w:sz w:val="20"/>
                <w:szCs w:val="20"/>
                <w:color w:val="auto"/>
              </w:rPr>
            </w:pPr>
            <w:r>
              <w:rPr>
                <w:rFonts w:ascii="Arial" w:cs="Arial" w:eastAsia="Arial" w:hAnsi="Arial"/>
                <w:sz w:val="14"/>
                <w:szCs w:val="14"/>
                <w:b w:val="1"/>
                <w:bCs w:val="1"/>
                <w:color w:val="auto"/>
              </w:rPr>
              <w:t>Average for</w:t>
            </w:r>
          </w:p>
        </w:tc>
        <w:tc>
          <w:tcPr>
            <w:tcW w:w="10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Low</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60" w:type="dxa"/>
            <w:vAlign w:val="bottom"/>
          </w:tcPr>
          <w:p>
            <w:pPr>
              <w:ind w:left="420"/>
              <w:spacing w:after="0"/>
              <w:rPr>
                <w:sz w:val="20"/>
                <w:szCs w:val="20"/>
                <w:color w:val="auto"/>
              </w:rPr>
            </w:pPr>
            <w:r>
              <w:rPr>
                <w:rFonts w:ascii="Arial" w:cs="Arial" w:eastAsia="Arial" w:hAnsi="Arial"/>
                <w:sz w:val="14"/>
                <w:szCs w:val="14"/>
                <w:b w:val="1"/>
                <w:bCs w:val="1"/>
                <w:color w:val="auto"/>
              </w:rPr>
              <w:t>Period</w:t>
            </w:r>
          </w:p>
        </w:tc>
        <w:tc>
          <w:tcPr>
            <w:tcW w:w="10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2"/>
          </w:tcPr>
          <w:p>
            <w:pPr>
              <w:ind w:left="400"/>
              <w:spacing w:after="0" w:line="142" w:lineRule="exact"/>
              <w:rPr>
                <w:sz w:val="20"/>
                <w:szCs w:val="20"/>
                <w:color w:val="auto"/>
              </w:rPr>
            </w:pPr>
            <w:r>
              <w:rPr>
                <w:rFonts w:ascii="Arial" w:cs="Arial" w:eastAsia="Arial" w:hAnsi="Arial"/>
                <w:sz w:val="14"/>
                <w:szCs w:val="14"/>
                <w:b w:val="1"/>
                <w:bCs w:val="1"/>
                <w:color w:val="auto"/>
              </w:rPr>
              <w:t>(CHF per U.S. dollar)</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Ended December 31:</w:t>
            </w:r>
          </w:p>
        </w:tc>
        <w:tc>
          <w:tcPr>
            <w:tcW w:w="2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2011</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0.9374</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0.8802</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0.7296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0.9755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0.9155</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0.9331</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0.8949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0.9957</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2013</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0.8904</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0.9241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0.8856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0.9814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0.9934</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0.9195</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0.8712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0.9934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2015</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1.0017</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0.9654</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0.8488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1.0305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Months Ended:</w:t>
            </w:r>
          </w:p>
        </w:tc>
        <w:tc>
          <w:tcPr>
            <w:tcW w:w="2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January 29, 2016</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1.0226</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1.0082</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0.9972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February 29, 2016</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0.9960</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0.9920</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0.9706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March 31, 2016</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0.9583</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0.9811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0.9583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0.9994</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April 30, 2016</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0.9598</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0.9634</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0.9536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0.9774</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May 31, 2016</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0.9916</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0.9777</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0.9541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0.9934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June 30, 2016</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0.9792</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0.9695</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0.9566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0.9902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July 31, 2016</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0.9690</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0.9830</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0.9690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0.9936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August 31, 2016</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0.9830</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0.9711</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0.9576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0.9838</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September 30, 2016 (through September 9, 2016)</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0.9770</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0.9789</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0.9770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0.9804</w:t>
            </w:r>
          </w:p>
        </w:tc>
        <w:tc>
          <w:tcPr>
            <w:tcW w:w="0" w:type="dxa"/>
            <w:vAlign w:val="bottom"/>
          </w:tcPr>
          <w:p>
            <w:pPr>
              <w:spacing w:after="0"/>
              <w:rPr>
                <w:sz w:val="1"/>
                <w:szCs w:val="1"/>
                <w:color w:val="auto"/>
              </w:rPr>
            </w:pPr>
          </w:p>
        </w:tc>
      </w:tr>
      <w:tr>
        <w:trPr>
          <w:trHeight w:val="350"/>
        </w:trPr>
        <w:tc>
          <w:tcPr>
            <w:tcW w:w="4380" w:type="dxa"/>
            <w:vAlign w:val="bottom"/>
          </w:tcPr>
          <w:p>
            <w:pPr>
              <w:spacing w:after="0"/>
              <w:rPr>
                <w:sz w:val="24"/>
                <w:szCs w:val="24"/>
                <w:color w:val="auto"/>
              </w:rPr>
            </w:pPr>
          </w:p>
        </w:tc>
        <w:tc>
          <w:tcPr>
            <w:tcW w:w="2000" w:type="dxa"/>
            <w:vAlign w:val="bottom"/>
          </w:tcPr>
          <w:p>
            <w:pPr>
              <w:jc w:val="right"/>
              <w:ind w:right="950"/>
              <w:spacing w:after="0"/>
              <w:rPr>
                <w:sz w:val="20"/>
                <w:szCs w:val="20"/>
                <w:color w:val="auto"/>
              </w:rPr>
            </w:pPr>
            <w:r>
              <w:rPr>
                <w:rFonts w:ascii="Arial" w:cs="Arial" w:eastAsia="Arial" w:hAnsi="Arial"/>
                <w:sz w:val="18"/>
                <w:szCs w:val="18"/>
                <w:color w:val="auto"/>
              </w:rPr>
              <w:t>66</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AND OTHER INFORMATION</w:t>
      </w:r>
    </w:p>
    <w:p>
      <w:pPr>
        <w:spacing w:after="0" w:line="22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following tables summarize our financial data as of the dates and for the periods indicated. The financial data for the years ended December 31, 2015 and 2014 have been derived from our audited financial statements, which have been prepared in accordance with International Financial Reporting Standards, or IFRS, as issued by the International Accounting Standards Board, or IASB, and audited in accordance with the standards of the U.S. Public Company Accounting Oversight Board, and included elsewhere in this prospectus.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financial data as at June 30, 2016 and for the six months ended June 30, 2016 and 2015 have been derived from our unaudited interim condensed financial statements included elsewhere in this prospectus. The unaudited interim condensed financial statements have been prepared on the same basis as our audited financial statements and include all normal recurring adjustments that we consider necessary for a fair statement of our financial position and operating results as of the dates and for the periods presented. We maintain our books and records in, and our financial statements are prepared and presented in, Swiss Francs, our presentation currency.</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historical results are not necessarily indicative of the results that may be expected in the future. Our interim financial results for the periods presented are not necessarily indicative of results for a full year or for any subsequent interim period. The following summary financial data should be read in conjunction with “Management’s Discussion and Analysis of Financial Condition and Results of Operations” and our financial statements included elsewhere in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4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For the Six Months Ended</w:t>
            </w: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400" w:type="dxa"/>
            <w:vAlign w:val="bottom"/>
            <w:gridSpan w:val="3"/>
          </w:tcPr>
          <w:p>
            <w:pPr>
              <w:jc w:val="center"/>
              <w:ind w:left="755"/>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224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240" w:type="dxa"/>
            <w:vAlign w:val="bottom"/>
          </w:tcPr>
          <w:p>
            <w:pPr>
              <w:spacing w:after="0"/>
              <w:rPr>
                <w:sz w:val="10"/>
                <w:szCs w:val="10"/>
                <w:color w:val="auto"/>
              </w:rPr>
            </w:pPr>
          </w:p>
        </w:tc>
        <w:tc>
          <w:tcPr>
            <w:tcW w:w="23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(in CHF ‘000 except for share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20,451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14,401</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39,090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(11,018)</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(7,190)</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(17,049)</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(1,742)</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(3,417)</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Operating income / (loss)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6,683</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5,469</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18,624</w:t>
            </w:r>
          </w:p>
        </w:tc>
        <w:tc>
          <w:tcPr>
            <w:tcW w:w="2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Finance result—net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1,646</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 / (loss) before tax</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20,270</w:t>
            </w:r>
          </w:p>
        </w:tc>
        <w:tc>
          <w:tcPr>
            <w:tcW w:w="2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 / (loss) for the period</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20,270</w:t>
            </w:r>
          </w:p>
        </w:tc>
        <w:tc>
          <w:tcPr>
            <w:tcW w:w="2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in CHF (basic)</w:t>
            </w:r>
            <w:r>
              <w:rPr>
                <w:rFonts w:ascii="Arial" w:cs="Arial" w:eastAsia="Arial" w:hAnsi="Arial"/>
                <w:sz w:val="15"/>
                <w:szCs w:val="15"/>
                <w:color w:val="auto"/>
              </w:rPr>
              <w:t>(1)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0.47</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Earnings per share in CHF (fully diluted)</w:t>
            </w:r>
            <w:r>
              <w:rPr>
                <w:rFonts w:ascii="Arial" w:cs="Arial" w:eastAsia="Arial" w:hAnsi="Arial"/>
                <w:sz w:val="15"/>
                <w:szCs w:val="15"/>
                <w:color w:val="auto"/>
              </w:rPr>
              <w:t>(1)</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0.12</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0.44</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number of shares used to compute earnings per share basic</w:t>
            </w:r>
            <w:r>
              <w:rPr>
                <w:rFonts w:ascii="Arial" w:cs="Arial" w:eastAsia="Arial" w:hAnsi="Arial"/>
                <w:sz w:val="15"/>
                <w:szCs w:val="15"/>
                <w:color w:val="auto"/>
                <w:w w:val="99"/>
              </w:rPr>
              <w:t>(1)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47,209,976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42,725,207</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43,412,250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42,684,750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2"/>
              </w:rPr>
              <w:t>Weighted-average number of shares used to compute earnings per share fully diluted</w:t>
            </w:r>
            <w:r>
              <w:rPr>
                <w:rFonts w:ascii="Arial" w:cs="Arial" w:eastAsia="Arial" w:hAnsi="Arial"/>
                <w:sz w:val="15"/>
                <w:szCs w:val="15"/>
                <w:color w:val="auto"/>
                <w:w w:val="92"/>
              </w:rPr>
              <w:t>(1)</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49,101,623</w:t>
            </w: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45,845,283</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46,043,198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45,552,500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6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common shares and preferred shares outstanding as of the dates indicated adjusted for the 250-for-1 stock split effected on October 23, 2015, and these preferred shares will be converted on a one-for-one basis upon the closing of this offering, but does not give effect to the CS AG Share Issuance, as described in Note 7 (Other current liabilities) of our unaudited interim condensed financial statements as at and for the six months ended June 30, 2016 and June 30, 2015 included elsewhere in this prospectus.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11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146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(unaudited)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82,377</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assets</w:t>
            </w:r>
          </w:p>
        </w:tc>
        <w:tc>
          <w:tcPr>
            <w:tcW w:w="4820" w:type="dxa"/>
            <w:vAlign w:val="bottom"/>
            <w:gridSpan w:val="3"/>
          </w:tcPr>
          <w:p>
            <w:pPr>
              <w:jc w:val="right"/>
              <w:ind w:right="140"/>
              <w:spacing w:after="0"/>
              <w:rPr>
                <w:sz w:val="20"/>
                <w:szCs w:val="20"/>
                <w:color w:val="auto"/>
              </w:rPr>
            </w:pPr>
            <w:r>
              <w:rPr>
                <w:rFonts w:ascii="Arial" w:cs="Arial" w:eastAsia="Arial" w:hAnsi="Arial"/>
                <w:sz w:val="18"/>
                <w:szCs w:val="18"/>
                <w:color w:val="auto"/>
              </w:rPr>
              <w:t>103,282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79,931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(33,825)</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(40,381)</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equity</w:t>
            </w:r>
          </w:p>
        </w:tc>
        <w:tc>
          <w:tcPr>
            <w:tcW w:w="4820" w:type="dxa"/>
            <w:vAlign w:val="bottom"/>
            <w:gridSpan w:val="3"/>
          </w:tcPr>
          <w:p>
            <w:pPr>
              <w:jc w:val="right"/>
              <w:ind w:right="140"/>
              <w:spacing w:after="0"/>
              <w:rPr>
                <w:sz w:val="20"/>
                <w:szCs w:val="20"/>
                <w:color w:val="auto"/>
              </w:rPr>
            </w:pPr>
            <w:r>
              <w:rPr>
                <w:rFonts w:ascii="Arial" w:cs="Arial" w:eastAsia="Arial" w:hAnsi="Arial"/>
                <w:sz w:val="18"/>
                <w:szCs w:val="18"/>
                <w:color w:val="auto"/>
              </w:rPr>
              <w:t>90,542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71,043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equity and liabilities</w:t>
            </w:r>
          </w:p>
        </w:tc>
        <w:tc>
          <w:tcPr>
            <w:tcW w:w="4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103,282</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79,931</w:t>
            </w:r>
          </w:p>
        </w:tc>
        <w:tc>
          <w:tcPr>
            <w:tcW w:w="0" w:type="dxa"/>
            <w:vAlign w:val="bottom"/>
          </w:tcPr>
          <w:p>
            <w:pPr>
              <w:spacing w:after="0"/>
              <w:rPr>
                <w:sz w:val="1"/>
                <w:szCs w:val="1"/>
                <w:color w:val="auto"/>
              </w:rPr>
            </w:pPr>
          </w:p>
        </w:tc>
      </w:tr>
      <w:tr>
        <w:trPr>
          <w:trHeight w:val="365"/>
        </w:trPr>
        <w:tc>
          <w:tcPr>
            <w:tcW w:w="3300" w:type="dxa"/>
            <w:vAlign w:val="bottom"/>
          </w:tcPr>
          <w:p>
            <w:pPr>
              <w:spacing w:after="0"/>
              <w:rPr>
                <w:sz w:val="24"/>
                <w:szCs w:val="24"/>
                <w:color w:val="auto"/>
              </w:rPr>
            </w:pPr>
          </w:p>
        </w:tc>
        <w:tc>
          <w:tcPr>
            <w:tcW w:w="3940" w:type="dxa"/>
            <w:vAlign w:val="bottom"/>
          </w:tcPr>
          <w:p>
            <w:pPr>
              <w:jc w:val="right"/>
              <w:ind w:right="2270"/>
              <w:spacing w:after="0"/>
              <w:rPr>
                <w:sz w:val="20"/>
                <w:szCs w:val="20"/>
                <w:color w:val="auto"/>
              </w:rPr>
            </w:pPr>
            <w:r>
              <w:rPr>
                <w:rFonts w:ascii="Arial" w:cs="Arial" w:eastAsia="Arial" w:hAnsi="Arial"/>
                <w:sz w:val="18"/>
                <w:szCs w:val="18"/>
                <w:color w:val="auto"/>
              </w:rPr>
              <w:t>68</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“Selected Financial and Other Information,” and our financial statements included elsewhere in this prospectus. We present our financial statements in Swiss Francs and in accordance with International Financial Reporting Standards, or IFRS, as issued by the International Accounting Standards Board, or IASB.</w:t>
      </w:r>
    </w:p>
    <w:p>
      <w:pPr>
        <w:spacing w:after="0" w:line="166"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i w:val="1"/>
          <w:iCs w:val="1"/>
          <w:color w:val="auto"/>
        </w:rPr>
        <w:t>The statements in this discussion regarding industry outlook, our strategy,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“Risk Factors” and “Cautionary Statement Regarding Forward-Looking Statements” in this prospectus. Our actual results may differ materially from those contained in or implied by any forward-looking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Our lead product candidate is crenezumab, a humanized, monoclonal, conformation-specific anti-Abeta antibody that we developed using our proprietary SupraAntigen platform. Crenezumab commenced Phase 3 clinical studies in the first quarter of 2016 and we believe it has the potential to become a best-in-class disease-modifying treatment for Alzheimer’s disease, or AD. Genentech, Inc., a wholly owned subsidiary of Roche, or Genentech, is advancing crenezumab for the treatment of AD under a collaboration agreement with us, pursuant to which it is responsible for the clinical development of crenezumab, including the costs associated with seeking and obtaining regulatory and marketing approvals, manufacturing costs and sales and marketing costs.</w:t>
      </w:r>
    </w:p>
    <w:p>
      <w:pPr>
        <w:spacing w:after="0" w:line="16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Two of our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right="60" w:hanging="325"/>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ACI-24 is our wholly-owned anti-Abeta vaccine candidate currently in a Phase 1/2a study. We expect to complete this study and announce top line results in the second half of 2016. ACI-24 is also being studied in a Phase 1 clinical study in patients with Down syndrome, a population that is at high risk for AD.</w:t>
      </w:r>
    </w:p>
    <w:p>
      <w:pPr>
        <w:spacing w:after="0" w:line="86"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ACI-35 is an anti-tau vaccine candidate that we are developing under a collaboration agreement with Janssen. We and Janssen are co-developing ACI-35 through the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187"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Additionally, a passive anti-tau monoclonal antibody candidate is being developed under a collaboration agreement with Genentech. The Phase 1 clinical study in patients with AD and healthy volunteers commenced in the second quarter of 2016, with results expected in the first half of 2017.</w:t>
      </w:r>
    </w:p>
    <w:p>
      <w:pPr>
        <w:spacing w:after="0" w:line="124" w:lineRule="exact"/>
        <w:rPr>
          <w:sz w:val="20"/>
          <w:szCs w:val="20"/>
          <w:color w:val="auto"/>
        </w:rPr>
      </w:pPr>
    </w:p>
    <w:p>
      <w:pPr>
        <w:jc w:val="both"/>
        <w:ind w:right="380" w:firstLine="456"/>
        <w:spacing w:after="0" w:line="308" w:lineRule="auto"/>
        <w:rPr>
          <w:sz w:val="20"/>
          <w:szCs w:val="20"/>
          <w:color w:val="auto"/>
        </w:rPr>
      </w:pPr>
      <w:r>
        <w:rPr>
          <w:rFonts w:ascii="Arial" w:cs="Arial" w:eastAsia="Arial" w:hAnsi="Arial"/>
          <w:sz w:val="17"/>
          <w:szCs w:val="17"/>
          <w:color w:val="auto"/>
        </w:rPr>
        <w:t>We are also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147"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24"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To date, we have primarily financed our operations through private placements of preferred securities, in addition to upfront and milestone payments from our collaboration partners.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and royalties from product sales. Since our inception, while we have received upfront and milestone payments from our collaboration partners and certain other revenue. We have also incurred significant operating losses and had accumulated losses of CHF 33.8 million as of June 30, 2016.</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 and Licensing Agreements</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Since our inception, we have entered into strategic collaboration agreements with a range of partners covering a number of our product candidates. We entered into a strategic collaboration with Genentech in November 2006 (as amended in May 2015) regarding the development, manufacture and commercialization of crenezumab, and we refer to this agreement as the 2006 Genentech agreement. In June 2012, we entered into an additional strategic collaboration agreement with Genentech regarding the development, manufacture and commercialization of our anti-tau antibodies, and we refer to this agreement as the 2012 Genentech agreement. We expect to capitalize on Genentech’s drug development and regulatory expertise and commercial capabilities to bring our partnered therapeutic products to market. In May 2014, we entered into a collaboration agreement with Piramal Imaging, a leader in imaging agents, covering our tau PET Imaging tracer. In December 2014, we entered into a strategic collaboration agreement with Janssen regarding the development, manufacture and commercialization of ACI-35, an anti-tau vaccine. We expect to capitalize on Janssen and Johnson &amp; Johnson’s extensive regulatory expertise and experience in developing, manufacturing and, if approved, commercializing vaccines to bring ACI-35 to market.</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April 2016, we entered into a non-exclusive collaboration with Biogen covering our alpha-synuclein PET imaging tracer and future initiatives targeted at TDP-43 PET imaging tracers, which is a protein that has been recently linked to neurodegeneration in diseases including AD, PD and amyotrophic lateral sclerosis (commonly known as ALS or Lou Gehrig’s disease).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Crenezumab—Collaboration with Genentech</w:t>
      </w:r>
    </w:p>
    <w:p>
      <w:pPr>
        <w:spacing w:after="0" w:line="11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Under the 2006 Genentech agreement, we may become entitled to receive upfront and milestone payments totaling up to approximately $340 million, excluding royalties. We received an upfront payment of $25 million in 2006 and are entitled to various milestone payments based on the achievement of specified development and commercialization milestones. To date, we have received payments totaling $65 million from Genentech, including the $25 million upfront payment and milestone payments totaling $40 million for crenezumab entering into Phase 1, Phase 2 and Phase 3 clinical studies. Under the 2006 Genentech agreement, we are entitled to various regulatory and marketing approval milestone payments. If crenezumab receives regulatory approval, we will be entitled to receive royalties that are tied to annual sales volumes with different royalty rates applicable in the U.S. and Europe. These percentage rates range from net high single digits to the mid-teens.</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2006 Genentech agreement also provides for a second indication for which we would be eligible to receive clinical milestone payments payable upon commencement of each of Phase 2 and 3 of clinical development as well as regulatory and marketing milestone payments similar to those applicable to crenezumab. If this second indication receives regulatory approval, we will be entitled to receive royalties that are tied to annual sales volumes at the same rates applicable to crenezumab.</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Antibodies—Collaboration with Genentech</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Under the 2012 Genentech agreement, we are entitled to receive upfront and milestone payments in excess of CHF 400 million, excluding royalties. We received an upfront payment of CHF 17 million in 2012 and are entitled to various milestone payments based on the achievement of specified clinical, regulatory and commercialization milestones. To date, we have received payments totaling CHF 45 million from Genentech including a milestone payment of CHF 14 million upon the commencement of the Phase 1 clinical study, which we received in July 2016. In addition to milestones, we will be eligible to receive royalties on sales at a percentage rate ranging from the mid-single digits to low double digits.</w:t>
      </w:r>
    </w:p>
    <w:p>
      <w:pPr>
        <w:spacing w:after="0" w:line="173"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2012 Genentech agreement also provides for a second indication for which we would be eligible to receive clinical milestone payments payable upon commencement of each of Phase 2 and 3 of clinical development as well as regulatory and marketing milestone payments. If this second indication receives regulatory approval, we will be entitled to receive royalties that are tied to annual sales volumes at the same rates applicable to the lead indication.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Tau PET Imaging Tracer—Collaboration with Piramal Imaging</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our agreement with Piramal Imaging covering our anti-tau PET imaging agent, we received an upfront payment of €0.5 million in May 2014 and are entitled to various clinical milestone payments totaling up to €7 million based on the achievement of specified development milestones. In addition, we are entitled to further regulatory and sales-based milestones totaling €150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ACI-35—Collaboration with Janssen</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Under the collaboration agreement with Janssen regarding the development of ACI-35, we may become entitled to receive upfront and milestone payments totaling up to CHF 500 million, plus royalties on sales at a percentage rate ranging from low double digits to mid-teens. To date, we have received an upfront payment of CHF 25.9 million, a research contribution of CHF 1.5 million and a CHF 4.9 million clinical milestone payment. The total future payments that we would be entitled to under the agreement for clinical milestones amounts to CHF 77.1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Alpha-synuclein and TDP-43 PET Imaging Tracers—Collaboration with Biogen</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April 2016, we entered into a non-exclusive research and development agreement with Biogen covering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Under the agreement, we are entitled to a technology access fee and will receive funding from Biogen towards FTE and research and development activities on both PET imaging programs. We will retain all intellectual property rights to any PET product developed for further commercialization.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In September 2011, we were included in a research study focused on Huntington’s disease as part of the 7</w:t>
      </w:r>
      <w:r>
        <w:rPr>
          <w:rFonts w:ascii="Arial" w:cs="Arial" w:eastAsia="Arial" w:hAnsi="Arial"/>
          <w:sz w:val="14"/>
          <w:szCs w:val="14"/>
          <w:color w:val="auto"/>
        </w:rPr>
        <w:t>th</w:t>
      </w:r>
      <w:r>
        <w:rPr>
          <w:rFonts w:ascii="Arial" w:cs="Arial" w:eastAsia="Arial" w:hAnsi="Arial"/>
          <w:sz w:val="17"/>
          <w:szCs w:val="17"/>
          <w:color w:val="auto"/>
        </w:rPr>
        <w:t xml:space="preserve"> Framework Program of the European Union under the Marie Currie Actions program. This research study was coordinated by the University of Tübingen and ran over a 3-year period between September 2011 and September 2014. We recognized revenues from this grant on a straight-line basis over the study period.</w:t>
      </w:r>
    </w:p>
    <w:p>
      <w:pPr>
        <w:spacing w:after="0" w:line="166" w:lineRule="exact"/>
        <w:rPr>
          <w:sz w:val="20"/>
          <w:szCs w:val="20"/>
          <w:color w:val="auto"/>
        </w:rPr>
      </w:pPr>
    </w:p>
    <w:p>
      <w:pPr>
        <w:jc w:val="both"/>
        <w:ind w:right="400" w:firstLine="456"/>
        <w:spacing w:after="0" w:line="312" w:lineRule="auto"/>
        <w:rPr>
          <w:sz w:val="20"/>
          <w:szCs w:val="20"/>
          <w:color w:val="auto"/>
        </w:rPr>
      </w:pPr>
      <w:r>
        <w:rPr>
          <w:rFonts w:ascii="Arial" w:cs="Arial" w:eastAsia="Arial" w:hAnsi="Arial"/>
          <w:sz w:val="16"/>
          <w:szCs w:val="16"/>
          <w:color w:val="auto"/>
        </w:rPr>
        <w:t>In February 2015, we were awarded a grant from the Michael J. Fox Parkinson’s Foundation for the further research and development of an alpha-synuclein diagnostic imaging agent. Under the terms of the grant, we retain all rights, results and intellectual property relating to the program. The grant covers research and development work over a 1.5-year period. We recognize revenues from this grant on a straight line basis over the life of the grant.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January 2016, we were awarded a grant from the LuMind Research Down Syndrome Foundation to support our ACI-24 Phase 1 clinical study in patients with Down Syndrome.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Given our stage of development, we have not generated any revenue from product sales. Our revenue to date has been derived primarily from four separate collaboration agreements on some of our product candidates in various stages of pre-clinical and clinical developments and a number of research grants we have secured. 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above are not met, we recognize the upfront payments ratably over the term of our estimated period of performance under each agreement. For all of our collaboration agreements, in addition to receiving upfront payments, we are entitled to milestone and other contingent payments upon achieving pre-defined objectives. Revenue from milestones, if they are non-refundable and deemed substantive, are recognized upon successful accomplishment of the milestones. To the extent that non-substantive milestones are achieved and we have remaining performance obligations, milestones are deferred and recognized as revenue over the estimated remaining period of performance.</w:t>
      </w:r>
    </w:p>
    <w:p>
      <w:pPr>
        <w:spacing w:after="0" w:line="134"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Our revenues have experienced significant fluctuations over the past three years as a result of securing new collaboration agreements, the timing of milestone achievement and the size of each milestone payment. We expect that any revenue we generate from our two collaboration agreements with Genentech, our collaboration agreements with each of Janssen and Piramal Imaging, research and development grants, and any future collaboration partners will fluctuate from year to year as a result of the timing and amount of milestones and other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Research and development expenses comprise direct research costs, including the use of CROs, consultants and experts hired to assist on our research and development activities, consumables used for research and development purposes, employment compensation for our research and development, intellectual property, regulatory affairs, quality control and manufacturing personnel, as well as expenses related to regulatory affairs and quality control. Our research and development costs include the costs associated with our recurrent maintenance costs associated with our portfolio of intellectual property including patents. In addition, research and development expenditures include the depreciation of fixed assets used in research and development.</w:t>
      </w:r>
    </w:p>
    <w:p>
      <w:pPr>
        <w:spacing w:after="0" w:line="104"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largest component of our total operating expenses has historically been, and will continue to be, our investment in research and development activities, including the clinical development of our product candidates. Historically, research and development expenses have represented over 80% of our total annual operating costs. Research and development expenses represent costs incurred to conduct research, such as the discovery and development of our product candidates, as well as development of new product candidates from our SupraAntigen and Morphomer platforms as well as the development of product candidates pursuant to our collaboration agreements with Genentech, Janssen and Piramal Imaging. We recognize all research and development costs as they are incurred. Clinical study costs, contract manufacturing and other development costs incurred by third parties are expensed as the contracted work is performed. At present, our research activities comprise five major areas:</w:t>
      </w:r>
    </w:p>
    <w:p>
      <w:pPr>
        <w:spacing w:after="0" w:line="83"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Non-AD therapies that are not neuro-orphans therapies;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Neuro-orphan disease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Diagnostics;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New discovery projects.</w:t>
      </w:r>
    </w:p>
    <w:p>
      <w:pPr>
        <w:spacing w:after="0" w:line="225" w:lineRule="exact"/>
        <w:rPr>
          <w:sz w:val="20"/>
          <w:szCs w:val="20"/>
          <w:color w:val="auto"/>
        </w:rPr>
      </w:pPr>
    </w:p>
    <w:p>
      <w:pPr>
        <w:ind w:right="660" w:firstLine="456"/>
        <w:spacing w:after="0" w:line="264" w:lineRule="auto"/>
        <w:rPr>
          <w:sz w:val="20"/>
          <w:szCs w:val="20"/>
          <w:color w:val="auto"/>
        </w:rPr>
      </w:pPr>
      <w:r>
        <w:rPr>
          <w:rFonts w:ascii="Arial" w:cs="Arial" w:eastAsia="Arial" w:hAnsi="Arial"/>
          <w:sz w:val="18"/>
          <w:szCs w:val="18"/>
          <w:color w:val="auto"/>
        </w:rPr>
        <w:t>Due to the limited financial resources of the Company, we have historically allocated over 70% of our research and development budget to AD therapies. We expect our research and development expenses to increase substantially in the future and expect to fund a broader number of projects. Specifically, the planned capital raising will impact our research strategy in four key ways:</w:t>
      </w:r>
    </w:p>
    <w:p>
      <w:pPr>
        <w:spacing w:after="0" w:line="87" w:lineRule="exact"/>
        <w:rPr>
          <w:sz w:val="20"/>
          <w:szCs w:val="20"/>
          <w:color w:val="auto"/>
        </w:rPr>
      </w:pPr>
    </w:p>
    <w:p>
      <w:pPr>
        <w:ind w:left="900" w:right="2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expect to undertake later-stage research and development of our product candidates and, if approved, to take some of those product candidates into commercialization;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will allocate more funding to existing programs to advance the development of these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will increase our research and development efforts on non-AD indications including neuro-orphans;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will initiate a number of new research initiatives that are complementary to our existing and planned research initiatives.</w:t>
      </w:r>
    </w:p>
    <w:p>
      <w:pPr>
        <w:spacing w:after="0" w:line="22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As a result, research initiatives targeting AD will continue to be the primary focus of our research efforts. However, other indications including PD, selected neuro-orphans and diagnostics are likely to consume an increasing share of the total research and development expenditures.</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table below provides a breakdown of our research and development costs, including direct research and development costs and manufacturing costs related to research and development, by major development program for the periods covered by this “Management’s Discussion and Analysis of Financial Condition and Results of Operations” section. These research and development costs exclude employment costs, regulatory, quality assurance and intellectual property costs. With the exception of ACI-35, research costs that are subject to collaboration agreements typically have a limited amount research expenses since our partners bear most or all of the research and development costs. We have shown below our research and development costs associated with advancing ACI-35, the tau vaccine candidate that is being developed jointly with Janssen, since pursuant to our agreement we are required to provide significant research support for this program until the end of 2016. Our research and development costs for ACI-24 for AD and Down syndrome are expected to increase significantly in the coming years as we fund Phase 2b and Phase 1 clinical studies for ACI-24 in AD and ACI-24 in Down syndrome, respectively. Research and development costs for our alpha-synuclein PET tracer diagnostics program and other new discovery areas are also likely to rise substantially in the coming years.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Detailed Research and Development Expenditures by Major Development Program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Six Months</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5"/>
            <w:vMerge w:val="restart"/>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gridSpan w:val="5"/>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17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8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center"/>
              <w:ind w:left="315"/>
              <w:spacing w:after="0" w:line="142" w:lineRule="exact"/>
              <w:rPr>
                <w:sz w:val="20"/>
                <w:szCs w:val="20"/>
                <w:color w:val="auto"/>
              </w:rPr>
            </w:pPr>
            <w:r>
              <w:rPr>
                <w:rFonts w:ascii="Arial" w:cs="Arial" w:eastAsia="Arial" w:hAnsi="Arial"/>
                <w:sz w:val="14"/>
                <w:szCs w:val="14"/>
                <w:b w:val="1"/>
                <w:bCs w:val="1"/>
                <w:color w:val="auto"/>
                <w:w w:val="89"/>
              </w:rPr>
              <w:t>2014</w:t>
            </w:r>
          </w:p>
        </w:tc>
        <w:tc>
          <w:tcPr>
            <w:tcW w:w="4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tcPr>
          <w:p>
            <w:pPr>
              <w:ind w:left="40"/>
              <w:spacing w:after="0" w:line="133" w:lineRule="exact"/>
              <w:rPr>
                <w:sz w:val="20"/>
                <w:szCs w:val="20"/>
                <w:color w:val="auto"/>
              </w:rPr>
            </w:pPr>
            <w:r>
              <w:rPr>
                <w:rFonts w:ascii="Arial" w:cs="Arial" w:eastAsia="Arial" w:hAnsi="Arial"/>
                <w:sz w:val="14"/>
                <w:szCs w:val="14"/>
                <w:b w:val="1"/>
                <w:bCs w:val="1"/>
                <w:color w:val="auto"/>
                <w:w w:val="96"/>
              </w:rPr>
              <w:t>(in CHF thousands)</w:t>
            </w:r>
          </w:p>
        </w:tc>
        <w:tc>
          <w:tcPr>
            <w:tcW w:w="4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jc w:val="center"/>
              <w:ind w:right="20"/>
              <w:spacing w:after="0" w:line="133" w:lineRule="exact"/>
              <w:rPr>
                <w:sz w:val="20"/>
                <w:szCs w:val="20"/>
                <w:color w:val="auto"/>
              </w:rPr>
            </w:pPr>
            <w:r>
              <w:rPr>
                <w:rFonts w:ascii="Arial" w:cs="Arial" w:eastAsia="Arial" w:hAnsi="Arial"/>
                <w:sz w:val="14"/>
                <w:szCs w:val="14"/>
                <w:b w:val="1"/>
                <w:bCs w:val="1"/>
                <w:color w:val="auto"/>
                <w:w w:val="94"/>
              </w:rPr>
              <w:t>(in CHF thousands)</w:t>
            </w: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7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Programs subject to collaboration agreements(1)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819</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(317)</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1,292</w:t>
            </w:r>
          </w:p>
        </w:tc>
        <w:tc>
          <w:tcPr>
            <w:tcW w:w="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1,269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ACI-35</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2,486</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1,253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1,233</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w w:val="88"/>
              </w:rPr>
              <w:t>3,611</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2,389</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ACI-24 (for AD and Down syndrome)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1,919</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554</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1,365</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1,495</w:t>
            </w:r>
          </w:p>
        </w:tc>
        <w:tc>
          <w:tcPr>
            <w:tcW w:w="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1,918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PD (therapeutics and diagnostics)</w:t>
            </w:r>
          </w:p>
        </w:tc>
        <w:tc>
          <w:tcPr>
            <w:tcW w:w="460" w:type="dxa"/>
            <w:vAlign w:val="bottom"/>
          </w:tcPr>
          <w:p>
            <w:pPr>
              <w:jc w:val="right"/>
              <w:spacing w:after="0"/>
              <w:rPr>
                <w:sz w:val="20"/>
                <w:szCs w:val="20"/>
                <w:color w:val="auto"/>
              </w:rPr>
            </w:pPr>
            <w:r>
              <w:rPr>
                <w:rFonts w:ascii="Arial" w:cs="Arial" w:eastAsia="Arial" w:hAnsi="Arial"/>
                <w:sz w:val="18"/>
                <w:szCs w:val="18"/>
                <w:color w:val="auto"/>
              </w:rPr>
              <w:t>535</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221</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314</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w w:val="93"/>
              </w:rPr>
              <w:t>757</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685</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New discovery programs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1,100</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441</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659</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1,315</w:t>
            </w:r>
          </w:p>
        </w:tc>
        <w:tc>
          <w:tcPr>
            <w:tcW w:w="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2,064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4"/>
        </w:trPr>
        <w:tc>
          <w:tcPr>
            <w:tcW w:w="652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6,542</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3,288</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3,254</w:t>
            </w:r>
          </w:p>
        </w:tc>
        <w:tc>
          <w:tcPr>
            <w:tcW w:w="340" w:type="dxa"/>
            <w:vAlign w:val="bottom"/>
          </w:tcPr>
          <w:p>
            <w:pPr>
              <w:spacing w:after="0"/>
              <w:rPr>
                <w:sz w:val="19"/>
                <w:szCs w:val="19"/>
                <w:color w:val="auto"/>
              </w:rPr>
            </w:pPr>
          </w:p>
        </w:tc>
        <w:tc>
          <w:tcPr>
            <w:tcW w:w="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4"/>
              </w:rPr>
              <w:t>8,470</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8,325</w:t>
            </w:r>
          </w:p>
        </w:tc>
        <w:tc>
          <w:tcPr>
            <w:tcW w:w="44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Includes research and development expenditures for crenezumab, anti-tau antibodies and tau PET imaging tracer. Does not include research and development expenditures for ACI-35.</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General and administrative expenses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rent expense related to our office and research and development facility. We expect to incur additional expenses as a result of operating as a public company, including expenses related to compliance with the rules and regulations of the SEC, and those of any national securities exchange on which our securities are then traded (including the NASDAQ on which we intend to list our common shares in connection with this offering), additional insurance expenses, investor relations activities and other administrative and professional services.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expenses are bank fees associated with charges levied by banks on foreign payments and foreign exchange transactions.</w:t>
      </w:r>
    </w:p>
    <w:p>
      <w:pPr>
        <w:spacing w:after="0" w:line="22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Interest income consists of interest received from banks on our cash balances. Other financial income relates principally to gains that we have made historically on foreign currency transactions, which arise from the fact that some of our collaboration agreements such as the collaboration agreements with Janssen and Piramal Imaging are in currencies other than Swiss Francs, and selected purchases, which we effect in foreign currencies.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are subject to corporate taxation in Switzerland. In 2005, the Canton of Vaud granted us a ten-year tax holiday for all income and capital taxes on a communal and cantonal level commencing in fiscal 2005 and valid through to 2014. In 2005, under a ruling created by the Swiss Federal Government to encourage the creation of new enterprises, we were granted a tax holiday of nine years from inception. Both tax holidays expired on December 31, 2014.</w:t>
      </w:r>
    </w:p>
    <w:p>
      <w:pPr>
        <w:spacing w:after="0" w:line="14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are also entitled under Swiss laws to carry forward any losses incurred for a period of seven years and can offset our losses carried forward against future taxes. As of December 31, 2015, we had tax loss carryforwards totaling CHF 29.1 million. There is no certainty that we will make sufficient profits to avail ourselves of these tax loss carryforwards.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corporate tax rate in the Canton of Vaud where we are domiciled is currently 22.5%. The Canton does from time to time, amend the level of taxation levied on corporations and there is no certainty that the tax rate currently in effect will not change in the future. At present, there are discussions on lowering the corporate tax rate in the Canton of Vaud to below 15% by 2021.</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Value Added Tax, or VAT, is charged on all qualifying goods and services by VAT-registered businesses. An amount of 8.0% of the value of the goods or services is added to all sales invoices and is payable to the Swiss tax authorities. Similarly, VAT paid on purchase invoices is reclaimable from the Swiss tax authorities.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20"/>
          </w:cols>
          <w:pgMar w:left="24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First Six Months Ended June 30, 2016 and June 30,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revenues during the six months ended June 30,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For the Six</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92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0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8000" w:type="dxa"/>
            <w:vAlign w:val="bottom"/>
          </w:tcPr>
          <w:p>
            <w:pPr>
              <w:spacing w:after="0"/>
              <w:rPr>
                <w:sz w:val="12"/>
                <w:szCs w:val="12"/>
                <w:color w:val="auto"/>
              </w:rPr>
            </w:pPr>
          </w:p>
        </w:tc>
        <w:tc>
          <w:tcPr>
            <w:tcW w:w="56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0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 CHF thousands)</w:t>
            </w: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0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20,135</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14,247</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135</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Total revenues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20,451</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14,401</w:t>
            </w:r>
          </w:p>
        </w:tc>
        <w:tc>
          <w:tcPr>
            <w:tcW w:w="4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Total revenues rose to CHF 20.5 million for the six months ended June 30, 2016 from CHF 14.4 million for the six months ended June 30, 2015, an increase of CHF 6.1 million. The increase in revenues was principally attributable to an increase in collaboration revenues. Specifically, in the first half of 2016, pursuant to the collaboration agreement with Janssen for ACI-35, we received a payment of CHF 1.5 million in January 2016 to cover part of our research costs associated with this program and a CHF 4.9 million milestone payment. In addition, in June we recognized revenues of CHF 14.0 million related to achieving a clinical milestone in our collaboration on the anti-tau antibody program with Genentech. The CHF 4.9 million and CHF 14.0 million milestone payments are non-refundable and there is no further performance obligation and, as a result, we recognized the amounts as revenues. As there is a performance obligation to the end of the Phase 1b clinical study which we expect will be completed in late 2016, we are recognizing the revenues related to the Janssen CHF 1.5 million research contribution on a straight line basis through December 31, 2016.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six months ended June 30, 2016 and 2015:</w:t>
      </w:r>
    </w:p>
    <w:tbl>
      <w:tblPr>
        <w:tblLayout w:type="fixed"/>
        <w:tblInd w:w="0" w:type="dxa"/>
        <w:tblCellMar>
          <w:top w:w="0" w:type="dxa"/>
          <w:left w:w="0" w:type="dxa"/>
          <w:bottom w:w="0" w:type="dxa"/>
          <w:right w:w="0" w:type="dxa"/>
        </w:tblCellMar>
      </w:tblPr>
      <w:tr>
        <w:trPr>
          <w:trHeight w:val="149"/>
        </w:trPr>
        <w:tc>
          <w:tcPr>
            <w:tcW w:w="9200" w:type="dxa"/>
            <w:vAlign w:val="bottom"/>
          </w:tcPr>
          <w:p>
            <w:pPr>
              <w:spacing w:after="0"/>
              <w:rPr>
                <w:sz w:val="12"/>
                <w:szCs w:val="12"/>
                <w:color w:val="auto"/>
              </w:rPr>
            </w:pPr>
          </w:p>
        </w:tc>
        <w:tc>
          <w:tcPr>
            <w:tcW w:w="16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For the Six</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0" w:type="dxa"/>
            <w:vAlign w:val="bottom"/>
          </w:tcPr>
          <w:p>
            <w:pPr>
              <w:spacing w:after="0"/>
              <w:rPr>
                <w:sz w:val="12"/>
                <w:szCs w:val="12"/>
                <w:color w:val="auto"/>
              </w:rPr>
            </w:pPr>
          </w:p>
        </w:tc>
        <w:tc>
          <w:tcPr>
            <w:tcW w:w="16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0" w:type="dxa"/>
            <w:vAlign w:val="bottom"/>
          </w:tcPr>
          <w:p>
            <w:pPr>
              <w:spacing w:after="0"/>
              <w:rPr>
                <w:sz w:val="14"/>
                <w:szCs w:val="14"/>
                <w:color w:val="auto"/>
              </w:rPr>
            </w:pPr>
          </w:p>
        </w:tc>
        <w:tc>
          <w:tcPr>
            <w:tcW w:w="920" w:type="dxa"/>
            <w:vAlign w:val="bottom"/>
            <w:tcBorders>
              <w:bottom w:val="single" w:sz="8" w:color="auto"/>
            </w:tcBorders>
            <w:gridSpan w:val="3"/>
          </w:tcPr>
          <w:p>
            <w:pPr>
              <w:jc w:val="center"/>
              <w:ind w:left="341"/>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9200" w:type="dxa"/>
            <w:vAlign w:val="bottom"/>
          </w:tcPr>
          <w:p>
            <w:pPr>
              <w:spacing w:after="0"/>
              <w:rPr>
                <w:sz w:val="12"/>
                <w:szCs w:val="12"/>
                <w:color w:val="auto"/>
              </w:rPr>
            </w:pPr>
          </w:p>
        </w:tc>
        <w:tc>
          <w:tcPr>
            <w:tcW w:w="560" w:type="dxa"/>
            <w:vAlign w:val="bottom"/>
          </w:tcPr>
          <w:p>
            <w:pPr>
              <w:jc w:val="right"/>
              <w:ind w:right="61"/>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3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9200" w:type="dxa"/>
            <w:vAlign w:val="bottom"/>
          </w:tcPr>
          <w:p>
            <w:pPr>
              <w:spacing w:after="0"/>
              <w:rPr>
                <w:sz w:val="11"/>
                <w:szCs w:val="11"/>
                <w:color w:val="auto"/>
              </w:rPr>
            </w:pPr>
          </w:p>
        </w:tc>
        <w:tc>
          <w:tcPr>
            <w:tcW w:w="2120" w:type="dxa"/>
            <w:vAlign w:val="bottom"/>
            <w:tcBorders>
              <w:top w:val="single" w:sz="8" w:color="auto"/>
            </w:tcBorders>
            <w:gridSpan w:val="6"/>
          </w:tcPr>
          <w:p>
            <w:pPr>
              <w:jc w:val="right"/>
              <w:ind w:right="374"/>
              <w:spacing w:after="0" w:line="133" w:lineRule="exact"/>
              <w:rPr>
                <w:sz w:val="20"/>
                <w:szCs w:val="20"/>
                <w:color w:val="auto"/>
              </w:rPr>
            </w:pPr>
            <w:r>
              <w:rPr>
                <w:rFonts w:ascii="Arial" w:cs="Arial" w:eastAsia="Arial" w:hAnsi="Arial"/>
                <w:sz w:val="14"/>
                <w:szCs w:val="14"/>
                <w:b w:val="1"/>
                <w:bCs w:val="1"/>
                <w:color w:val="auto"/>
              </w:rPr>
              <w:t>(in CHF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200" w:type="dxa"/>
            <w:vAlign w:val="bottom"/>
          </w:tcPr>
          <w:p>
            <w:pPr>
              <w:spacing w:after="0"/>
              <w:rPr>
                <w:sz w:val="14"/>
                <w:szCs w:val="14"/>
                <w:color w:val="auto"/>
              </w:rPr>
            </w:pPr>
          </w:p>
        </w:tc>
        <w:tc>
          <w:tcPr>
            <w:tcW w:w="1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4,011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Salaries and related costs</w:t>
            </w:r>
            <w:r>
              <w:rPr>
                <w:rFonts w:ascii="Arial" w:cs="Arial" w:eastAsia="Arial" w:hAnsi="Arial"/>
                <w:sz w:val="15"/>
                <w:szCs w:val="15"/>
                <w:color w:val="auto"/>
              </w:rPr>
              <w:t>(1)</w:t>
            </w:r>
          </w:p>
        </w:tc>
        <w:tc>
          <w:tcPr>
            <w:tcW w:w="560" w:type="dxa"/>
            <w:vAlign w:val="bottom"/>
          </w:tcPr>
          <w:p>
            <w:pPr>
              <w:jc w:val="right"/>
              <w:spacing w:after="0"/>
              <w:rPr>
                <w:sz w:val="20"/>
                <w:szCs w:val="20"/>
                <w:color w:val="auto"/>
              </w:rPr>
            </w:pPr>
            <w:r>
              <w:rPr>
                <w:rFonts w:ascii="Arial" w:cs="Arial" w:eastAsia="Arial" w:hAnsi="Arial"/>
                <w:sz w:val="18"/>
                <w:szCs w:val="18"/>
                <w:color w:val="auto"/>
              </w:rPr>
              <w:t>3,271</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3,038</w:t>
            </w:r>
          </w:p>
        </w:tc>
        <w:tc>
          <w:tcPr>
            <w:tcW w:w="3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11,018</w:t>
            </w:r>
          </w:p>
        </w:tc>
        <w:tc>
          <w:tcPr>
            <w:tcW w:w="30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7,190</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share-based compensation</w:t>
      </w:r>
    </w:p>
    <w:p>
      <w:pPr>
        <w:spacing w:after="0" w:line="208"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Research and development expenses increased to CHF 11.0 million for the six months ended June 30, 2016 from CHF 7.2 million for the six months ended June 30, 2015, an increase of CHF 3.8 million. The significant increase in research and development costs is attributable to three key factors:</w:t>
      </w:r>
    </w:p>
    <w:p>
      <w:pPr>
        <w:jc w:val="both"/>
        <w:ind w:right="260" w:firstLine="8"/>
        <w:spacing w:after="0" w:line="255" w:lineRule="auto"/>
        <w:tabs>
          <w:tab w:leader="none" w:pos="2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expenditures on direct research and development costs totaling CHF 3.2 million due principally to increased expenditures on ACI-35, ACI-24 and our new discovery programs, (ii) increased expenditures on manufacturing and quality assurance and increased regulatory costs, and (iii) greater wage expenses due to additional headcount in our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research and development team. Pursuant to our collaboration agreement with Janssen for ACI-35, we committed to spend a total of CHF 13.8 million over a two-year period starting in January 2015 to help bring ACI-35 to the end of the Phase 1b clinical trial. Because the scope of the Phase 1b clinical trial was not agreed to until mid 2015, we spent less than CHF 1.3 million, excluding wages, on research and development activities related to ACI-35 in the first half of 2015. In contrast, in the six months period ended June 30, 2016, research and development expenses totalled CHF 2.5 million, excluding wages. Similarly, during the first quarter of 2016, we spent CHF 1.9 million on the ACI-24 programs, as compared to CHF 0.6 million for the first six months ended June 30, 2015 while more than doubling the outlay on R&amp;D expenditures on new discovery programs from CHF 0.4 million in the first half of 2015 to</w:t>
      </w:r>
    </w:p>
    <w:p>
      <w:pPr>
        <w:spacing w:after="0" w:line="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CHF 1.1 million in the first half of 2016. As we are in the process of transitioning from an early stage development company to a more mature company, we are having to make substantial investments to upgrade and improve our manufacturing infrastructure. As a result, in the six month period ended June 30, 2016 we spent over CHF 2.0 million on manufacturing related initiatives, as compared to the CHF 0.8 million we spend in the six months period ended June 30, 2015. We have added a total of nine employees to our research and development team which has resulted in our wages and share based compensation attributable to research and development staff rising to CHF 3.3 million for the first six months of 2016 from CHF 3.0 million for the same period in 2015.</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six months ended June 30,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7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For the Six</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74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Months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7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Ended June 30,</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460" w:type="dxa"/>
            <w:vAlign w:val="bottom"/>
            <w:tcBorders>
              <w:top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1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jc w:val="right"/>
              <w:ind w:right="20"/>
              <w:spacing w:after="0" w:line="119" w:lineRule="exact"/>
              <w:rPr>
                <w:sz w:val="20"/>
                <w:szCs w:val="20"/>
                <w:color w:val="auto"/>
              </w:rPr>
            </w:pPr>
            <w:r>
              <w:rPr>
                <w:rFonts w:ascii="Arial" w:cs="Arial" w:eastAsia="Arial" w:hAnsi="Arial"/>
                <w:sz w:val="13"/>
                <w:szCs w:val="13"/>
                <w:b w:val="1"/>
                <w:bCs w:val="1"/>
                <w:color w:val="auto"/>
              </w:rPr>
              <w:t>(in CHF thousands)</w:t>
            </w: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7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1,061</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986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1,689</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756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2,750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six months ended June 30, 2016 our general and administrative expenses totaled CHF 2.8 million, up CHF 1.0 million from the CHF</w:t>
      </w:r>
    </w:p>
    <w:p>
      <w:pPr>
        <w:spacing w:after="0" w:line="35" w:lineRule="exact"/>
        <w:rPr>
          <w:sz w:val="20"/>
          <w:szCs w:val="20"/>
          <w:color w:val="auto"/>
        </w:rPr>
      </w:pPr>
    </w:p>
    <w:p>
      <w:pPr>
        <w:jc w:val="both"/>
        <w:ind w:right="420"/>
        <w:spacing w:after="0" w:line="261" w:lineRule="auto"/>
        <w:rPr>
          <w:sz w:val="20"/>
          <w:szCs w:val="20"/>
          <w:color w:val="auto"/>
        </w:rPr>
      </w:pPr>
      <w:r>
        <w:rPr>
          <w:rFonts w:ascii="Arial" w:cs="Arial" w:eastAsia="Arial" w:hAnsi="Arial"/>
          <w:sz w:val="18"/>
          <w:szCs w:val="18"/>
          <w:color w:val="auto"/>
        </w:rPr>
        <w:t>1.7 million we incurred during the six months ended June 30, 2015. The increase is due primarily with increased wage costs and information technology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six months ended June 30,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6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3"/>
              </w:rPr>
              <w:t>Six Months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40" w:type="dxa"/>
            <w:vAlign w:val="bottom"/>
          </w:tcPr>
          <w:p>
            <w:pPr>
              <w:spacing w:after="0"/>
              <w:rPr>
                <w:sz w:val="14"/>
                <w:szCs w:val="14"/>
                <w:color w:val="auto"/>
              </w:rPr>
            </w:pPr>
          </w:p>
        </w:tc>
        <w:tc>
          <w:tcPr>
            <w:tcW w:w="16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1"/>
              </w:rPr>
              <w:t>Ended June 30,</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24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gridSpan w:val="4"/>
          </w:tcPr>
          <w:p>
            <w:pPr>
              <w:jc w:val="right"/>
              <w:ind w:right="394"/>
              <w:spacing w:after="0" w:line="119" w:lineRule="exact"/>
              <w:rPr>
                <w:sz w:val="20"/>
                <w:szCs w:val="20"/>
                <w:color w:val="auto"/>
              </w:rPr>
            </w:pPr>
            <w:r>
              <w:rPr>
                <w:rFonts w:ascii="Arial" w:cs="Arial" w:eastAsia="Arial" w:hAnsi="Arial"/>
                <w:sz w:val="13"/>
                <w:szCs w:val="13"/>
                <w:b w:val="1"/>
                <w:bCs w:val="1"/>
                <w:color w:val="auto"/>
              </w:rPr>
              <w:t>(in CHF thousands)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40" w:type="dxa"/>
            <w:vAlign w:val="bottom"/>
          </w:tcPr>
          <w:p>
            <w:pPr>
              <w:spacing w:after="0"/>
              <w:rPr>
                <w:sz w:val="14"/>
                <w:szCs w:val="14"/>
                <w:color w:val="auto"/>
              </w:rPr>
            </w:pPr>
          </w:p>
        </w:tc>
        <w:tc>
          <w:tcPr>
            <w:tcW w:w="16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bank fees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Interest income</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32</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 (loss)</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5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Net financial income amounted to CHF 0.1 million for the six months period ended June 30, 2016 compared with net financial income of CHF 0.2 million for the six months period ended June 30, 2015. The principal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difference in the net financial result is attributable to (i) fees payable on the CS AG Share Issuance and (ii) the net impact of foreign exchange movements on our financial assets and payables owed by us during the reporting periods.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2015 and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0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Years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20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9"/>
              </w:rPr>
              <w:t>(in CHF thousands)</w:t>
            </w: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38,745</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30,179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8,566</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75</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 revenues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39,090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30,269</w:t>
            </w:r>
          </w:p>
        </w:tc>
        <w:tc>
          <w:tcPr>
            <w:tcW w:w="4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Total revenues rose to CHF 39.1 million for the year ended December 31, 2015 from CHF 30.3 million for the year ended December 31, 2014, an increase of CHF 8.8 million. The increase was principally due to collaboration and license revenues rising to CHF 38.8 million for the year ended December 31, 2015 from CHF 30.2 million for the year ended December 31, 2014. In 2015, we recognized revenue from two collaboration agreements, including a $25 million milestone payment related to our collaboration with Genentech for crenezumab and a CHF 14 million milestone payment associated with the Genentech collaboration agreement for our anti-tau antibody.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0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Years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20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9"/>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10,476</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9,990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Salaries and related costs</w:t>
            </w:r>
            <w:r>
              <w:rPr>
                <w:rFonts w:ascii="Arial" w:cs="Arial" w:eastAsia="Arial" w:hAnsi="Arial"/>
                <w:sz w:val="15"/>
                <w:szCs w:val="15"/>
                <w:color w:val="auto"/>
              </w:rPr>
              <w:t>(1)</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6,286</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5,828</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298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17,049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16,116</w:t>
            </w:r>
          </w:p>
        </w:tc>
        <w:tc>
          <w:tcPr>
            <w:tcW w:w="4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share-based compensation.</w:t>
      </w:r>
    </w:p>
    <w:p>
      <w:pPr>
        <w:spacing w:after="0" w:line="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research and development expenses rose to CHF 17.0 million for the year ended December 31, 2015 from CHF 16.1 million, an increase of CHF 0.9 million, as compared to year ended December 31, 2014.</w:t>
      </w:r>
    </w:p>
    <w:p>
      <w:pPr>
        <w:spacing w:after="0" w:line="186"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For the year ended December 31, 2015 our research and development operating costs increased by CHF 0.5 million to CHF 10.5 million due principally to the increase in expenditures related to ACI-35 which we are developing jointly with Janssen.</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Our salaries and related costs related to our research and development activities rose by CHF 0.5 million to CHF 6.3 million for the year ended December 31, 2015 from CHF 5.8 million for the year ended December 31, 2014. The increase is due to an average increase in the base compensation of 1.4% and the addition of two scientists to our research and development team.</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40"/>
          </w:cols>
          <w:pgMar w:left="240" w:top="459" w:right="3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share based compensation related to our research and development employees rose to CHF 0.4 million for the year ended December 31, 2015 from CHF 0.2 million for the year ended December 31, 2014. The increase is primarily due to the fact that the company valuation used as the basis for expensing share based compensation was nearly doubled during 2015 compared to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Years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20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2,040</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1,999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1,437</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3,417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3,436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General and administrative expenses for the year ended December 31, 2015 were CHF 3.4 million which is in line with the CHF 3.4 million for the year ended December 31, 2014. It should be noted that CHF 2.2 million of costs associated with the preparations for becoming a public company in the United States were not expensed in the year ended December 31, 2015 but rather were accrued and carried forward into 2016 and appear under prepaid expenses on our balance sheet for the year ended December 31,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340" w:type="dxa"/>
            <w:vAlign w:val="bottom"/>
            <w:gridSpan w:val="4"/>
          </w:tcPr>
          <w:p>
            <w:pPr>
              <w:jc w:val="center"/>
              <w:ind w:left="358"/>
              <w:spacing w:after="0"/>
              <w:rPr>
                <w:sz w:val="20"/>
                <w:szCs w:val="20"/>
                <w:color w:val="auto"/>
              </w:rPr>
            </w:pPr>
            <w:r>
              <w:rPr>
                <w:rFonts w:ascii="Arial" w:cs="Arial" w:eastAsia="Arial" w:hAnsi="Arial"/>
                <w:sz w:val="14"/>
                <w:szCs w:val="14"/>
                <w:b w:val="1"/>
                <w:bCs w:val="1"/>
                <w:color w:val="auto"/>
                <w:w w:val="91"/>
              </w:rPr>
              <w:t>Years Ended</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340" w:type="dxa"/>
            <w:vAlign w:val="bottom"/>
            <w:tcBorders>
              <w:bottom w:val="single" w:sz="8" w:color="auto"/>
            </w:tcBorders>
            <w:gridSpan w:val="4"/>
          </w:tcPr>
          <w:p>
            <w:pPr>
              <w:jc w:val="center"/>
              <w:ind w:left="378"/>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58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2014</w:t>
            </w:r>
          </w:p>
        </w:tc>
        <w:tc>
          <w:tcPr>
            <w:tcW w:w="6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bank fees</w:t>
            </w:r>
          </w:p>
        </w:tc>
        <w:tc>
          <w:tcPr>
            <w:tcW w:w="122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Interest income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 (loss)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Net financial income increased to CHF 1.6 million for the year ended December 31, 2015 from CHF 27 thousand for the year ended December 31, 2014. The increase was driven primarily by gains related to foreign exchange rates on our cash balances in US dollars as well as an increase in the interest income due to significantly higher cash balances on hand during the year in 2015 as compared to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Our operations have been financed primarily by proceeds from the collaboration and license agreements we have with a number of partners, including Genentech, Janssen and Piramal Imaging, research grants awarded to us and net proceeds from the issuance of preferred shares. At June 30, 2016, we had cash and cash equivalents of CHF 82.4 million. At June 30, 2016, after giving effect to the CHF 14 million milestone payment from Genentech for the anti-tau antibody program, we would have had cash and cash equivalents of CHF 96.4 million.</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including co-funding ACI-35 to the end of the ongoing Phase 1b clinical study, material increases in spending on ACI-24 in AD to fund a Phase 2b study, ACI-24 in Down syndrome, our PET imaging candidates focused on alpha-synuclein and TDP-43 which we are developing together with Biogen and a number of research initiatives focused on neurodegenerative orphan diseases other than AD.</w:t>
      </w:r>
    </w:p>
    <w:p>
      <w:pPr>
        <w:spacing w:after="0" w:line="165"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We plan to continue to fund our operating and capital funding needs through proceeds received from collaboration and licensing agreements and through equity or other forms of financing. We may also consider entering into additional collaboration agreements and selectively partnering for clinical development and commercialization. The sale of additional equity would result in additional dilution to our shareholders.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First Six Months Ended June 30, 2016 and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9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Six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9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8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rPr>
              <w:t>(in CHF thousands)</w:t>
            </w: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9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(unaudited)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(7,202)</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16,063</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(23,265)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13,159</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5,650</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15,952</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Net cash used in operating activities was CHF 7.2 million for the six months ended June 30, 2016 compared with net cash generated in operating activities of CHF 16.1 million for the six months ended June 30, 2015. The significant change in cash used in operating activities in the first six months of 2016 was due to (i) our outstanding receivables balances growing substantially in the first half of 2016 due to the notification in late June by Genentech that the anti-tau antibody program had moved into Phase 1 clinical studies triggering a CHF 14 million milestone payment while receivables declined sharply during the same period in 2015 due to the receipt of the CHF 25.9 million upfront payment from Janssen related to the collaboration agreement on ACI-35 which was partially offset by the addition of a CHF 14 million receivable from Genentech related to the ED-GO milestone payment, (ii) our prepaid expense balances rising from CHF 0.4 million to CHF 1.8 million between June 30, 2015 and June 30, 2016 while (iii) the amount of deferred revenues rose by CHF 2.1 million between June 30, 2015 and June 30, 2016 and (iv) the change in accounts payable positively impacted our cash position between June 30, 2015 and June 30, 2016 by CHF 0.9 million.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Net cash used in investing activities rose to CHF 0.3 million for the six months ended June 30, 2016 compared with net cash used in investing activities of CHF 0.1 million in the six months ended June 30, 2015 due to increased capital expenditures to strengthen our manufacturing and research infrastructure.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Net cash provided by financing activities was CHF 13.2 million for the six months ended June 30, 2016 compared with net cash from investing activities of CHF 6 thousand for the six months ended June 30, 2015. The increase is principally due to the completion of the Series E Extension (CHF 13.3 million) in April 2016, proceeds from the issuance of shares related to option exercises (CHF 0.2 million) and proceeds from issuance of shares under the CS AG Share issuance (CHF 0.1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2015 and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9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Years Ended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19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4"/>
              </w:rPr>
              <w:t>(in CHF thousands)</w:t>
            </w: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44,084</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(17,624)</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61,708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27,778</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9,801</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17,977</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71,618</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(7,954)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79,572</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net cash provided by operating activities rose to CHF 44.1 million for the year ended December 31, 2015 from net cash used by operating activities of CHF 17.6 million for the year ended December 31, 2014. The significant improvement is driven by three key factors: (i) a significant change in our current receivables which amounted to CHF 0.3 million for the year ended December 31, 2015 compared with CHF 25.9 million for the year ended December 31, 2014 driven by the receipt of the upfront payment from Janssen related to our collaboration on ACI-35, (ii) we generated a net income of CHF 20.3 million for the year ended December 31, 2015 compared with net income of CHF 10.7 million for the year ended December 31, 2014 and (iii) a reduction in the amount deferred revenue which declined to CHF 0.2 million for the year ended December 31, 2015 from CHF 3.7 million for the year ended December 31, 2014.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Net cash used in investing activities was CHF 0.2 million for the year ended December 31, 2015, compared with CHF 0.1 million for the year ended December 31, 2014. The CHF 0.1 million increase was due to a slight increase in investments in fixed assets in the laboratory.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Net cash provided by financing activities was CHF 27.8 million for the year ended December 31, 2015, compared to CHF 9.8 million for the year ended December 31, 2014. The increase was driven primarily by the $30 million Series E Private Placement which we completed in October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11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We do not expect to generate revenues from royalties based on product sales unless and until our partners obtain regulatory approval of and commercialize our current or any future product candidates. As of June 30, 2016 we had cash balances totaling CHF 82.4 million. The increase relative to December 31, 2015 is due to the proceeds we received from the Series E Extension in April 2016, partially offset by a significant rise in total operating expenses driven by CHF 3.8 million spent on research and development. There can be no certainty as to the exact timing, or in fact whether any future milestone payments will ever be made given that these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milestone payments are contingent on clear milestones being reached. Accordingly, assuming we do not receive potential milestone payments and based upon our currently contemplated research and development strategy and expenditures and assuming our receipt of the net proceeds from this offering in the amount of $57.8, we believe that our existing capital resources (including the proceeds we received from Genentech, as described below under “—Anti-Tau Antibody Phase 1 Milestone Payment”) will be sufficient to meet our projected operating requirements up to the fourth quarter of 2018.</w:t>
      </w:r>
    </w:p>
    <w:p>
      <w:pPr>
        <w:spacing w:after="0" w:line="154"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expect to generate losses for the foreseeable future, and these losses could increase as we continue product development and if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Upon closing of this offering, we expect to incur additional costs associated with operating a public company and we anticipate that we will need substantial additional funding in connection with our continuing operations.</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If we need to raise additional capital to fund our operations and complete our ongoing and planned clinical studies, funding may not be available to us on acceptable terms, or at all.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131"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preparing our financial statements as of and for the years ended December 31, 2014 and December 31, 2015 and reviewing our interim financial statements as of June 30, 2016, a material weakness in our internal control over financial reporting was identified, as defined in the SEC guidelines for public companies. The material weakness identified relates specifically to the accounting for and disclosure of non-routine and complex accounting transactions and the related internal controls and processes supporting these areas. As a result, there is a reasonable possibility that a material misstatement of our consolidated financial statements will not be prevented or detected on a timely basis.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 the process of implementing improvements and remedial measures in response to these assessments and recommendations, including:</w:t>
      </w:r>
    </w:p>
    <w:p>
      <w:pPr>
        <w:spacing w:after="0" w:line="154" w:lineRule="exact"/>
        <w:rPr>
          <w:sz w:val="20"/>
          <w:szCs w:val="20"/>
          <w:color w:val="auto"/>
        </w:rPr>
      </w:pPr>
    </w:p>
    <w:p>
      <w:pPr>
        <w:ind w:left="90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assembling a team from our finance department to be responsible for the preparation of financial statements under U.S. Securities laws, including hiring additional qualified personnel as necessary;</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organizing regular training sessions on IFRS for our finance department in the form of workshops, seminars and newsletters as well as requiring our finance personnel to participate in annual in-house or public IFRS training courses;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setting up an internal audit department to review our internal control processes, policies and procedures to ensure compliance with the Sarbanes-Oxley Act.</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Although we have been implementing these measures, the implementation of these measures has not fully remediated the material weakness and they may not fully address this material weakness in our internal control over financial reporting, and we therefore may not be able to conclude that it has been fully remedied.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historically generated revenues from funds received under collaboration and license agreements as well as research grants. Revenues from research activities made under collaboration arrangements are recognized when there is persuasive evidence that an arrangement exists, services have been rendered, the price is fixed or determinable and collectability is reasonably assured. Since our inception, we have entered into strategic collaboration agreements with a range of partners covering a number of our product candidates.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are not met, we recognize the upfront payments ratably over the term of our estimated period of performance under each agreement.</w:t>
      </w:r>
    </w:p>
    <w:p>
      <w:pPr>
        <w:spacing w:after="0" w:line="189"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We record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14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Milestones are considered substantive if all of the following conditions are met: (i) the milestone is non-refundable, (ii) achievement of the milestone was not reasonably assured at the inception of the arrangement, (iii) substantive effort is involved to achieve the milestone and (iv) the amount of the milestone appears reasonable in relation to the effort expended, and the other milestones in the arrangement and the related risk associated with the achievement of the milestone and any ongoing research and development or other services are priced at fair value. Such payments that are contingent upon achievement of a substantive milestone are recognized entirely as revenues in the period in which the milestone is achieved. To the extent that non-substantive milestones are achieved and we have remaining performance obligations, milestones are deferred and recognized as revenue over the estimated remaining period of performance. If there are no remaining performance obligations, we recognize the revenue in the period it is earned.</w:t>
      </w:r>
    </w:p>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 We intend to continue to evaluate pursuing additional grant opportunities on a case-by-case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record accrued expenses for estimated costs of our research and development activities conducted by third party service providers, which include amongst others the conduct of preclinical studies and clinical studies and contract manufacturing activities. We record accrued expenses for estimated costs of our research and development activities based upon the estimated amount of services provided but not yet invoiced, and we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include these costs in accrued liabilities on the balance sheets and within research and development expenses in the statement of operations and comprehensive income. These costs are a significant component of our research and development expenses. We record accrued expenses for these costs based on the estimated amount of work completed in accordance with agreements established with these third parties.</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estimate the amount of work completed through discussions with our project leaders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the number of patients enrolled and the rate of patient enrollment may vary from our estimates and could result in us reporting amounts that are too high or too low in any particular period. Our accrued expenses are dependent, in part, upon the receipt of timely and accurate reporting from CROs and other third-party service providers. To date, there have been no material differences from our accrued expenses to actual expenses.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78"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recorded share-based compensation expense related to options granted of CHF 0.5 million and CHF 0.2 million in each of the years ended December 31, 2015 and 2014,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The expected term represents the period that share-based awards are expected to be outstanding. We used the simplified method to determine the expected term, which is calculated as the mid-point between the vesting date and the end of the contractual term of the options.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Since we are not yet a public company and do not have any trading history for our common shares, the expected volatility was estimated based on the average historical volatilities of common shares of comparable publicly traded entities over a period equal to the expected term of the stock option grants. The comparable companies were chosen based on similar geographic location, similar size, and similar stage in the life cycle or area of specialty. We will continue to apply this process until a sufficient amount of historical information regarding the volatility of our own stock price becomes available.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risk-free rate is based on long dated Swiss government zero coupon bond issues in effect at the time of the grant for periods corresponding with the expected term of the option.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Dividends</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have never paid dividends on our common shares and have no plans to pay dividends on our common shares. Therefore, we used an expected dividend yield of zero percent.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to Black-Scholes assumptions, we estimate our forfeiture rate based on our actual forfeitures and continue to evaluate the adequacy of the forfeiture rate based on the actual forfeiture experience, analysis of employee turnover behavior and other factors. The impact from any forfeiture rate adjustment would be recognized in full in the period of adjustment, and if the actual number of future forfeitures differs from our estimates, we might be required to record adjustments to share-based compensation in future periods.</w:t>
      </w:r>
    </w:p>
    <w:p>
      <w:pPr>
        <w:spacing w:after="0" w:line="18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Historically, for all periods prior to this offering, the fair value of the common shares underlying our share-based awards was estimated on each grant date by our management and approved by our board of directors. In order to determine the fair value of our common shares underlying option grants, our board of directors considered, among other things, the breadth of our product candidate portfolio, the stages of development of our various product candidates and major changes to stage of development, the progress and additions to our collaboration agreements, risks inherent in our activities, the lack of liquidity of our companies securities and the valuations and sentiment toward biotech companies. Given the absence of a public trading market for our common shares, our board of directors exercised reasonable judgment and considered a number of objective and subjective factors to determine the best estimate of the fair value of our common shares, including our stage of development, progress of our research and development efforts, the strength of our balance sheets and capital base, equity market conditions affecting comparable public companies and the lack of liquidity marketability of our common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2015 Option Plan</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grant options at the outset of the award period with the options vesting over a four year period. In line with IFRS accounting principles for option awards, we are using the graded methodology to expense the fair value of the awards on a straight line basis over the four year vesting period of the options. Specifically, the accounting rules require us to recognize that four separate options with four separate option periods were issued. Consequently, in year one, we need to expense (i) the fair value of the awards issued in the first year, (ii) one half of the fair value of the awards to be issued in year two, (iii) one third of the value of the awards to be issued in year three and (iv) one quarter of the fair value of the options issued to be in year four. The result in the change in the way we expense options means that we are recognizing a larger expense in years one and two (relative to the traditional straight line expensing method) while recognizing a smaller expense in years three and four (relative to the traditional straight line expensing method).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Plan A Stock Option Plan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2015, we amended the Plan A stock option plan that we developed in 2004. Two key amendments were made to the program: (i) the duration of the stock option plan was increased by two years from 10.5 to 12.5 years and (ii) the split adjusted strike price of the option was reduced from CHF 0.93188 per share to a split adjusted strike price of CHF 0.14548 per share. The lengthening of the plan’s term and lowering of the strike price was effected to bring the plan in line with our other plans, and resulted in a material increase in the value of the options to the option holders and required us to recognize the impact of the transfer in value on our accounts in the first half of 2015. The impact of the amendment of the Plan A stock option plan totaled CHF 0.4 million. There are no further expenses that we need to recognize in the future associated with this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Acceleration of Options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 feature was removed. Instead, employees (excluding executive officers and board members) have the right, but not the obligation, to have their unvested options accelerated such that they vest immediately. A total of 1,250 options could be accelerated upon completion of this offering.</w:t>
      </w:r>
    </w:p>
    <w:p>
      <w:pPr>
        <w:spacing w:after="0" w:line="188"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Our board of directors has the authority to accelerate the vesting of all outstanding unvested options granted to employees prior to July 2014, in the event of an initial public offering. Pursuant to a board decision on September 18, 2015, if we successfully complete this offering, the board will accelerate 76,000 options which were granted to directors and executive officers.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We have been a tenant at our current location in the EPFL Innovation Park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Antibody Phase 1 Milestone Payment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June 2016, Genentech, our collaboration partner informed us that the first patient has been dosed in a Phase 1 clinical study for Alzheimer’s disease with an anti-tau monoclonal antibody, making us eligible to receive a milestone payment of CHF 14.0 million, which we received in July 2016. For more information on our collaboration agreement with Genentech, see “—Strategic Collaborations and Licensing Agreements—Anti-Tau Antibodies— Collaboration with Genentech” and “Business—License Agreements and Collaborations—Genentech.”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material off-balance sheet arrangements or commitments.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Market risk arises from our exposure to fluctuation in interest rates and currency exchange rates. We are exposed to market risks in the ordinary course of our business, which are principally limited to foreign currency exchange rate fluctuations and to a lesser degree, interest rate fluctuations.</w:t>
      </w:r>
    </w:p>
    <w:p>
      <w:pPr>
        <w:spacing w:after="0" w:line="147" w:lineRule="exact"/>
        <w:rPr>
          <w:sz w:val="20"/>
          <w:szCs w:val="20"/>
          <w:color w:val="auto"/>
        </w:rPr>
      </w:pPr>
    </w:p>
    <w:p>
      <w:pPr>
        <w:jc w:val="both"/>
        <w:ind w:right="520" w:firstLine="456"/>
        <w:spacing w:after="0" w:line="286" w:lineRule="auto"/>
        <w:rPr>
          <w:sz w:val="20"/>
          <w:szCs w:val="20"/>
          <w:color w:val="auto"/>
        </w:rPr>
      </w:pPr>
      <w:r>
        <w:rPr>
          <w:rFonts w:ascii="Arial" w:cs="Arial" w:eastAsia="Arial" w:hAnsi="Arial"/>
          <w:sz w:val="17"/>
          <w:szCs w:val="17"/>
          <w:color w:val="auto"/>
        </w:rPr>
        <w:t>As at June 30, 2016 we had cash and cash equivalents of CHF 82.4 million, which consisted exclusively of bank deposits. Such interest-earning instruments carry a degree of interest rate risk. However, historical fluctuations of interest income have not been significant and have been principally impacted by the change in our cash balances as opposed to changes in interest rates received on the cash balances.</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have not been exposed nor do we anticipate being exposed to material risks due to changes in interest rates. A hypothetical 10% change in interest rates during any of the periods presented would not have had a material impact on our financial statements.</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 number of collaboration agreements where the upfront payments, milestone payments and future royalty payments are not denominated in Swiss Francs, our reporting currency. Furthermore, many of our research and development activities are subcontracted including to parties outside of Switzerland and we purchase materials from suppliers outside of Switzerland. As a result, we are exposed to foreign exchange risk. Approximately 40% of our total costs are incurred in currencies other than the Swiss Franc. Due to the size of some of the income received from collaboration agreements but also the high percentage of our costs indirectly being in foreign currencies, a hypothetical 10% change in exchange rates relative to the Swiss Franc could have a material impact on our financial statements.</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40"/>
          </w:cols>
          <w:pgMar w:left="240" w:top="459" w:right="3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and three diagnostic candidates has the potential to drive a paradigm shift in the treatment of a broad spectrum of neurodegenerative and other diseases related to protein misfolding.</w:t>
      </w:r>
    </w:p>
    <w:p>
      <w:pPr>
        <w:spacing w:after="0" w:line="1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lead product candidate is crenezumab, a humanized, monoclonal, conformation-specific anti-Abeta antibody that we developed using our SupraAntigen™ platform. Crenezumab commenced Phase 3 clinical studies in the first quarter of 2016. Genentech, Inc., a wholly owned subsidiary of Roche, or Genentech, is advancing crenezumab under a collaboration agreement with us for the treatment of AD, a progressive neurodegenerative disease that affected an estimated 9.0 million people in the United States, the United Kingdom, Western Europe, Japan, China and India in 2013. Under this collaboration agreement, Genentech is responsible for the clinical development of crenezumab, including the costs associated with seeking and obtaining regulatory and marketing approvals, manufacturing costs and sales and marketing costs. We believe our collaboration with Genentech validates our technology and crenezumab’s potential to become a best-in-class disease-modifying treatment for AD. We are eligible to receive up to $340 million in total payments from Genentech, as well as sales royalties. Crenezumab has received Fast Track designation from the U.S. Food and Drug Administration, or FDA. The Fast Track program is intended to expedite or facilitate the process for reviewing new drugs that are designed to treat a serious or life-threatening condition and demonstrate the potential to address unmet medical needs, as further described under “—Government Regulation and Our Regulatory Department—Product Approval Process.” In 2012, crenezumab was independently selected by the National Institute of Health, or NIH, the Banner Alzheimer’s Institute and Genentech for use in the first-ever AD prevention study, which serves as the cornerstone of the global Alzheimer’s Prevention Initiative.</w:t>
      </w:r>
    </w:p>
    <w:p>
      <w:pPr>
        <w:spacing w:after="0" w:line="169"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the key advantages of crenezumab include:</w:t>
      </w:r>
    </w:p>
    <w:p>
      <w:pPr>
        <w:spacing w:after="0" w:line="87"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480" w:right="660" w:hanging="446"/>
        <w:spacing w:after="0" w:line="277"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jc w:val="both"/>
        <w:ind w:left="1480" w:right="380" w:hanging="446"/>
        <w:spacing w:after="0" w:line="286" w:lineRule="auto"/>
        <w:tabs>
          <w:tab w:leader="none" w:pos="148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ABBY cognition study: although the study did not meet its co-primary endpoints, which were assessments under the ADAS-cog and CDR-Sum of boxes, the sample size was not expected to have adequate power to detect a modest but clinically significant difference between active medication and placebo at the 5% significance level (as is commonly the case in Phase 2 studies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spacing w:after="0" w:line="288" w:lineRule="auto"/>
        <w:rPr>
          <w:sz w:val="20"/>
          <w:szCs w:val="20"/>
          <w:color w:val="auto"/>
        </w:rPr>
      </w:pPr>
      <w:r>
        <w:rPr>
          <w:rFonts w:ascii="Arial" w:cs="Arial" w:eastAsia="Arial" w:hAnsi="Arial"/>
          <w:sz w:val="16"/>
          <w:szCs w:val="16"/>
          <w:color w:val="auto"/>
        </w:rPr>
        <w:t>in AD). Instead, consistent trends across different endpoints and dose dependency are considered indicators of a response in this learning phase of development, with confirmation then sought in Phase 3. The results showed trends favoring crenezumab in the milder patient population. Notably, in an exploratory analysis, the high-dose crenezumab arm showed a non-significant slowing of cognition in the overall and mildly demented populations, which was statistically significant (p=0.036) with a 35% slowing of the rate of cognitive decline measured by the ADAS-cog Scale over 73 weeks in patients with the non-pre-specified milder cognitive impairment (Mini-Mental State Examination score, or MMSE, of 22-26). The MMSE is a widely used test of overall cognitive function, which assesses memory, orientation and ability to perform simple tasks. Scores range from 0 (worst) to 30 (best) with a score of 0-11 indicating severe dementia, a score of 12-19 indicating moderate dementia and a score of 20-26 indicating mild dementia. Statistical significance is an indicator of the likelihood of an observed effect being due to the study drug rather than due to chance. The “p” value is the probability of an event occurring by chance alone. When the p value is less than 5% (0.05) the results are considered to be statistically significant.</w:t>
      </w:r>
    </w:p>
    <w:p>
      <w:pPr>
        <w:spacing w:after="0" w:line="75" w:lineRule="exact"/>
        <w:rPr>
          <w:sz w:val="20"/>
          <w:szCs w:val="20"/>
          <w:color w:val="auto"/>
        </w:rPr>
      </w:pPr>
    </w:p>
    <w:p>
      <w:pPr>
        <w:ind w:left="1480" w:right="40" w:hanging="446"/>
        <w:spacing w:after="0" w:line="264"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in cerebrospinal fluid, or CSF, which suggests that Abeta is being removed from the brain when patients are treated with crenezumab.</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20" w:hanging="446"/>
        <w:spacing w:after="0" w:line="277"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an accumulation of fluid in the brain that can lead to headaches, loss of coordination and disorientation.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This study has helped define the design of the Phase 3 clinical study.</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Two of our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hanging="325"/>
        <w:spacing w:after="0" w:line="293"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ACI-24 is our wholly-owned anti-Abeta vaccine candidate that is T-cell independent, meaning it can generate an antibody response in the absence of T-cells. This product candidate is currently in a Phase 1/2a clinical study to evaluate safety, tolerability, immunogenicity and biomarker endpoints in patients with mild to moderate AD in Europe. We expect to complete our Phase 1/2a clinical study of ACI-24 and announce top line results in the second half of 2016. ACI-24 is also being studied in a Phase 1 clinical study in patients with Down syndrome, a population which is at high risk for AD, and we expect to present the data from this study in 2018. A protocol amendment for the Phase 1b study of ACI-24 was submitted to the FDA in September 2015. Phase 1 and 2 studies are also currently ongoing in Finland, Sweden and Denmark.</w:t>
      </w:r>
    </w:p>
    <w:p>
      <w:pPr>
        <w:spacing w:after="0" w:line="70" w:lineRule="exact"/>
        <w:rPr>
          <w:rFonts w:ascii="Arial" w:cs="Arial" w:eastAsia="Arial" w:hAnsi="Arial"/>
          <w:sz w:val="16"/>
          <w:szCs w:val="16"/>
          <w:color w:val="auto"/>
        </w:rPr>
      </w:pPr>
    </w:p>
    <w:p>
      <w:pPr>
        <w:ind w:left="900" w:right="40" w:hanging="325"/>
        <w:spacing w:after="0" w:line="297"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ACI-35 is an anti-tau vaccine candidate that is T-cell independent. We are developing ACI-35 under a collaboration agreement with Janssen, which we entered into in December 2014. A Phase 1b clinical study to evaluate the safety, tolerability and immunogenicity of ACI-35 in patients with mild to moderate AD is ongoing in Finland and the United Kingdom. We and Janssen are co-developing ACI-35 through this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Additionally, our passive anti-tau monoclonal antibody candidate is being developed under a collaboration agreement with Genentech, which we entered into in June 2012. The anti-tau antibody candidate is a humanized monoclonal antibody that is believed to bind specifically to tau. A Phase 1 clinical study conducted by Genentech will evaluate the safety, tolerability and pharmacokinetics in patients with mild to moderate Alzheimer’s disease and healthy volunteers. The Phase 1 clinical study commenced in the second quarter of 2016, with results expected in the first half of 2017.</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 candidates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900" w:hanging="325"/>
        <w:spacing w:after="0" w:line="31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Our tau PET imaging agent is currently in a First-in-Man study (a clinical study in which a medical procedure, previously developed and assessed through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animal testing or through mathematical modelling, is tested on human subjects for the first time) and being developed under a collaboration agreement with Piramal Imaging. Piramal Imaging is expecting to advance this program into Phase 1 clinical development in 2016.</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are also developing PET imaging diagnostics for diseases resulting from the misfolding of alpha-synuclein proteins, such as PD.</w:t>
      </w:r>
    </w:p>
    <w:p>
      <w:pPr>
        <w:spacing w:after="0" w:line="130" w:lineRule="exact"/>
        <w:rPr>
          <w:rFonts w:ascii="Arial" w:cs="Arial" w:eastAsia="Arial" w:hAnsi="Arial"/>
          <w:sz w:val="18"/>
          <w:szCs w:val="18"/>
          <w:color w:val="auto"/>
        </w:rPr>
      </w:pPr>
    </w:p>
    <w:p>
      <w:pPr>
        <w:ind w:left="900" w:right="240" w:hanging="325"/>
        <w:spacing w:after="0" w:line="279"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 April 2016, we entered into a non-exclusive collaboration with Biogen to develop PET imaging diagnostics for neurodegenerative diseases resulting from the misfolding of alpha-synuclein proteins and TDP-43, which is a protein that has been recently linked to neurodegeneration in diseases including AD, PD and amyotrophic lateral sclerosis (commonly known as ALS or Lou Gehrig’s disease). We expect to commence a Phase 1 clinical study of our alpha-synuclein PET imaging agent in 2017.</w:t>
      </w:r>
    </w:p>
    <w:p>
      <w:pPr>
        <w:spacing w:after="0" w:line="17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 Neurodegenerative diseases, such as AD and PD as well as other neuro-orphan diseases, such as progressive supranuclear palsy, amyotrophic lateral sclerosis, or ALS, and Huntington’s disease, are all associated with pathologies that involve misfolded proteins. Research has shown that misfolded proteins are unable to carry out their normal functions and aggregate to form certain types of deposits such as Abeta plaques or tau tangles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169545</wp:posOffset>
            </wp:positionV>
            <wp:extent cx="5205730" cy="31470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05730" cy="314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Neurodegenerative diseases and other diseases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w:t>
      </w:r>
    </w:p>
    <w:p>
      <w:pPr>
        <w:spacing w:after="0" w:line="71" w:lineRule="exact"/>
        <w:rPr>
          <w:sz w:val="20"/>
          <w:szCs w:val="20"/>
          <w:color w:val="auto"/>
        </w:rPr>
      </w:pPr>
    </w:p>
    <w:p>
      <w:pPr>
        <w:ind w:left="900" w:right="40" w:hanging="446"/>
        <w:spacing w:after="0" w:line="255"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 is the most common form of dementia, which affects an estimated worldwide patient population of 47 million in 2015, and is expected to grow to 75 million by 2030 and 132 million by 2050, according to the World Alzheimer Report 2015. The estimated aggregate cost of prevention and treatments in the United States was $172 billion in 2010 and is estimated by Alzheimer’s Disease International, or ADI, to grow to $408 billion in 2030 and $1,078 billion in 2050. ADI estimated that the cost of prevention and treatments in the United States could be reduced from over a trillion dollars to $631 billion in 2050 if the onset of AD could be delayed by five years in the patient population. In addition, at autopsy, AD has been reported in 80% of people with Down syndrome over age 40 and 100% over age 60. Down syndrome affects approximately one in 1,000 live births worldwide.</w:t>
      </w:r>
    </w:p>
    <w:p>
      <w:pPr>
        <w:spacing w:after="0" w:line="81" w:lineRule="exact"/>
        <w:rPr>
          <w:sz w:val="20"/>
          <w:szCs w:val="20"/>
          <w:color w:val="auto"/>
        </w:rPr>
      </w:pPr>
    </w:p>
    <w:p>
      <w:pPr>
        <w:ind w:left="920" w:right="300"/>
        <w:spacing w:after="0" w:line="257" w:lineRule="auto"/>
        <w:rPr>
          <w:sz w:val="20"/>
          <w:szCs w:val="20"/>
          <w:color w:val="auto"/>
        </w:rPr>
      </w:pPr>
      <w:r>
        <w:rPr>
          <w:rFonts w:ascii="Arial" w:cs="Arial" w:eastAsia="Arial" w:hAnsi="Arial"/>
          <w:sz w:val="18"/>
          <w:szCs w:val="18"/>
          <w:color w:val="auto"/>
        </w:rPr>
        <w:t>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The clinical benefit derived from these symptomatic treatments is typically incomplete. Only between 40 and 70 percent of patients with AD benefit from taking symptomatic treatments and the symptoms improve for 6 to 12 months in most cases.</w:t>
      </w:r>
    </w:p>
    <w:p>
      <w:pPr>
        <w:spacing w:after="0" w:line="80"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Therapeutic development for AD is increasingly focused on treating early stages of the disease to delay or prevent progression and to preserve the maximum amount of cognitive function before irreversible neuronal damage occurs. Most clinical studies now target mild stages of the disease, increasing the need for accurate diagnosis that is independent of potentially subjective and otherwise sub-optimal cognitive metrics. Diagnostics therefore have a crucial role in selecting more uniform and stage-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specific clinical study subjects, tracking patient progress and results, managing patients receiving treatment and ultimately diagnosing the disease at its earliest stage for immediate treatment.</w:t>
      </w:r>
    </w:p>
    <w:p>
      <w:pPr>
        <w:spacing w:after="0" w:line="76" w:lineRule="exact"/>
        <w:rPr>
          <w:sz w:val="20"/>
          <w:szCs w:val="20"/>
          <w:color w:val="auto"/>
        </w:rPr>
      </w:pPr>
    </w:p>
    <w:p>
      <w:pPr>
        <w:ind w:left="900" w:right="80" w:hanging="446"/>
        <w:spacing w:after="0" w:line="264"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There remains a significant unmet medical need for reliable and accurate diagnostics to enable early diagnosis and disease-modifying treatments that slow the progress of neurodegenerative diseases.</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have assembled an outstanding management team with relevant scientific, clinical and regulatory expertise. Our scientific founders, Dr. Jean-Marie Lehn, Dr. Claude Nicolau, Dr. Roscoe Brady and Dr. Fred van Leuven, are regarded as pioneers in their respective scientific domains, including in the study of AD. Our co-founder and Chief Executive Officer, Dr. Andrea Pfeifer, a pharmacologist with a Ph.D. in cancer research and former National Institute of Health researcher, has a 30 year track record in product innovation and implementation and was formerly head of Nestlé Global Research and the co-founder of Nestlé Venture Fund. Our Chief Scientific Officer, Dr. Andreas Muhs, has more than 20 years of experience in various aspects of discovery research and drug development, including working on multiple drug development programs.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3" w:lineRule="exact"/>
        <w:rPr>
          <w:sz w:val="20"/>
          <w:szCs w:val="20"/>
          <w:color w:val="auto"/>
        </w:rPr>
      </w:pPr>
    </w:p>
    <w:p>
      <w:pPr>
        <w:ind w:left="900" w:right="960" w:hanging="325"/>
        <w:spacing w:after="0" w:line="282"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Advance our product candidates, in partnership or alone, through clinical development to regulatory approval and potential commercialization.</w:t>
      </w:r>
    </w:p>
    <w:p>
      <w:pPr>
        <w:spacing w:after="0" w:line="71" w:lineRule="exact"/>
        <w:rPr>
          <w:rFonts w:ascii="Arial" w:cs="Arial" w:eastAsia="Arial" w:hAnsi="Arial"/>
          <w:sz w:val="18"/>
          <w:szCs w:val="18"/>
          <w:color w:val="auto"/>
        </w:rPr>
      </w:pPr>
    </w:p>
    <w:p>
      <w:pPr>
        <w:ind w:left="1480" w:right="440" w:hanging="446"/>
        <w:spacing w:after="0" w:line="264"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Crenezumab</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collaboration partner, Genentech, will advance crenezumab through Phase 3 clinical studies and seek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We believe that crenezumab’s efficacy, coupled with its safety profile, has the potential to become a best-in-class disease-modifying treatment for AD.</w:t>
      </w:r>
    </w:p>
    <w:p>
      <w:pPr>
        <w:spacing w:after="0" w:line="86" w:lineRule="exact"/>
        <w:rPr>
          <w:rFonts w:ascii="Arial" w:cs="Arial" w:eastAsia="Arial" w:hAnsi="Arial"/>
          <w:sz w:val="18"/>
          <w:szCs w:val="18"/>
          <w:color w:val="auto"/>
        </w:rPr>
      </w:pPr>
    </w:p>
    <w:p>
      <w:pPr>
        <w:ind w:left="1480" w:right="160" w:hanging="446"/>
        <w:spacing w:after="0" w:line="297" w:lineRule="auto"/>
        <w:tabs>
          <w:tab w:leader="none" w:pos="1480" w:val="left"/>
        </w:tabs>
        <w:numPr>
          <w:ilvl w:val="1"/>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ACI-24</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continue to advance ACI-24, both through completion of an ongoing Phase 1/2a clinical study to evaluate the safety,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tolerability, immunogenicity and biomarker endpoints in patients with mild to moderate AD and, if the Phase 1/2a results are favorable, through a Phase 2/3 clinical study in patients with Down syndrome. We expect top line results from our Phase 1/2a clinical study in the second half of 2016. Our Phase 1 clinical study of ACI-24 in patients with Down syndrome is intended to assess safety and started in December 2015. We own the global rights to ACI-24 and we intend to continue to develop ACI-24 in-house as a therapeutic candidate.</w:t>
      </w:r>
    </w:p>
    <w:p>
      <w:pPr>
        <w:spacing w:after="0" w:line="63" w:lineRule="exact"/>
        <w:rPr>
          <w:rFonts w:ascii="Arial" w:cs="Arial" w:eastAsia="Arial" w:hAnsi="Arial"/>
          <w:sz w:val="16"/>
          <w:szCs w:val="16"/>
          <w:color w:val="auto"/>
        </w:rPr>
      </w:pPr>
    </w:p>
    <w:p>
      <w:pPr>
        <w:ind w:left="1480" w:right="140" w:hanging="446"/>
        <w:spacing w:after="0" w:line="308" w:lineRule="auto"/>
        <w:tabs>
          <w:tab w:leader="none" w:pos="1480" w:val="left"/>
        </w:tabs>
        <w:numPr>
          <w:ilvl w:val="1"/>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ACI-35</w:t>
      </w:r>
      <w:r>
        <w:rPr>
          <w:rFonts w:ascii="Arial" w:cs="Arial" w:eastAsia="Arial" w:hAnsi="Arial"/>
          <w:sz w:val="17"/>
          <w:szCs w:val="17"/>
          <w:color w:val="auto"/>
        </w:rPr>
        <w:t>. We will continue to advance ACI-35 through Phase 1b clinical studies in collaboration with Janssen. If the Phase 1b results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favorable, Janssen will advance ACI-35 through the additional clinical development stages in collaboration with us.</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1"/>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Anti-tau antibody</w:t>
      </w:r>
      <w:r>
        <w:rPr>
          <w:rFonts w:ascii="Arial" w:cs="Arial" w:eastAsia="Arial" w:hAnsi="Arial"/>
          <w:sz w:val="16"/>
          <w:szCs w:val="16"/>
          <w:color w:val="auto"/>
        </w:rPr>
        <w:t>. Our collaboration partner, Genentech, is advancing an anti-tau antibody candidate through a Phase 1 clinical study.</w:t>
      </w:r>
    </w:p>
    <w:p>
      <w:pPr>
        <w:spacing w:after="0" w:line="153" w:lineRule="exact"/>
        <w:rPr>
          <w:rFonts w:ascii="Arial" w:cs="Arial" w:eastAsia="Arial" w:hAnsi="Arial"/>
          <w:sz w:val="16"/>
          <w:szCs w:val="16"/>
          <w:color w:val="auto"/>
        </w:rPr>
      </w:pPr>
    </w:p>
    <w:p>
      <w:pPr>
        <w:ind w:left="1480" w:right="160" w:hanging="446"/>
        <w:spacing w:after="0" w:line="308" w:lineRule="auto"/>
        <w:tabs>
          <w:tab w:leader="none" w:pos="1480" w:val="left"/>
        </w:tabs>
        <w:numPr>
          <w:ilvl w:val="1"/>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Diagnostic candidates</w:t>
      </w:r>
      <w:r>
        <w:rPr>
          <w:rFonts w:ascii="Arial" w:cs="Arial" w:eastAsia="Arial" w:hAnsi="Arial"/>
          <w:sz w:val="17"/>
          <w:szCs w:val="17"/>
          <w:color w:val="auto"/>
        </w:rPr>
        <w:t>. In addition to the above product candidates, we will continue to develop our complementary diagnostic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candidates and to advance these through clinical development, either independently or with collaboration partners.</w:t>
      </w:r>
    </w:p>
    <w:p>
      <w:pPr>
        <w:spacing w:after="0" w:line="47" w:lineRule="exact"/>
        <w:rPr>
          <w:rFonts w:ascii="Arial" w:cs="Arial" w:eastAsia="Arial" w:hAnsi="Arial"/>
          <w:sz w:val="17"/>
          <w:szCs w:val="17"/>
          <w:color w:val="auto"/>
        </w:rPr>
      </w:pPr>
    </w:p>
    <w:p>
      <w:pPr>
        <w:jc w:val="both"/>
        <w:ind w:left="900" w:right="360" w:hanging="325"/>
        <w:spacing w:after="0" w:line="266"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Expand into other neurodegenerative and neuro-orphan diseases. </w:t>
      </w:r>
      <w:r>
        <w:rPr>
          <w:rFonts w:ascii="Arial" w:cs="Arial" w:eastAsia="Arial" w:hAnsi="Arial"/>
          <w:sz w:val="18"/>
          <w:szCs w:val="18"/>
          <w:color w:val="auto"/>
        </w:rPr>
        <w:t>We intend to leverage our proprietary technology platforms to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candidates that share the same disease targets as misfolded Abeta, tau and alpha-synuclein proteins, which are the key features in the pathology of many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240"/>
        <w:spacing w:after="0" w:line="286" w:lineRule="auto"/>
        <w:rPr>
          <w:sz w:val="20"/>
          <w:szCs w:val="20"/>
          <w:color w:val="auto"/>
        </w:rPr>
      </w:pPr>
      <w:r>
        <w:rPr>
          <w:rFonts w:ascii="Arial" w:cs="Arial" w:eastAsia="Arial" w:hAnsi="Arial"/>
          <w:sz w:val="17"/>
          <w:szCs w:val="17"/>
          <w:color w:val="auto"/>
        </w:rPr>
        <w:t>neurodegenerative diseases. We plan to pursue selected neuro-orphan indications, such as PSP and Huntington’s disease, as well as tau-related orphan diseases, such as frontotemporal dementia and corticobasal degeneration. Pursuing neuro-orphan indications may enable us to obtain a streamlined regulatory approval pathway and favorable reimbursement treatment of any approved product.</w:t>
      </w:r>
    </w:p>
    <w:p>
      <w:pPr>
        <w:spacing w:after="0" w:line="67" w:lineRule="exact"/>
        <w:rPr>
          <w:sz w:val="20"/>
          <w:szCs w:val="20"/>
          <w:color w:val="auto"/>
        </w:rPr>
      </w:pPr>
    </w:p>
    <w:p>
      <w:pPr>
        <w:ind w:left="900" w:right="80" w:hanging="325"/>
        <w:spacing w:after="0" w:line="25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Accelerate the advancement of our diagnostic portfolio. </w:t>
      </w:r>
      <w:r>
        <w:rPr>
          <w:rFonts w:ascii="Arial" w:cs="Arial" w:eastAsia="Arial" w:hAnsi="Arial"/>
          <w:sz w:val="18"/>
          <w:szCs w:val="18"/>
          <w:color w:val="auto"/>
        </w:rPr>
        <w:t>We are also developing a complementary diagnostic portfolio. We currently have</w:t>
      </w:r>
      <w:r>
        <w:rPr>
          <w:rFonts w:ascii="Arial" w:cs="Arial" w:eastAsia="Arial" w:hAnsi="Arial"/>
          <w:sz w:val="18"/>
          <w:szCs w:val="18"/>
          <w:b w:val="1"/>
          <w:bCs w:val="1"/>
          <w:color w:val="auto"/>
        </w:rPr>
        <w:t xml:space="preserve"> </w:t>
      </w:r>
      <w:r>
        <w:rPr>
          <w:rFonts w:ascii="Arial" w:cs="Arial" w:eastAsia="Arial" w:hAnsi="Arial"/>
          <w:sz w:val="18"/>
          <w:szCs w:val="18"/>
          <w:color w:val="auto"/>
        </w:rPr>
        <w:t>three diagnostics candidates in our pipeline that we developed using our Morphomer and SupraAntigen platforms. Our tau PET imaging agent is currently undergoing First-in-Man studies and we intend to work with our partner, Piramal Imaging, to advance this product candidate through the clinical development process. We are also developing PET imaging diagnostics for diseases resulting from the misfolding of alpha-synuclein proteins.</w:t>
      </w:r>
    </w:p>
    <w:p>
      <w:pPr>
        <w:spacing w:after="0" w:line="89"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Leverage the duality of our therapeutic and diagnostic approaches to become the leader in personalized treatment of neurodegenerative diseases. </w:t>
      </w:r>
      <w:r>
        <w:rPr>
          <w:rFonts w:ascii="Arial" w:cs="Arial" w:eastAsia="Arial" w:hAnsi="Arial"/>
          <w:sz w:val="16"/>
          <w:szCs w:val="16"/>
          <w:color w:val="auto"/>
        </w:rPr>
        <w:t>Personalized medicine involves the development of diagnostics, therapies and treatment procedures best suited for an individual patient,</w:t>
      </w:r>
      <w:r>
        <w:rPr>
          <w:rFonts w:ascii="Arial" w:cs="Arial" w:eastAsia="Arial" w:hAnsi="Arial"/>
          <w:sz w:val="16"/>
          <w:szCs w:val="16"/>
          <w:b w:val="1"/>
          <w:bCs w:val="1"/>
          <w:color w:val="auto"/>
        </w:rPr>
        <w:t xml:space="preserve"> </w:t>
      </w:r>
      <w:r>
        <w:rPr>
          <w:rFonts w:ascii="Arial" w:cs="Arial" w:eastAsia="Arial" w:hAnsi="Arial"/>
          <w:sz w:val="16"/>
          <w:szCs w:val="16"/>
          <w:color w:val="auto"/>
        </w:rPr>
        <w:t>taking into consideration the stage of the disease, as well as genetic and environmental factors. The biggest limitation in neurodegenerative disease management is the lack of appropriate biomarkers and reliable diagnostics for early disease detection and the absence of approved disease-modifying therapies. We believe that the future treatment paradigm for neurodegenerative diseases will likely involve early disease diagnosis and combination therapy, leveraging both symptomatic and disease-modifying treatments, with different disease-modifying treatments used at various points in the progression of the disease. We believe that our multi-pronged approach to neurodegenerative disease diagnosis and treatment may result in the generation of individualized treatment options for patients and improve clinical outcomes.</w:t>
      </w:r>
    </w:p>
    <w:p>
      <w:pPr>
        <w:spacing w:after="0" w:line="65" w:lineRule="exact"/>
        <w:rPr>
          <w:rFonts w:ascii="Arial" w:cs="Arial" w:eastAsia="Arial" w:hAnsi="Arial"/>
          <w:sz w:val="16"/>
          <w:szCs w:val="16"/>
          <w:color w:val="auto"/>
        </w:rPr>
      </w:pPr>
    </w:p>
    <w:p>
      <w:pPr>
        <w:ind w:left="900" w:right="20" w:hanging="325"/>
        <w:spacing w:after="0" w:line="291"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Strategically collaborate or selectively partner for the development and commercialization of product candidates. </w:t>
      </w:r>
      <w:r>
        <w:rPr>
          <w:rFonts w:ascii="Arial" w:cs="Arial" w:eastAsia="Arial" w:hAnsi="Arial"/>
          <w:sz w:val="16"/>
          <w:szCs w:val="16"/>
          <w:color w:val="auto"/>
        </w:rPr>
        <w:t>Historically,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relied on collaboration agreements with leading pharmaceutical companies to leverage their scientific, development, manufacturing and commercialization expertise and other resources in order to accelerate the development of our product candidates. To date, we have entered into collaboration agreements with leading global pharmaceutical companies, including two collaborations with Genentech and one with Janssen, a Johnson &amp; Johnson company. We believe that these partnerships validate our core strategy of discovering safe and efficacious therapies using our proprietary platforms and advancing them through the various stages of regulatory approval. In the future, for any approved products targeting large markets, we may selectively partner with leading companies that we believe can contribute manufacturing and marketing expertise, geographic reach and other resources and know-how that can enhance the value of these approved products.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Treating Diseases Related to Protein Misfolding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Protein folding and unfolding are important ways of regulating the protein’s biological activity and cellular location. Misfolding of proteins occurs due to a breakdown of cellular quality control systems, and is a common feature of many neurodegenerative diseases. Research has shown that misfolded proteins are not only unable to carry out their normal functions, but also aggregate to form deposits in the brain that eventually lead to neuronal damage and cell death. The progression of neurodegenerative diseases, such as AD and PD, is linked to the misfolded conformations of proteins, such as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146050</wp:posOffset>
            </wp:positionV>
            <wp:extent cx="4364990" cy="18954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64990"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diagram above shows how, in today’s understanding, misfolded proteins play a key role in the pathology of neurodegenerative diseases. Typically, protein misfolding occurs during cellular stress, which can be triggered by many different causes, including oxidation and a lack of growth factors. A cascade of molecular events begins with the misfolding of single proteins within a cell that then continue to aggregate to ultimately form plaques and tangles. These misfolded proteins are then exported and spread to healthy cells nearby, causing normal proteins to misfold in a process known as seeding. This process eventually leads to cell death in various areas of the brain and is linked to a decline in cognitive function.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in targeting misfolded proteins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central challenge in targeting misfolded proteins for therapeutic effect is a product’s ability to differentiate, or conformationally select, between a misfolded protein and a normally-folded protein. This ability to conformationally select for the misfolded protein prevents the therapeutic candidate from interfering with the function of the normally-folded protein, thereby reducing the risk of side effects.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our approach</w:t>
      </w:r>
    </w:p>
    <w:p>
      <w:pPr>
        <w:spacing w:after="0" w:line="117"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The key aspect of both our SupraAntigen and Morphomer technology platforms is conformational specificity, which we believe is central to the development of effective therapeutics for neurodegenerative diseases. Our SupraAntigen platform targets misfolded proteins through antigens displayed on the surface of liposomes which mimic the targeted pathological form of the protein. In a complementary approach, our Morphomer platform uses small molecular weight compounds to target the aggregation and seeding process, which prevents the misfolded proteins from aggregating inside the cell and the formation of new misfolded proteins in healthy neighboring cells through a seeding mechanism. Small molecules derived from our Morphomer platform, which we refer to as Morphomers, also promote disaggregation of already formed pathological protein aggregates.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diagram above shows how we believe our therapies aim to intervene in the key pathology steps involved in neurodegenerative diseases: (1) prevent misfolding; (2) promote disaggregation; (3) inhibit spreading; and (4) prevent seeding in healthy cells.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Treatment Paradigm for Neurodegenerative Disease</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Current diagnostic and treatment paradigms for neurodegenerative diseases are suboptimal. Diagnosis typically takes the form of observation of cognitive, functional and behavioral impairment and other symptoms of the diseases, which are generally only apparent after irreversible neuronal damage has already occurred. These symptoms are treated with medicines capable of providing cognitive benefit and functional improvement but fail to affect the progression of the disease. For AD, there are currently four approved therapies, all of which only provide modest efficacy in treating the symptoms of AD, while having significant side effect risks, and fail to address the progression of the disease. Despite these shortcomings, marketed therapies, such as Eisai and Pfizer’s Aricept, have achieved peak annual global sales of approximately $4 billion prior to loss of exclusivity. Similarly, in the treatment of PD, the current standard of care is intended only to alleviate physical symptoms. In both AD and PD, there are no approved disease-modifying treatments that slow or stop the course of disease progression.</w:t>
      </w:r>
    </w:p>
    <w:p>
      <w:pPr>
        <w:spacing w:after="0" w:line="179"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Modifying the progression of the disease requires targeting the underlying biological processes that drive disease progression. Unfortunately, these processes evolve over the course of many years prior to manifestation of symptoms and a high percentage of neurons may be lost prior to clinical manifestation. Many of the failed clinical studies for disease-modifying treatments targeted patients with moderate stages of the disease, when irreversible neuronal damage and death had already occurred. This had led to the conclusion that early intervention is necessary to slow the disease progression and that disease-modifying therapies should be studied in patients with milder stages of the disease. As a result of this, in recent years, there has been a movement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towards early intervention in clinical development. Early intervention, however, requires accurate disease detection prior to physical manifestation of symptoms, using new and sophisticated technologies that are superior to the subjective rating scales currently used to assess patients. Thus, new diagnostic technologies are critical to the clinical development process of disease-modifying therapies and ultimately better disease management of patients with neurodegenerative diseases.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Opportunity for AC Immune in Neurodegenerative Diseases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intend to change the way that neurodegenerative diseases are treated by combining reliable diagnostic tools that facilitate intervening at earlier stages of the disease with therapies that treat the underlying disease process, as shown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believe that our lead product candidate, crenezumab, is ideally positioned to be at the forefront of disease-modifying and preventative medicine due to its demonstrated efficacy in milder AD subjects and favorable safety profile. Unlike the current standard of care, crenezumab seeks to modify the course of AD by intervening at an earlier stage of the disease progression prior to irreversible neuronal damage. Beyond AD, we believe that we can leverage our proprietary platforms to generate additional molecules that treat the causes of other neurodegenerative and neuro-orphan diseases, such as PSP, ALS and Huntington’s disease. We believe that the future treatment paradigm for neurodegenerative diseases will involve different disease-modifying treatments used at various points in the progression of the disease. One such combination may be passive immunization targeting Abeta, such as crenezumab together with anti-tau antibodies or immunotherapies and small molecules targeting Abeta or tau.</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We believe that we are a leader in discovering new PET imaging agents to improve the timing and accuracy of diagnoses in neurodegenerative diseases. We have three diagnostic candidates in our pipeline that were developed through our Morphomer and SupraAntigen platforms and that target Abeta, tau and alpha-synuclein. We believe our tau-PET imaging program has received external validation through our partnership with Piramal Imaging, a leader in imaging agents. We are also developing an Abeta and tau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agent for AD and an alpha-synuclein PET imaging agent for PD. We believe that our diagnostic product candidate pipeline will complement our disease-modifying treatment product candidate pipeline, with the ultimate goal of reshaping the clinical course and treatment of neurodegenerative diseases.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Technology Platforms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research and development program is based on our two unique proprietary technology platforms: our SupraAntigen platform, which is our biological and immunological platform, and our Morphomer platform, which is our small molecule, chemical platform. These platforms are designed to generate antibodies and small molecules, respectively, which selectively bind to misfolded proteins which are common in a broad range of neurodegenerative diseases.</w:t>
      </w:r>
    </w:p>
    <w:p>
      <w:pPr>
        <w:spacing w:after="0" w:line="18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SupraAntigen platform generates humanized monoclonal antibodies and vaccines for use as passive and active immunotherapies that are highly specific for pathological, or misfolded, forms of Abeta and tau typically found in AD and certain other neurodegenerative diseases. In addition to the high target specificity, the generated antibodies clear the misfolded proteins from the brain without generating inflammation. This characteristic was clinically confirmed in the Phase 2 clinical studies of crenezumab, where a favorable safety profile was demonstrated. Similarly, ACI-35 and ACI-24 have been well tolerated in their respective Phase 1b and 1/2a clinical studies. Our diagnostic portfolio is also an important part of our strategy, as PET and molecular diagnostics should enable earlier diagnosis of neurodegeneration than current approaches that are based on clinical symptoms, a result that we believe will result in better clinical outcomes.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Research has shown that misfolded proteins are not only unable to carry out their normal functions but that they also aggregate to form deposits commonly known as plaques and tangles that damage neuronal tissue and lead to cell death. Our SupraAntigen and Morphomer platforms seek to produce conformationally specific molecules, which are molecules that are able to differentiate between misfolded proteins and normally-folded proteins, and target misfolded proteins with minimal side effects on normally-folded proteins. We believe that our platforms can also generate compounds in indications related to protein misfolding outside of neurodegenerative disease, such as in glaucoma where aggregated Abeta peptides and tau proteins have been shown to cause damage to the optic nerve.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platforms address two key issues in the development of drugs against diseases of protein misfolding:</w:t>
      </w:r>
    </w:p>
    <w:p>
      <w:pPr>
        <w:spacing w:after="0" w:line="131" w:lineRule="exact"/>
        <w:rPr>
          <w:sz w:val="20"/>
          <w:szCs w:val="20"/>
          <w:color w:val="auto"/>
        </w:rPr>
      </w:pPr>
    </w:p>
    <w:p>
      <w:pPr>
        <w:ind w:left="900" w:right="18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body does not make antibodies against misfolded proteins because, although pathogenic, they are still recognized as “self-proteins” and do not trigger an immune response.</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difference between a normal protein and a pathological protein is only related to a conformational change in protein structure making drug specificity difficult to achieve.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134620</wp:posOffset>
            </wp:positionV>
            <wp:extent cx="3696335" cy="18694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69633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diagram above shows the process by which conformationally-specific molecules break down the aggregation of misfolded proteins. We expect that antibodies and Morphomers should prevent or disrupt the formation of insoluble plaques and stabilize soluble non-pathological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-34290</wp:posOffset>
            </wp:positionV>
            <wp:extent cx="2598420" cy="13804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98420"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SupraAntigen platform was created by our scientific founders Dr. Claude Nicolau in collaboration with Dr. Fred Van Leuven. This technology generates conformation-sensitive antibodies and is used by us to create product candidates for both passive and active immunization. Passive immunization involves the application of therapeutic antibodies, whereas active immunization stimulates the human body to make its own antibodies against pathological proteins, as shown in the diagram above.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Active Immunization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product approach is based on the ability of antigens attached to liposomes to elicit the immune system to produce antibodies against self-proteins. The liposome is constructed of cholesterol, phospholipids and monophospholipid-A as an adjuvant. The liposome can accommodate antigens, or peptides, of different lengths that are chemically modified with palmitic acids to “anchor” them in the liposomal membrane. The interaction between the charged liposome surface and the peptides force the peptide into the pathological conformation that mimics the targeted misfolded proteins. The diagram below shows the vaccine construct which is used as a basis for ACI-24 and ACI-35 vaccine candidates. ACI-24 and ACI-35 are vaccine candidates developed using our SupraAntigen platform for active immunization.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71755</wp:posOffset>
            </wp:positionV>
            <wp:extent cx="3009900" cy="22980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0990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Passive Immunization</w:t>
      </w:r>
    </w:p>
    <w:p>
      <w:pPr>
        <w:spacing w:after="0" w:line="11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SupraAntigen platform can also be used to develop passive immunization product candidates. The antibodies are created by injecting the SupraAntigen constructs in mice and by selecting the antibodies for their ability to break up aggregated fibers. The antibodies eliminate protein aggregates such as plaques and tangles by changing the equilibrium from the insoluble pathological to the soluble fibers which are depleted by the antibodies. Both crenezumab and the anti-tau antibodies were derived from this platform.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Morphomer Platform</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Our Morphomer platform represents a highly promising technology to identify and develop therapeutic small molecules for the treatment of diseases resulting from misfolded proteins. This proprietary platform enables us to generate small molecules that bind to their target and break up neurotoxic protein aggregates. As of June 30, 2016, the Morphomer library consisted of more than 2,900 compounds. Our key platform assets have been validated for selective binding to Abeta, tau and alpha-synuclein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efficacy studies and have a validated mechanism of action through reproducible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for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146050</wp:posOffset>
            </wp:positionV>
            <wp:extent cx="4168140" cy="29159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168140"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figure above shows a Morphomer blocking amyloid growth. Only one end of aggregated amyloid fibers grows, and these molecules are designed to inhibit that growing end as shown in the above diagram.</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Most molecules involved in neurodegenerative diseases follow the same overall disease development and aggregation process, including Abeta in AD, alpha-synuclein in PD and huntingtin in Huntington’s disease.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advantages of our Morphomer platform include:</w:t>
      </w:r>
    </w:p>
    <w:p>
      <w:pPr>
        <w:spacing w:after="0" w:line="131"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High specificity for the targeted misfolded protein;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One Morphomer can inhibit multiple protein units in oligomers and fibers;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Early inhibition of aggregation and seeding.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Our Morphomer platform was developed through a collaboration of our scientific founders Dr. Jean-Marie Lehn, a recipient of the Nobel Prize in chemistry, and Dr. Claude Nicolau, a former Harvard Medical School professor, and our board member Dr. Detlev Riesner.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Crenezumab is a humanized, conformation-specific monoclonal antibody that targets the misfolded version of Abeta and has a broad binding profile. Crenezumab was developed using our proprietary SupraAntigen platform. In 2006, we licensed crenezumab to Genentech and a company with a long history of developing and commercializing innovative biologics.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Abeta is produced by the breakdown of a larger protein called amyloid precursor protein, or APP. The Abeta fragment containing 42 amino acids, or Abeta</w:t>
      </w:r>
      <w:r>
        <w:rPr>
          <w:rFonts w:ascii="Arial" w:cs="Arial" w:eastAsia="Arial" w:hAnsi="Arial"/>
          <w:sz w:val="14"/>
          <w:szCs w:val="14"/>
          <w:color w:val="auto"/>
        </w:rPr>
        <w:t>1–42</w:t>
      </w:r>
      <w:r>
        <w:rPr>
          <w:rFonts w:ascii="Arial" w:cs="Arial" w:eastAsia="Arial" w:hAnsi="Arial"/>
          <w:sz w:val="17"/>
          <w:szCs w:val="17"/>
          <w:color w:val="auto"/>
        </w:rPr>
        <w:t>, is believed to be associated with the highest toxicity of the Abeta fragments. Misfolded Abeta subunits combine to form oligomers and fibrils that are found in amyloid plaques. Data resulting from preclinical and clinical studies show that crenezumab binds with high affinity to amino acids 12–24 of Abeta</w:t>
      </w:r>
      <w:r>
        <w:rPr>
          <w:rFonts w:ascii="Arial" w:cs="Arial" w:eastAsia="Arial" w:hAnsi="Arial"/>
          <w:sz w:val="14"/>
          <w:szCs w:val="14"/>
          <w:color w:val="auto"/>
        </w:rPr>
        <w:t>1–42</w:t>
      </w:r>
      <w:r>
        <w:rPr>
          <w:rFonts w:ascii="Arial" w:cs="Arial" w:eastAsia="Arial" w:hAnsi="Arial"/>
          <w:sz w:val="17"/>
          <w:szCs w:val="17"/>
          <w:color w:val="auto"/>
        </w:rPr>
        <w:t>, as well as multiple forms of Abeta, including monomers, oligomers, and fibrils, which reduces Abeta</w:t>
      </w:r>
      <w:r>
        <w:rPr>
          <w:rFonts w:ascii="Arial" w:cs="Arial" w:eastAsia="Arial" w:hAnsi="Arial"/>
          <w:sz w:val="14"/>
          <w:szCs w:val="14"/>
          <w:color w:val="auto"/>
        </w:rPr>
        <w:t>1–42</w:t>
      </w:r>
      <w:r>
        <w:rPr>
          <w:rFonts w:ascii="Arial" w:cs="Arial" w:eastAsia="Arial" w:hAnsi="Arial"/>
          <w:sz w:val="17"/>
          <w:szCs w:val="17"/>
          <w:color w:val="auto"/>
        </w:rPr>
        <w:t xml:space="preserve"> induced cytotoxicity. Furthermore, these data indicate that crenezumab enhances the uptake of neurotoxic Abeta oligomers by microglial cells, the resident immune cells of the brain, which normally respond to neuronal damage and remove the damaged cells for subsequent disposal and clearance from the brain.</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challenge with agents acting to remove Abeta is the potential to induce inflammation leading to vasogenic edema, which is accumulation of fluid in the brain that can lead to headaches, loss of coordination and disorientation. The fluid can be seen clearly on MRI scans and is referred to as Amyloid Related Imaging Abnormality-Edema, or ARIA-E. Crenezumab is engineered on an IgG4 backbone, which was selected because IgG4 antibodies are associated with a greatly reduced risk of causing inflammation. As a result, crenezumab’s IgG4 structure activates microglial cells to clear Abeta without producing inflammation and associated vasogenic edema, as demonstrated in the Phase 2 clinical studies. In contrast, ARIA-E and other inflammation-related side effects have been observed in other antibodies with an IgG1 backbone.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b w:val="1"/>
          <w:bCs w:val="1"/>
          <w:color w:val="auto"/>
        </w:rPr>
        <w:t>Abeta1-42 oligomers</w:t>
      </w:r>
      <w:r>
        <w:rPr>
          <w:sz w:val="20"/>
          <w:szCs w:val="20"/>
          <w:color w:val="auto"/>
        </w:rPr>
        <w:tab/>
      </w:r>
      <w:r>
        <w:rPr>
          <w:rFonts w:ascii="Arial" w:cs="Arial" w:eastAsia="Arial" w:hAnsi="Arial"/>
          <w:sz w:val="16"/>
          <w:szCs w:val="16"/>
          <w:b w:val="1"/>
          <w:bCs w:val="1"/>
          <w:color w:val="auto"/>
        </w:rPr>
        <w:t>Reduces Abeta 1-42 oligomer 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028690" cy="20237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28690"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Abeta 1-42 oligomers + MABT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29840" cy="18954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29840" cy="1895475"/>
                    </a:xfrm>
                    <a:prstGeom prst="rect">
                      <a:avLst/>
                    </a:prstGeom>
                    <a:noFill/>
                  </pic:spPr>
                </pic:pic>
              </a:graphicData>
            </a:graphic>
          </wp:anchor>
        </w:drawing>
      </w:r>
    </w:p>
    <w:p>
      <w:pPr>
        <w:spacing w:after="0" w:line="9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Reduces microglia inflammatory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85725</wp:posOffset>
            </wp:positionV>
            <wp:extent cx="2186940" cy="19894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8694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7340"/>
        <w:spacing w:after="0" w:line="277" w:lineRule="auto"/>
        <w:rPr>
          <w:sz w:val="20"/>
          <w:szCs w:val="20"/>
          <w:color w:val="auto"/>
        </w:rPr>
      </w:pPr>
      <w:r>
        <w:rPr>
          <w:rFonts w:ascii="Arial" w:cs="Arial" w:eastAsia="Arial" w:hAnsi="Arial"/>
          <w:sz w:val="18"/>
          <w:szCs w:val="18"/>
          <w:color w:val="auto"/>
        </w:rPr>
        <w:t>MABT is equivalent to crenezumab, mMABT is the parental murine version of crenezumab</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figure above shows that crenezumab promotes Abeta oligomer engulfment by microglia without inflammatory activation.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crenezumab may have the following important competitive advantages relative to other drugs targeting Abeta in development</w:t>
      </w:r>
      <w:r>
        <w:rPr>
          <w:rFonts w:ascii="Arial" w:cs="Arial" w:eastAsia="Arial" w:hAnsi="Arial"/>
          <w:sz w:val="17"/>
          <w:szCs w:val="17"/>
          <w:i w:val="1"/>
          <w:iCs w:val="1"/>
          <w:color w:val="auto"/>
        </w:rPr>
        <w:t>:</w:t>
      </w:r>
    </w:p>
    <w:p>
      <w:pPr>
        <w:spacing w:after="0" w:line="142"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hanging="446"/>
        <w:spacing w:after="0" w:line="264" w:lineRule="auto"/>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Crenezumab recognizes and binds to multiple forms of Abeta, including monomeric, oligomeric and fibrillar Abeta that are found in amyloid plaques. In contrast, certain other antibodies in development such as solanezumab and aducanumab have only been shown in studies to recognize a subset of Abeta forms.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Due to its high affinity to the multiple forms of Abeta, crenezumab also protects against oligomer-induced neurotoxicity.</w:t>
      </w:r>
    </w:p>
    <w:p>
      <w:pPr>
        <w:spacing w:after="0" w:line="130" w:lineRule="exact"/>
        <w:rPr>
          <w:rFonts w:ascii="Arial" w:cs="Arial" w:eastAsia="Arial" w:hAnsi="Arial"/>
          <w:sz w:val="18"/>
          <w:szCs w:val="18"/>
          <w:color w:val="auto"/>
        </w:rPr>
      </w:pPr>
    </w:p>
    <w:p>
      <w:pPr>
        <w:ind w:left="1480" w:right="200" w:hanging="446"/>
        <w:spacing w:after="0" w:line="277" w:lineRule="auto"/>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Linked to its unique epitope, crenezumab has been shown to promote disaggregation of existing Abeta aggregates and disrupt their assembly to prevent amyloid plaque formation.</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240" w:top="459" w:right="5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hanging="446"/>
        <w:spacing w:after="0" w:line="277" w:lineRule="auto"/>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Crenezumab has been designed with an IgG4 backbone to reduce effector function on microglia and to clear Abeta from the brain while limiting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134620</wp:posOffset>
            </wp:positionV>
            <wp:extent cx="4081780" cy="2058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081780"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(MMSE 22-26):</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 (MMSE 22-26).</w:t>
      </w:r>
    </w:p>
    <w:p>
      <w:pPr>
        <w:spacing w:after="0" w:line="75"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ABBY cognition study there was a statistically significant 35% reduction in the rate of cognitive decline in the non-pre-specified milder AD patient population (MMSE 22-26) for the high-dose arm.</w:t>
      </w:r>
    </w:p>
    <w:p>
      <w:pPr>
        <w:spacing w:after="0" w:line="75" w:lineRule="exact"/>
        <w:rPr>
          <w:rFonts w:ascii="Arial" w:cs="Arial" w:eastAsia="Arial" w:hAnsi="Arial"/>
          <w:sz w:val="18"/>
          <w:szCs w:val="18"/>
          <w:color w:val="auto"/>
        </w:rPr>
      </w:pPr>
    </w:p>
    <w:p>
      <w:pPr>
        <w:ind w:left="1480" w:hanging="446"/>
        <w:spacing w:after="0" w:line="259"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BLAZE biomarker study, the high-dose arm showed a consistent trend of reduced Abeta accumulation in the brain over time, as shown in two independent exploratory analyses of florbetapir-PET data. In addition, it has been shown that crenezumab has the ability to enhance the removal of these proteins from the brain as evidenced by a significant increase in CSF Abeta, confirming target engagement by crenezumab.</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180" w:hanging="446"/>
        <w:spacing w:after="0" w:line="257"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Phase 2 data from ABBY and BLAZE studies suggested that there were no imbalances in overall rate of Adverse Events, or AEs, and overall rate of AEs was not dose-related, with only one case of asymptomatic ARIA-E (0.4% in ABBY, 0.3% on active pooled) in crenezumab patients. AEs also included inflammation of the throat and nasal passages, urinary tract infections and upper respiratory infections. However, no patients in the studies experienced serious adverse events that we believe were related to the administration of crenezumab.</w:t>
      </w:r>
    </w:p>
    <w:p>
      <w:pPr>
        <w:spacing w:after="0" w:line="93" w:lineRule="exact"/>
        <w:rPr>
          <w:rFonts w:ascii="Arial" w:cs="Arial" w:eastAsia="Arial" w:hAnsi="Arial"/>
          <w:sz w:val="18"/>
          <w:szCs w:val="18"/>
          <w:color w:val="auto"/>
        </w:rPr>
      </w:pPr>
    </w:p>
    <w:p>
      <w:pPr>
        <w:ind w:left="1480" w:right="80" w:hanging="446"/>
        <w:spacing w:after="0" w:line="302" w:lineRule="auto"/>
        <w:tabs>
          <w:tab w:leader="none" w:pos="14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Crenezumab is a member of the IgG4 isotype subclass of antibodies. This isotype was selected because IgG4 antibodies are associated with a greatly reduced ability to cause inflammation. By contrast, all other antibody products currently in development that target Abeta are of the IgG1 isotype subclass, which is associated with a higher incidence of inflammation-related ARIA-E. Dose limiting toxicities are a major risk for failure of competing antibody products. Potential safety at high doses is a key product feature of crenezumab.</w:t>
      </w:r>
    </w:p>
    <w:p>
      <w:pPr>
        <w:spacing w:after="0" w:line="59" w:lineRule="exact"/>
        <w:rPr>
          <w:rFonts w:ascii="Arial" w:cs="Arial" w:eastAsia="Arial" w:hAnsi="Arial"/>
          <w:sz w:val="16"/>
          <w:szCs w:val="16"/>
          <w:color w:val="auto"/>
        </w:rPr>
      </w:pPr>
    </w:p>
    <w:p>
      <w:pPr>
        <w:ind w:left="1480" w:right="180" w:hanging="446"/>
        <w:spacing w:after="0" w:line="277"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Due to its favorable safety profile, there is an ongoing Phase 1 study in which crenezumab is currently being studied at higher doses to potentially increase its efficacy signal.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40"/>
          </w:cols>
          <w:pgMar w:left="240" w:top="459" w:right="3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relative incidence of ARIA-E of crenezumab and other competitive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5205730" cy="25298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05730"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10 mg/kg dose cohort</w:t>
      </w:r>
    </w:p>
    <w:p>
      <w:pPr>
        <w:ind w:left="180" w:hanging="172"/>
        <w:spacing w:after="0" w:line="221" w:lineRule="auto"/>
        <w:tabs>
          <w:tab w:leader="none" w:pos="1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6 mg/kg dose cohort</w:t>
      </w:r>
    </w:p>
    <w:p>
      <w:pPr>
        <w:ind w:right="9760" w:firstLine="8"/>
        <w:spacing w:after="0" w:line="271" w:lineRule="auto"/>
        <w:tabs>
          <w:tab w:leader="none" w:pos="108" w:val="left"/>
        </w:tabs>
        <w:numPr>
          <w:ilvl w:val="0"/>
          <w:numId w:val="67"/>
        </w:numPr>
        <w:rPr>
          <w:rFonts w:ascii="Arial" w:cs="Arial" w:eastAsia="Arial" w:hAnsi="Arial"/>
          <w:sz w:val="13"/>
          <w:szCs w:val="13"/>
          <w:color w:val="auto"/>
        </w:rPr>
      </w:pPr>
      <w:r>
        <w:rPr>
          <w:rFonts w:ascii="Arial" w:cs="Arial" w:eastAsia="Arial" w:hAnsi="Arial"/>
          <w:sz w:val="13"/>
          <w:szCs w:val="13"/>
          <w:color w:val="auto"/>
        </w:rPr>
        <w:t>Reduced effector function **Full effector function</w:t>
      </w:r>
    </w:p>
    <w:p>
      <w:pPr>
        <w:spacing w:after="0" w:line="27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Phase 2 Studies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2 Study Design Overview</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Crenezumab has been studied in two Phase 2 clinical studies, the ABBY proof-of-concept study and the BLAZE biomarker study. These two studies enrolled a total of 522 patients. The purpose of these studies was to investigate whether crenezumab could delay cognitive and functional decline and reduce the accumulation of brain amyloid in patients with mild to moderate AD. The sample size of the studies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Both studies had two active arms: a low dose arm receiving 300mg subcutaneous injection, which is an injection administered beneath the skin, every two weeks and a higher dose arm receiving 15mg/kg intravenously every four weeks. The primary analysis was conducted at 73 weeks, after 68 weeks of treatment. Safety and tolerability measures included repeated MRI scans to assess for the development of Amyloid Related Imaging Abnormalities, both vasogenic edema and hemorrhages.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Design</w:t>
      </w:r>
    </w:p>
    <w:p>
      <w:pPr>
        <w:spacing w:after="0" w:line="11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ABBY study was a randomized, double-blind, parallel group, placebo-controlled study to evaluate the safety and efficacy of crenezumab in patients with mild to moderate AD, with an MMSE score at screening of 18-26 points. 444 patients were enrolled into the study including 13 patients who were included in a safety run-in cohort to support the use of the 15 mg/kg intravenous dose, which had not been tested in Phase 1. Since these patients received active medication after the second infusion and were then no longer blinded, they were included in the safety, but not the primary efficacy, analysis. The remaining 431 patients were randomized separately to receive crenezumab, either subcutaneously at a dose of 300 mg every two weeks (low dose) or intravenously at a dose of 15 mg/kg once every 4 weeks (high-dose), with a 2:1 active:placebo ratio in each dose group. In the subcutaneous injection dose arm, 122 patients received crenezumab and 62 patients received placebo. In the intravenous dose arm, 163 patients received crenezumab and 84 patients received placebo.</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Co-primary endpoints were cognition assessed using the Alzheimer Disease Assessment Scale-Cognitive Subscale, or ADAS-cog 12 scale, and global function assessed by the Clinical Dementia Rating-Sum of Boxes (CDR-Sum of boxes). Secondary endpoints such as the MMSE score and Digit Symbol Substitution Test, or DSST, were also included in the study. ADAS-cog is a widely used scale in clinical studies that measures a patient’s performance on tests of memory and other areas of cognition, especially orientation, praxis and language. Scores range from 0 (best) to 70 (worst). The ADAS-cog 12 score includes an additional item of delayed recall, leading to a highest possible score of 80 points. On average, the score of patients with mild to moderate AD increases by 5 to 8 points per year.</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CDR-Sum of boxes is an assessment of “global” (overall) function of the patient in daily life. The patient’s performance in the six domains of memory, orientation, judgment and problem solving, community affairs, home and hobbies and personal care are assessed through interviews with the patient and caregiver. Each domain is scored from 0 (best) to 3 (worst) based on the level of impairment. The scores for the six domains are then summed up and the resulting score or “sum of boxes” ranges from 0 to 18, with a higher score indicating greater impairment.</w:t>
      </w:r>
    </w:p>
    <w:p>
      <w:pPr>
        <w:spacing w:after="0" w:line="131"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DSST is a classic paper and pencil test used to assess a patient’s processing speed in the so-called digit symbol substitution test during which the patient is asked to insert a symbol in place of a digit according to a scheme as quickly as possible over a set period of time. The DSST measures the number of correct symbols the patient inserts within the allowed time, i.e. 90 or 120 seconds. A higher score demonstrates better performance.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ABBY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96840" cy="33788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96840"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Results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ABBY study, a positive trend in cognition was observed with a greater effect on cognition in patients with a milder stage of AD (MMSE 22-26), although the study did not meet its co-primary endpoints in mild-to-moderate AD (MMSE 18-26) patients. There was no significant change in cognition in patients who received low-dose subcutaneous crenezumab. Results of an exploratory analysis of the high-dose intravenous arm demonstrated that patients with the mildest cognitive impairment at screening (MMSE 22-26) showed a statistically significant 35% slowing of the rate of cognitive decline over 73 weeks. The effect became greater over time, as shown by the increasing separation of the crenezumab (solid line) and placebo (dashed line) curves in the diagram below. The milder group was not pre-specified, meaning the group of milder AD patients was not identified before commencing the Phase 2 clinical studies.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ABBY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53943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13985" cy="539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20"/>
          </w:cols>
          <w:pgMar w:left="240" w:top="459"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An exploratory subanalysis in a non-pre-specified subgroup of patients with milder symptoms (MMSE 22-26) showed a 35.4% reduction in cognitive decline.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In the pre-specified subgroup analysis in patients with mild AD (MMSE 20-26), treatment with high-dose intravenous crenezumab led to a 23.8% reduction in cognitive decline. In patients with mild-to-moderate AD (MMSE 18-26) treated with high-dose intravenous crenezumab, there was a 16.8% reduction in cognitive decline. Effect sizes and p-values for exploratory analyses were not adjusted for multiplicity.</w:t>
      </w: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ABBY High Dose Arm: Change in DSST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51454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1398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20"/>
          </w:cols>
          <w:pgMar w:left="24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The ABBY high-dose arm result for DSST was significant in the milder patient sub-group (MMSE 22-26). The mild and milder patients that were given crenezumab intravenously showed no further cognitive deterioration between 12 and 18 months.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the ABBY study, patients in the high-dose crenezumab arm showed less decline on the measure of global function, CDR-Sum of boxes, as compared to placebo. In mild-to-moderate AD (MMSE 18-26), a non-significant 3.1% reduction in global functional decline was observed. In the pre-specified subgroup analysis in patients with mild AD (MMSE 20-26), treatment with high-dose intravenous crenezumab did not show reduction in global functional decline (1.0% reduction; p=0.96). An exploratory analysis in two cohorts of patients with milder symptoms showed a 19.6% (MMSE 22-26) and 45% (MMSE 24-26) reduction in global functional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146050</wp:posOffset>
            </wp:positionV>
            <wp:extent cx="5042535" cy="17665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4253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Greater relative reductions were observed in the crenezumab arm compared with placebo in the CDR subdomains Memory, Orientation, Judgment &amp; Problem Solving and Home &amp; Hobbies in progressively milder patients. Treatment effects were less consistent in progressively milder patients for the CDR subdomains Community Affairs and Personal Care.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205740</wp:posOffset>
            </wp:positionV>
            <wp:extent cx="4965700" cy="59175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65700" cy="591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 CDR subdomains=difference in change from baseline to Week 73 in CDR subdomain scores between treatment and control groups. Diamonds represent LS mean change from baseline at Week 73, error bars 95% present CI. Positive values indicate less decline in crenezumab group.</w:t>
      </w:r>
    </w:p>
    <w:p>
      <w:pPr>
        <w:spacing w:after="0" w:line="14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Although the overall results were not statistically significant, it should be noted that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timepoints and dose dependency are considered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indicators of a response in this learning phase of development, with confirmation then sought in Phase 3. Trends favoring crenezumab were not observed in the activities of daily living scale (ADCS-ADL) although the study was significantly underpowered for this type of assessment.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Design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BLAZE study was a randomized, double-blind, parallel-group, placebo-controlled study to evaluate the effects of crenezumab on brain amyloid burden as assessed by amyloid PET imaging and other biomarker endpoints in patients with mild to moderate AD. The primary endpoint was to measure the change in brain amyloid load using florbetapir-PET. The terms brain amyloid burden and brain amyloid load refer to the total amount of amyloid deposited in the brain. Each of these typically increases over time in an AD patient. Other endpoints included changes from baseline in other biomarkers (CSF, volumetric MRI), cognition (ADAS-cog12), global function (CDR-Sum of boxes), and activities of daily living (ADCS-ADL). Enrollment required florbetapir-PET positive scans, or patients who were amyloid positive. Ninety-one patients were included in the study.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172085</wp:posOffset>
            </wp:positionV>
            <wp:extent cx="4673600" cy="28644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67360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459" w:right="2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Results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primary end point of change in brain amyloid load by florbetapir-PET was not met, but the study was not powered to detect statistically significant results. When assessing the amyloid load, the amount of amyloid in a region of the brain is determined by comparing the amount of an amyloid tracer to that found in a region with little or no amyloid, such as the cerebellum or the white matter, usually in the cortex. Recent studies have shown that the variability from scan to scan in the same patient over time is much higher when using the cerebellum than with the white matter, making the white matter a more powerful point of comparison for use in longitudinal studies. The higher variability of the cerebellum may be due to difficulties in exact positioning between scans and higher background levels. Taking this into account, the exploratory analyses of the BLAZE amyloid PET results using white matter reference region were conducted independently by two laboratories, the Banner Alzheimer’s Institute and MNI Laboratories. The analyses produced analogous results where a trend in the reduction of Abeta accumulation was observed in the high-dose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139700</wp:posOffset>
            </wp:positionV>
            <wp:extent cx="5213985" cy="25387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13985"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The BLAZE biomarker study high-dose intravenous cohort showed a consistent trend of reduced Abeta accumulation in the brain over time shown by two independent exploratory analyses of florbetapir-PET data. Using white matter rather than cerebellum as the key reference region in the brain is generally considered a more robust method of showing treatment effects of AD therapies.</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the BLAZE study, patients also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we believe confirms target engagement by crenezumab. Similar results were observed in the ABBY study where CSF was assessed in 49 patients. These results suggest that Abeta is being eliminated from the brain when treated with crenezumab.</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459" w:right="2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High Dose Arm: Crenezumab Increases CSF Total Abeta Relative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172085</wp:posOffset>
            </wp:positionV>
            <wp:extent cx="2538730" cy="22637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3873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BLAZE Study Results: Effects on Cognition and Global Function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similar and consistent pattern of response was observed in the BLAZE study with slowing of loss of cognition compared to placebo observed at the high-dose intravenous crenezumab arm, and having the most effect in patients with more mild MMSE scores. There was no significant cognitive change in patients who received low-dose subcutaneous crenezumab. Importantly, the sample size of the study was not expected to have adequate power to detect a modest but clinically significant difference between active medication and placebo at the 5% significance level (as is commonly the case in Phase 2 studies in AD). BLAZE study results suggest that Abeta is being eliminated from the brain as patients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confirms target engagement by crenezumab.</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24872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3985"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The BLAZE high-dose arm showed increasing separation over time of the curves of decline on ADAS-Cog 12 for placebo (dashed line) and intravenous crenezumab (solid line) in the mild subgroup of patients (MMSE 20-26). In a post-hoc analysis of a group of patients with mild AD (MMSE 20-26) treated with high-dose intravenous crenezumab, there was a 52.0% reduction in cognitive decline (p=0.29). In patients with mild-to-moderate AD (MMSE 18-26) treated with high-dose intravenous crenezumab, there was a 10.3% reduction in cognitive decline (p=0.84). Importantly, the sample size of the study was not expected to have adequate power to detect a modest but clinically significant difference between active medication and placebo at the 5% significance level (as is commonly the case in Phase 2 studies in AD). Effect sizes and p-values were not adjusted for multiplicity.</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the BLAZE study, patients in the high-dose crenezumab arm showed less cognitive decline on the measure of global function, CDR-Sum of boxes, as compared to placebo. In mild-to-moderate AD (MMSE 18-26), a 7.4% reduction in global functional decline (p=0.84) was observed. In a post-hoc analysis in patients with mild AD (MMSE 20-26), treatment with high-dose intravenous crenezumab resulted in a 41.5% reduction in global functional decline (p=0.44). Although the results were not statistically significant, the sample size of the study was not expected to have adequate power to detect a modest but clinically significant difference between active medication and placebo at the 5% significance level (as is commonly the case in Phase 2 studies in AD).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Safety Data from ABBY and BLAZE Studies</w:t>
      </w:r>
    </w:p>
    <w:p>
      <w:pPr>
        <w:spacing w:after="0" w:line="117"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color w:val="auto"/>
        </w:rPr>
        <w:t>Crenezumab demonstrated favorable safety and tolerability in Phase 2 clinical studies even at high doses. Crenezumab’s safety profile is especially reflected in a low incidence of ARIA-E (0.3%) in Phase 2 clinical studies. ARIA-E was observed in only one patient who received high-dose intravenous crenezumab in the ABBY study. No case of ARIA-E was reported in the placebo arm or the BLAZE study. Favorable pharmacokinetic properties coupled with a favorable safety and tolerability profile enables crenezumab to penetrate the brain more readily at therapeutically relevant doses. Since dose limiting toxicities are a potential reason for the failure of other antibodies to demonstrate efficacy, crenuzamab’s potential safety at high doses is a key distinguishing product feature.</w:t>
      </w:r>
    </w:p>
    <w:p>
      <w:pPr>
        <w:spacing w:after="0" w:line="1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There was no imbalance in the overall rate of AEs. AEs were observed in 91.3% of patients treated with crenezumab versus 90.3% of patients who received placebo. AEs were generally mild-to-moderate and transient. AEs did not appear to be related to crenezumab exposure. Five deaths occurred during ABBY and BLAZE, all in patients who received crenezumab during the randomized placebo-controlled period (1.4% of the crenezumab-treated population). The overall rate of deaths is consistent with the background rate of death in the elderly AD population. There was no consistent pattern for the cause of death and none were considered by the investigators to be related to crenezumab. It was reported that 3.2% of crenezumab-treated patients developed pneumonia versus 0.6% in placebo-treated patients in ABBY and BLAZE, but the rate of pneumonia cases in crenezumab-treated patients is consistent with the expected rate in the elderly population (2.5%–4.4%) and no drug-related mechanism for pneumonia was identified.</w:t>
      </w:r>
    </w:p>
    <w:p>
      <w:pPr>
        <w:spacing w:after="0" w:line="16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Phase 1 Study</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To explore safety at higher doses, crenezumab is currently being tested in a Phase 1 clinical study conducted in the United States. This randomized, placebo-controlled, double-blind, four parallel-arm study will evaluate the safety and tolerability of at least two doses of intravenous crenezumab in up to 72 patients with mild to moderate AD (MMSE 18-28) between the ages of 50 to 90. An optional open-label extension stage will be offered to patients after completion of the double-blind stage of the study. This study is expected to be completed in May 2017.</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2 AD Prevention Study</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2012, crenezumab was independently selected from among twenty five product candidates for use in the first-ever AD prevention study. The study, a $100 million collaboration between the NIH, Banner Alzheimer’s Institute and Genentech, is the cornerstone of the global Alzheimer’s Prevention Initiative. Crenezumab is being administered pre-symptomatically to 300 members of an extended Colombian family, of which 200 members carry a mutation that causes early-onset AD. Family members usually develop symptoms before the age of 45. The five-year study has cognitive endpoints. An interim analysis is expected in 2017, but the data and results of that analysis may not be made public given patient sensitivity.</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Phase 3 Study (CREAD Study)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Genentech entered Phase 3 clinical development of crenezumab in the first quarter of 2016. The CREAD Study is ongoing. This randomized, double-blind, placebo-controlled, parallel group Phase 3 study will enroll about 750 participants with prodromal or mild AD at the age of 50-85 years. A high dose of crenezumab (dose not disclosed) is administered intravenously once every 4 weeks for 100 weeks. Primary outcome measure is change from baseline to week 105 in Clinical Dementia Rating - Sum of Boxes (CDR-SB) score. Final data collection date for primary outcome measures is expected by August 2020, with study completion by July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ACI-24 is a vaccine candidate that is in a combined Phase 1/2a clinical study for AD. ACI-24 was developed utilizing our SupraAntigen platform, and is designed to stimulate a patient’s immune system to produce antibodies that specifically target the misfolded Abeta conformer to prevent plaque accumulation and to enhance plaque clearance. Pre-clinical data demonstrated significant activity in plaque reduction and memory restoration. ACI-24 has a favorable safety profile, characterized by a lack of observed local inflammation and a mechanism of action independent of inflammatory T-cells.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1/2a Study</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To be considered a Phase 1/2a study, a study or part of it must include as a primary goal the assessment of efficacy in a patient population, assessed using either clinical endpoints or biomarkers. This is in contrast to a Phase 1 study where the primary goal typically includes safety and pharmacokinetic or pharmacodynamic measures. The ACI-24 study is an adaptive design study where, after completion of a first step assessment of safety and immunogenicity at different doses, the study may be expanded to assess the efficacy at the best dose in a Phase 2a-type design.</w:t>
      </w:r>
    </w:p>
    <w:p>
      <w:pPr>
        <w:spacing w:after="0" w:line="17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Phase 1 part of the combined Phase 1/2a study is currently ongoing. The efficacy, tolerability and immunogenicity of ACI-24 are being tested in mild to moderate AD patients with four different doses. It is a randomized, placebo controlled, double blind study. The different doses are tested via an ascending dose design in four consecutive cohorts with 12 patients each (9 on active, 3 on placebo treatment). ACI-24 is administered by subcutaneous injection with multiple injections per cohort. Each dose cohort is followed by a two-year treatment-free safety follow-up period.</w:t>
      </w:r>
    </w:p>
    <w:p>
      <w:pPr>
        <w:spacing w:after="0" w:line="17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treatment of the first three cohorts has been completed. The treatment of the fourth cohort is ongoing. To date, ACI-24 has shown a favorable safety profile and has been well tolerated. None of the observed serious adverse events were considered related to the administration of ACI-24. The Phase 2a study of the combined Phase 1/2a study will focus on safety, tolerability and efficacy and will be conducted after all data of Phase 1 are available.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Pre-clinical results showed that ACI-24 induced a rapid and significant anti-Abeta antibody response in a T-cell independent manner, which is linked to a more favorable safety profile. The antibody response following treatment with ACI-24 reduced the Abeta brain burden and restored the memory capacity in double-transgenic AD mice. Anti-Abeta antibodies induced by ACI-24 preferentially bind to both pathologically aggregated Abeta species such as oligomers and fibrils. Relative to other anti-Abeta vaccines currently or previously in clinical development ACI-24 has shown differentiation in pre-clinical studies on the basis of mechanism of action, safety and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146050</wp:posOffset>
            </wp:positionV>
            <wp:extent cx="5213985" cy="19723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1398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shown in the diagram above, immunization of an AD mouse model with ACI-24 led to a significant decrease of insoluble, plaque-related (black bars) and soluble (grey bars) oligomeric Abeta</w:t>
      </w:r>
      <w:r>
        <w:rPr>
          <w:rFonts w:ascii="Arial" w:cs="Arial" w:eastAsia="Arial" w:hAnsi="Arial"/>
          <w:sz w:val="15"/>
          <w:szCs w:val="15"/>
          <w:color w:val="auto"/>
        </w:rPr>
        <w:t>1-40</w:t>
      </w:r>
      <w:r>
        <w:rPr>
          <w:rFonts w:ascii="Arial" w:cs="Arial" w:eastAsia="Arial" w:hAnsi="Arial"/>
          <w:sz w:val="18"/>
          <w:szCs w:val="18"/>
          <w:color w:val="auto"/>
        </w:rPr>
        <w:t xml:space="preserve"> and Abeta</w:t>
      </w:r>
      <w:r>
        <w:rPr>
          <w:rFonts w:ascii="Arial" w:cs="Arial" w:eastAsia="Arial" w:hAnsi="Arial"/>
          <w:sz w:val="15"/>
          <w:szCs w:val="15"/>
          <w:color w:val="auto"/>
        </w:rPr>
        <w:t>1-42</w:t>
      </w:r>
      <w:r>
        <w:rPr>
          <w:rFonts w:ascii="Arial" w:cs="Arial" w:eastAsia="Arial" w:hAnsi="Arial"/>
          <w:sz w:val="18"/>
          <w:szCs w:val="18"/>
          <w:color w:val="auto"/>
        </w:rPr>
        <w:t>. This target engagement was accompanied by the significant improvement of cognitive memory capacity in the novel object recognition test, or ORT. In contrast, immunization with ACI-01, the vaccine candidate which did not present the antigen in its pathological conformation, did not result in any restoration of memory.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 in Down Syndrome</w:t>
      </w:r>
    </w:p>
    <w:p>
      <w:pPr>
        <w:spacing w:after="0" w:line="11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Individuals with Down syndrome have an extra copy of chromosome 21 where the gene for APP resides. These individuals have a rate of AD that is three to five times that of the general population and develop the disease at a much younger age. At autopsy, AD has been reported in 80% of people with Down syndrome over age 40 and 100% over age 60.</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ACI-24 is a vaccine candidate against the pathological form of Abeta in plaques of AD patients. It contains a palmitic-acid Abeta peptide corresponding to amino acids 1-15 of the Abeta molecule anchored in liposomes and adopts the conformation of the pathological Abeta conformers found in plaques. ACI-24 has a novel mode of action whereby antibody production is induced through direct B-cell (antibody producing cell) activation that is independent of T-helper cells.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An IND to study the disease-modifying properties of ACI-24 for the prevention of cognitive decline with Down syndrome was filed and cleared by the FDA. ACI-24 commenced the Phase 1 clinical study for Down syndrome at the end of 2015 after the authorization of the amended protocol. The study is supported by a substantial NIH grant and other grants from the LuMind Research Down Syndrome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131445</wp:posOffset>
            </wp:positionV>
            <wp:extent cx="4570730" cy="1912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570730"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diagram above, based on work published by AC Immune in collaboration with Dr. Mobley of University of California, San Diego in March 2016, shows in a Down syndrome mouse model (Ts65Dn) a 20% significant improvement of the memory (left) and a 27% reduction of Abeta in the brain following vaccination with ACI-DS-01, the mouse equivalent of ACI-24 (right).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ACI-35 is a vaccine candidate directed against another key component of the pathology of AD: phosphorylated tau proteins, or p-tau, found in tau tangles. ACI-35 is designed to stimulate a patient’s immune system to produce antibodies against the misfolded and phosphorylated pathogenic conformers of tau protein that aggregate to create the neurofibrillary tangles that characterize AD. ACI-35 is the first vaccine candidate against phosphorylated pathological tau in clinical studies, and is currently in Phase 1b clinical testing in patients with mild to moderate AD. In 2015, we entered into a partnership with Janssen Pharmaceuticals, a subsidiary of Johnson &amp; Johnson, for the clinical development of ACI-35 beyond Phase 1b.</w:t>
      </w:r>
    </w:p>
    <w:p>
      <w:pPr>
        <w:spacing w:after="0" w:line="17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dendrites and axons, or nerve endings, of the neurons contain an elaborate series of thin tubes, or microtubules, which serve to support them and transport nutrients down to the nerve endings. Tau proteins are a key component of these microtubules, and, hence, are known as microtubule associated proteins.</w:t>
      </w:r>
    </w:p>
    <w:p>
      <w:pPr>
        <w:spacing w:after="0" w:line="18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 AD, tau protein is misfolded, becomes hyperphosphorylated and aggregates into neurotoxic oligomers that ultimately form neurofibrillary tangles within neurons. The degree of tau pathology correlates strongly with the degree of cognitive loss in AD. Approaches to reducing the level of abnormal tau proteins and slowing their build-up in the brain are considered important targets for new AD therapies.</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developed ACI-35 using our SupraAntigen technology. In pre-clinical testing, the vaccine candidate induced an antibody response that was highly specific to misfolded and phosphorylated tau. This antibody response resulted in a reduction of phosphorylated misfolded tau and an improvement in cognitive clinical parameters.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1b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1b Study Design</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Safety, tolerability and immunogenicity of ACI-35 are being tested in an ongoing Phase 1b study in mild to moderate AD patients. It is a randomized, placebo controlled double blind study, where ACI-35 is administered via subcutaneous injection. Different doses and dosing schedules are being investigated in an ascending dose design. Multiple injections of ACI-35 are administered per cohort for active or placebo treatment in a three-to-one ratio. To date, ACI-35 has been generally safe and well tolerated.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research and pre-clinical studies, ACI-35 demonstrated:</w:t>
      </w:r>
    </w:p>
    <w:p>
      <w:pPr>
        <w:spacing w:after="0" w:line="131"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high and specific anti-p-tau IgG antibody response in wild-type mice, tau transgenic mice and primates (cynomolgus and rhesus monkeys);</w:t>
      </w:r>
    </w:p>
    <w:p>
      <w:pPr>
        <w:spacing w:after="0" w:line="153"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induction of highly specific antibodies that are able to recognize p-tau over non-phosphorylated tau peptide and yield a 30-100 fold higher titer for p-tau over non-phosphorylated tau;</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favorable safety profile by showing that multiple doses in mice and monkeys induced strong antibody responses that were well tolerated and not associated with organ toxicity. The main adverse events were local reactions observed at the injection site and were consistent with a normal granulomatous inflammatory reaction after subcutaneous injection of a foreign body;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observable toxicity at the highest dose used in cynomolgus monkeys or mice;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cross-reactivity to any human tissue with the antibodies induced in monkeys by ACI-35 immunization.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ACI-35 generated antibodies that are phosphor-specific for the full-length p-tau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168910</wp:posOffset>
            </wp:positionV>
            <wp:extent cx="4690745" cy="14751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69074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left graph shows that the ACI-35 vaccination raised highly-specific antibodies against phosphorylated tau protein in both transgenic and wild type mice. On the other hand, the right graph shows that a classical vaccine, composed of a p-tau peptide adsorbed to aluminum phosphate, raised antibody responses that do not discriminate between phosphorylated tau and non-phosphorylated tau protein in both wild type and tau transgenic mice.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Antibody</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anti-tau monoclonal antibody program generated humanized monoclonal antibodies for use as passive immunotherapies that are highly specific for pathological forms of tau found in AD brains and other tauopathies. Results from studies conducted in pre-clinical development demonstrate a significant reduction in pathological tau with reduced effector function, meaning decreased ability to affect the function of tau, as well as improvement of long-term spatial memory. A lead development candidate has been selected, and Genentech, our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collaboration partner for the anti-tau antibody program, announced the commencement of a Phase 1 clinical study in July 2016. The Phase 1 clinical study will test the safety, tolerability and pharmacokinetics of various dosing regimens of the anti-tau antibody in patients with mild to moderate AD as well as in healthy volunteers.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and Discovery Stage Therapeutic Programs</w:t>
      </w:r>
    </w:p>
    <w:p>
      <w:pPr>
        <w:spacing w:after="0" w:line="12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Using our SupraAntigen and Morphomer platforms, we have generated additional discovery and pre-clinical stage molecules targeting neurodegenerative diseases, and diagnostics targeting both Abeta and tau. We currently have four therapeutic product candidates and two diagnostic product candidates in various stages of pre-clinical development. A number of our therapeutic product candidates in pre-clinical development are focused on indications outside of AD and evidence our expansion strategy. Based on the data we have received to date, we believe that our technology platforms can be applied to misfolded proteins across a broad range of indications. The table below lists our three pre-clinical product candidates, the platform from which each candidate stems and the lead indication being pursued: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Product Candidate</w:t>
            </w:r>
          </w:p>
        </w:tc>
        <w:tc>
          <w:tcPr>
            <w:tcW w:w="900" w:type="dxa"/>
            <w:vAlign w:val="bottom"/>
          </w:tcPr>
          <w:p>
            <w:pPr>
              <w:spacing w:after="0"/>
              <w:rPr>
                <w:sz w:val="16"/>
                <w:szCs w:val="16"/>
                <w:color w:val="auto"/>
              </w:rPr>
            </w:pPr>
          </w:p>
        </w:tc>
        <w:tc>
          <w:tcPr>
            <w:tcW w:w="1840" w:type="dxa"/>
            <w:vAlign w:val="bottom"/>
          </w:tcPr>
          <w:p>
            <w:pPr>
              <w:ind w:left="720"/>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Lead Indication</w:t>
            </w:r>
          </w:p>
        </w:tc>
        <w:tc>
          <w:tcPr>
            <w:tcW w:w="1940" w:type="dxa"/>
            <w:vAlign w:val="bottom"/>
            <w:gridSpan w:val="2"/>
          </w:tcPr>
          <w:p>
            <w:pPr>
              <w:ind w:left="680"/>
              <w:spacing w:after="0"/>
              <w:rPr>
                <w:sz w:val="20"/>
                <w:szCs w:val="20"/>
                <w:color w:val="auto"/>
              </w:rPr>
            </w:pPr>
            <w:r>
              <w:rPr>
                <w:rFonts w:ascii="Arial" w:cs="Arial" w:eastAsia="Arial" w:hAnsi="Arial"/>
                <w:sz w:val="14"/>
                <w:szCs w:val="14"/>
                <w:b w:val="1"/>
                <w:bCs w:val="1"/>
                <w:color w:val="auto"/>
              </w:rPr>
              <w:t>Partner</w:t>
            </w:r>
          </w:p>
        </w:tc>
        <w:tc>
          <w:tcPr>
            <w:tcW w:w="1820" w:type="dxa"/>
            <w:vAlign w:val="bottom"/>
          </w:tcPr>
          <w:p>
            <w:pPr>
              <w:ind w:left="640"/>
              <w:spacing w:after="0"/>
              <w:rPr>
                <w:sz w:val="20"/>
                <w:szCs w:val="20"/>
                <w:color w:val="auto"/>
              </w:rPr>
            </w:pPr>
            <w:r>
              <w:rPr>
                <w:rFonts w:ascii="Arial" w:cs="Arial" w:eastAsia="Arial" w:hAnsi="Arial"/>
                <w:sz w:val="14"/>
                <w:szCs w:val="14"/>
                <w:b w:val="1"/>
                <w:bCs w:val="1"/>
                <w:color w:val="auto"/>
              </w:rPr>
              <w:t>Platform</w:t>
            </w:r>
          </w:p>
        </w:tc>
      </w:tr>
      <w:tr>
        <w:trPr>
          <w:trHeight w:val="191"/>
        </w:trPr>
        <w:tc>
          <w:tcPr>
            <w:tcW w:w="11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w w:val="88"/>
              </w:rPr>
              <w:t>Morphomer tau</w:t>
            </w: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tau</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AD</w:t>
            </w:r>
          </w:p>
        </w:tc>
        <w:tc>
          <w:tcPr>
            <w:tcW w:w="100" w:type="dxa"/>
            <w:vAlign w:val="bottom"/>
          </w:tcPr>
          <w:p>
            <w:pPr>
              <w:spacing w:after="0"/>
              <w:rPr>
                <w:sz w:val="16"/>
                <w:szCs w:val="16"/>
                <w:color w:val="auto"/>
              </w:rPr>
            </w:pPr>
          </w:p>
        </w:tc>
        <w:tc>
          <w:tcPr>
            <w:tcW w:w="18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Morphomer</w:t>
            </w: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abeta</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Abeta</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Glaucoma</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r>
        <w:trPr>
          <w:trHeight w:val="234"/>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alpha-synuclein</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alpha-synuclein</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PD</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bl>
    <w:p>
      <w:pPr>
        <w:spacing w:after="0" w:line="215"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Anti-tau Morphomers: </w:t>
      </w:r>
      <w:r>
        <w:rPr>
          <w:rFonts w:ascii="Arial" w:cs="Arial" w:eastAsia="Arial" w:hAnsi="Arial"/>
          <w:sz w:val="16"/>
          <w:szCs w:val="16"/>
          <w:color w:val="auto"/>
        </w:rPr>
        <w:t>Anti-tau Morphomers are small molecule compounds designed to inhibit tau aggregation with the aim of interacting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beta sheet conformation present in misfolded aggregated tau protein. Our anti-tau Morphomers show a significant inhibition of full length tau aggregation, size-reduction and solubilization of full length tau aggregates and intracellular target engagement by reduction of cellular, aggregated and phosphorylated tau. Importantly, research data show that our compounds reduce cytotoxicity induced by tau. These data were further confirmed by the reduction of misfolded tau in the brain and memory improvement in a tau disease mouse model. This molecule is expected to enter Phase 1 clinical studies in 2017 or 2018.</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Morphomer abeta: </w:t>
      </w:r>
      <w:r>
        <w:rPr>
          <w:rFonts w:ascii="Arial" w:cs="Arial" w:eastAsia="Arial" w:hAnsi="Arial"/>
          <w:sz w:val="18"/>
          <w:szCs w:val="18"/>
          <w:color w:val="auto"/>
        </w:rPr>
        <w:t>Our Morphomer abeta product candidate is a small molecule that inhibits and disrupts Abeta propagation and aggregation,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being evaluated for the treatment of glaucoma, where its anti-Abeta properties represent a novel mechanism of action for that disease. In pre-clinical testing, Morphomer abeta demonstrated a strong ability to protect the eyes of rats exposed to increased ocular pressure and chronic ocular hypertension which are clinical features of glaucoma.</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Morphomer alpha-synuclein: </w:t>
      </w:r>
      <w:r>
        <w:rPr>
          <w:rFonts w:ascii="Arial" w:cs="Arial" w:eastAsia="Arial" w:hAnsi="Arial"/>
          <w:sz w:val="18"/>
          <w:szCs w:val="18"/>
          <w:color w:val="auto"/>
        </w:rPr>
        <w:t>Our Morphomer alpha-synuclein product candidate is a small molecule that reduces the cytotoxicity of alpha-synuclein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aggregates by a decrease in their beta sheet content. In pre-clinical studies, Morphomer alpha-synuclein significantly reduced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 formation of alpha-synuclein pathological structures accompanied by improvement of a neuronal marker relevant to PD. Ongoing activities are focused on increasing potency and pharmacokinetic properties and preparing compounds for pre-clinical development activities. In a mouse model of tauopathies, our lead compounds show improvement of learning and memory deficit and reduce brain atrophy.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Scientists increasingly believe that early detection of neurodegenerative diseases is critical to enhancing the effectiveness of both symptomatic and disease-modifying therapies. As a result, therapeutic development for AD increasingly focuses on treating early stage disease to delay or prevent progression and to preserve the maximum amount of cognitive function before it is irreversibly lost. Most clinical studies now target mild stages of the disease increasing the need for accurate diagnosis that is independent of potentially subjective cognitive metrics. At least one study estimates that as many as one-third of patients in previous AD studies did not in fact have AD. Accurate and early diagnosis of AD is thus a substantial unmet market need, and diagnostic products will have a</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key role in generating a new treatment paradigm, including by selecting more uniform and stage-specific clinical study subjects, tracking patient progress and results, managing patients receiving treatment, and ultimately diagnosing disease at its earliest stage for immediate treatment.</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developing two diagnostic product candidates using our Morphomer technology platform. These product candidates are PET ligands, that are tracers that can be used to target tau and alpha-synuclein aggregates. In May 2014, we established a licensing collaboration for our tau-PET imaging program with Piramal Imaging. Our tau-PET imaging agent is currently in a First-in-Man clinical study. Piramal Imaging is expecting to advance this program into Phase 1 clinical development in 2016.</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PET tracers are designed to bind specifically to tau tangles and have demonstrated their ability to cross the blood-brain barrier. The severity of cognitive impairment in AD patients is correlated with the presence of tau protein tangles, leading us to believe that an imaging agent for tau is equally important. Our tau-PET tracers are more selective for tau than Abeta when compared to current published tau-PET agents in development and can be readily radiolabelled. While PET imaging has improved the diagnosis of AD by targeting Abeta, tau imaging will further enhance the diagnosis of early AD. To date, there are no approved tau tracers.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146050</wp:posOffset>
            </wp:positionV>
            <wp:extent cx="5188585" cy="21437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8858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diagrams above show that our lead tau-PET imaging compound has high selectivity and can identify tau aggregates as early as stage one of the six stages of the Braak scale, which is the pre-symptomatic stage (as indicated with arrows in the far left diagram), and have a favorable uptake in the brain (right diagram).</w:t>
      </w:r>
    </w:p>
    <w:p>
      <w:pPr>
        <w:spacing w:after="0" w:line="18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AD diagnostics are a major market opportunity that will be driven by the growth in the aging population and the testing and availability of disease-modifying drugs. We believe a best-in-class tau tracer has the potential to achieve a substantial market share in this large and growing market.</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Alongside our AD diagnostics activities, we have a program targeting PET imaging agents for alpha-synuclein, an important protein involved in PD, and which progressively accumulates in structures in the PD brain. Scientists believe that the misfolding of alpha-synuclein is central to the neurodegenerative process of PD, as well as a number of other disorders, collectively called synucleinopathies, such as Lewy Body Dementia and Multiple System Atrophy, making it a priority target for drug development. We have identified molecules from our Morphomer library that stain selectively alpha-synuclein pathological structures in human PD brain sections. Ongoing work to optimize the potency, selectivity and pharmacokinetics of these tracers is being funded by the Michael J. Fox Foundation for Parkinson’s Research and Biogen under the non-exclusive research and development agreement signed in April 2016.</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Currently there are no imaging products in the market that target alpha-synuclein. This provides us with a unique opportunity to become the market leader in alpha-synuclein PET imaging. We believe the ability to image alpha-synuclein deposits in the brain will enable:</w:t>
      </w:r>
    </w:p>
    <w:p>
      <w:pPr>
        <w:spacing w:after="0" w:line="52" w:lineRule="exact"/>
        <w:rPr>
          <w:sz w:val="20"/>
          <w:szCs w:val="20"/>
          <w:color w:val="auto"/>
        </w:rPr>
      </w:pPr>
    </w:p>
    <w:p>
      <w:pPr>
        <w:ind w:left="900" w:right="38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diagnosis of PD at much earlier premotor stages than is now possible, thereby enabling early therapeutic intervention and corresponding better patient outcomes;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use of alpha-synuclein as a surrogate marker in clinical studies of novel therapeutic regimens designed to slow or halt progression of PD;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diagnosis of sub-populations of PD and other synucleinopathies.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These applications of alpha-synuclein PET imaging agents have the potential to fundamentally change the approach of treating PD and other similar diseases.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PD market size is estimated to grow from $3.6 billion in 2012 to approximately $5.3 billion in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Collaborations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SupraAntigen and Morphomer platforms have generated large numbers of clinical assets that address diseases related to protein misfolding, such as AD, PD and Down syndrome. Select key assets in the product pipeline have been licensed for upfront payments, milestones and royalties to help offset the cost of our research and internal product development. Discussions with other companies are ongoing. We have signed a number of licensing agreements with leading pharmaceutical companies to assist and accelerate the development of our product pipeline, including:</w:t>
      </w:r>
    </w:p>
    <w:p>
      <w:pPr>
        <w:spacing w:after="0" w:line="77" w:lineRule="exact"/>
        <w:rPr>
          <w:sz w:val="20"/>
          <w:szCs w:val="20"/>
          <w:color w:val="auto"/>
        </w:rPr>
      </w:pPr>
    </w:p>
    <w:p>
      <w:pPr>
        <w:ind w:left="900" w:right="20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November 2006 (and amended in May 2015) for crenezumab for AD, under which we may become eligible to receive payments totaling up to approximately $340 million, excluding royalties.</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June 2012 for anti-tau antibodies for AD, under which we may become eligible to receive payments totaling up to $418 million, excluding royalties.</w:t>
      </w:r>
    </w:p>
    <w:p>
      <w:pPr>
        <w:spacing w:after="0" w:line="75" w:lineRule="exact"/>
        <w:rPr>
          <w:rFonts w:ascii="Arial" w:cs="Arial" w:eastAsia="Arial" w:hAnsi="Arial"/>
          <w:sz w:val="18"/>
          <w:szCs w:val="18"/>
          <w:color w:val="auto"/>
        </w:rPr>
      </w:pPr>
    </w:p>
    <w:p>
      <w:pPr>
        <w:ind w:left="900" w:right="740" w:hanging="325"/>
        <w:spacing w:after="0" w:line="308"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worldwide licensing agreement with Janssen signed in December 2014 for therapeutic anti-tau vaccines for AD, and potentially other tauopathies, under which we may become eligible to receive payments totaling up to CHF 500 million, excluding royalties.</w:t>
      </w:r>
    </w:p>
    <w:p>
      <w:pPr>
        <w:spacing w:after="0" w:line="51"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worldwide licensing agreement with Piramal Imaging signed in May 2014 for small molecule tau ligands for use as PET tracers under which we may become eligible to receive payments totaling up to €157 million, excluding royalties.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Genentech</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have two partnership agreements with Genentech, a company with a reputation for scientific excellence and a history of bringing innovative protein therapeutics to market.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Crenezumab Collaboration Agreement of 2006</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signed our first agreement with Genentech in November 2006 and amended the agreement in May 2015. This is an exclusive, worldwide licensing agreement for crenezumab, our humanized monoclonal antibody targeting misfolded Abeta. The agreement provides for a second therapeutic product based on the same intellectual property and anti-Abeta antibody compound, as well as an anti-Abeta diagnostic product. Genentech commenced Phase 3 clinical studies for crenezumab in the first quarter of 2016.</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342" w:lineRule="auto"/>
        <w:rPr>
          <w:sz w:val="20"/>
          <w:szCs w:val="20"/>
          <w:color w:val="auto"/>
        </w:rPr>
      </w:pPr>
      <w:r>
        <w:rPr>
          <w:rFonts w:ascii="Arial" w:cs="Arial" w:eastAsia="Arial" w:hAnsi="Arial"/>
          <w:sz w:val="16"/>
          <w:szCs w:val="16"/>
          <w:color w:val="auto"/>
        </w:rPr>
        <w:t>Under the agreement with Genentech, we may become eligible to receive payments totaling up to approximately $340 million, excluding royalties. The agreement includes upfront and milestone payments. In addition, we will receive royalties on sales. The structure of the collaboration agreement is as follows:</w:t>
      </w:r>
    </w:p>
    <w:p>
      <w:pPr>
        <w:spacing w:after="0" w:line="29"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are payable upon commencement of each of Phase 1 and 2 of clinical developments, and upon the earlier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Genentech’s decision to authorize Phase 3 or the commencement of Phase 3 of clinical developments. In addition, for a second indication, clinical milestone payments would be payable upon commencement of Phase 2 of clinical developments and upon the earlier of Genentech’s decision to authorize Phase 3 or the commencement of Phase 3 of clinical developments.</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and Europe, respectively, and milestone payments upon obtaining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approval in each of the U.S. and Europe. In addition, for a second indication, additional regulatory and approval milestones would be payable.</w:t>
      </w:r>
    </w:p>
    <w:p>
      <w:pPr>
        <w:spacing w:after="0" w:line="86"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different royalty rates applicable in the U.S. and Europe. Royalty levels are tied to annual sales volumes. We will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on sales of crenezumab with the percentage rates ranging from net high single digits to the mid-teens.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To date, we have received total payments of $65 million which comprise upfront and clinical milestone payments. We received a $25 million upfront payment at the time of signing of the collaboration agreement and have since then obtained three milestone payments totaling $40 million including the Phase 3 milestone payment we received in July 2015.</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the terms of the agreement, Genentech bears all the costs of developing crenezumab through the clinical phases. In addition, Genentech is responsible for the costs associated with seeking and obtaining regulatory and marketing approvals, manufacturing costs, sales and marketing costs. Intellectual property costs related to any crenezumab-related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Collaboration Agreement of 2012</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In June 2012, we entered into a second partnership with Genentech to commercialize our anti-tau antibodies for use as immunotherapeutics. The value of this exclusive, worldwide alliance is potentially greater than $418 million and includes upfront and milestone payments. In addition to milestones, we will be eligible to receive royalties on sales at percentage rates ranging from the mid-single digits to high single digits. The agreement also provides for collaboration on two additional indications built on the same anti-tau antibody program, as well as a potential anti-tau diagnostic product.</w:t>
      </w:r>
    </w:p>
    <w:p>
      <w:pPr>
        <w:spacing w:after="0" w:line="15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To date, we have received payments totaling CHF 45 million including a CHF 14 million milestone payment associated with the recent announcement of the commencement of the Phase 1 clinical study of the lead anti-tau antibody candidate and a CHF 14 million milestone payment received in 2015 in connection with the ED-GO decision.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Preclinical and clinical milestone payments </w:t>
      </w:r>
      <w:r>
        <w:rPr>
          <w:rFonts w:ascii="Arial" w:cs="Arial" w:eastAsia="Arial" w:hAnsi="Arial"/>
          <w:sz w:val="18"/>
          <w:szCs w:val="18"/>
          <w:color w:val="auto"/>
        </w:rPr>
        <w:t>upon selection of a lead candidate, commencement of each of Phase 1, 2 and 3 of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In addition, for a second indication, clinical milestone payments would be payable upon commencement of each of Phase 2 and 3 of clinical development.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milestones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w:t>
      </w:r>
    </w:p>
    <w:p>
      <w:pPr>
        <w:spacing w:after="0" w:line="75" w:lineRule="exact"/>
        <w:rPr>
          <w:rFonts w:ascii="Arial" w:cs="Arial" w:eastAsia="Arial" w:hAnsi="Arial"/>
          <w:sz w:val="18"/>
          <w:szCs w:val="18"/>
          <w:color w:val="auto"/>
        </w:rPr>
      </w:pPr>
    </w:p>
    <w:p>
      <w:pPr>
        <w:ind w:left="900" w:right="500" w:hanging="325"/>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milestones exist for each of the U.S., Europe and Japan which are triggered by the first commercial sale for the second indication in each of those jurisdictions.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source of the intellectual property underlying the commercial product.</w:t>
      </w:r>
    </w:p>
    <w:p>
      <w:pPr>
        <w:spacing w:after="0" w:line="19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Under the terms of the agreement, Genentech bears all the costs of developing the anti-tau antibody compound through the clinical phases. In addition, Genentech is responsible for the costs associated with seeking and obtaining regulatory and marketing approvals, manufacturing costs, sales and marketing costs. Intellectual property costs related to any anti-tau antibody-related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Janssen Pharmaceuticals</w:t>
      </w:r>
    </w:p>
    <w:p>
      <w:pPr>
        <w:spacing w:after="0" w:line="117"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In December of 2014, we entered into a partnership with Janssen Pharmaceuticals to develop and commercialize therapeutic anti-tau vaccines for the treatment of AD and potentially other tauopathies. The partnership includes a worldwide exclusive license and research collaboration. We and Janssen will co-develop the lead therapeutic vaccine candidate, ACI-35, through Phase 1b completion. From Phase 2 and onward, Janssen will assume responsibility for the clinical development, manufacturing and commercialization of ACI-35. ACI-35 is an active therapeutic vaccine candidate stimulating the patient’s immune system to produce a polyclonal antibody response against phosphorylated tau protein. The agreement also allows for the collaboration to be expanded to include a second indication based on the same anti-tau vaccine program and intellectual property related to this program.</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received an upfront payment of about CHF 25.9 million, a research contribution of CHF 1.5 million and a CHF 4.9 million clinical milestone payment and we are eligible to receive development, regulatory and commercialization milestone payments potentially totaling up to CHF 500 million for AD and a potential second indication outside of AD. Additionally, we will receive royalties on sales at a percentage rate ranging from the low double digits to mid-teens. We have entered into a three-year joint research collaboration to further characterize and develop novel vaccine therapies for the treatment of tauopathies.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jc w:val="both"/>
        <w:ind w:left="900" w:right="54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completion of Phase 1b, commencement of each of Phase 2 and 3 of clinical development. For a second</w:t>
      </w:r>
      <w:r>
        <w:rPr>
          <w:rFonts w:ascii="Arial" w:cs="Arial" w:eastAsia="Arial" w:hAnsi="Arial"/>
          <w:sz w:val="18"/>
          <w:szCs w:val="18"/>
          <w:i w:val="1"/>
          <w:iCs w:val="1"/>
          <w:color w:val="auto"/>
        </w:rPr>
        <w:t xml:space="preserve"> </w:t>
      </w:r>
      <w:r>
        <w:rPr>
          <w:rFonts w:ascii="Arial" w:cs="Arial" w:eastAsia="Arial" w:hAnsi="Arial"/>
          <w:sz w:val="18"/>
          <w:szCs w:val="18"/>
          <w:color w:val="auto"/>
        </w:rPr>
        <w:t>cohort, a milestone payment is payable to us upon commencement of Phase 2 clinical studies. In addition, for a second indication, clinical milestone payments would be payable upon commencement of Phase 3 clinical studies.</w:t>
      </w:r>
    </w:p>
    <w:p>
      <w:pPr>
        <w:spacing w:after="0" w:line="86" w:lineRule="exact"/>
        <w:rPr>
          <w:rFonts w:ascii="Arial" w:cs="Arial" w:eastAsia="Arial" w:hAnsi="Arial"/>
          <w:sz w:val="18"/>
          <w:szCs w:val="18"/>
          <w:color w:val="auto"/>
        </w:rPr>
      </w:pPr>
    </w:p>
    <w:p>
      <w:pPr>
        <w:jc w:val="both"/>
        <w:ind w:left="900" w:right="14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 Also, for a second indication, additional regulatory milestone payments are payable by Janssen to us upon receipt of each of the regulatory approvals in the U.S., Europe and Japan.</w:t>
      </w:r>
    </w:p>
    <w:p>
      <w:pPr>
        <w:spacing w:after="0" w:line="86"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and upon achieving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milestones.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level of annual sales.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agreement will terminate by its terms on the date on which all royalty obligations have been paid thereunder. However, under the terms of the agreement, Janssen may terminate the agreement at any time after completion of the Phase 1b clinical study by providing 90 days’ notice to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Piramal Imaging</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to pathogenic tau for use as a PET tracer.</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exclusive, worldwide licensing agreement with Piramal Imaging includes upfront and milestone payments totaling up to €157 million, plus royalties on sales at percentage rates ranging from mid-single digits to low teens.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the commencement of Phase 1, 2 and 3 for the lead indication. We would be entitled to further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milestone payments for the commencement of Phase 2 and 3 for a second indication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Regulatory approval and marketing approval milestones </w:t>
      </w:r>
      <w:r>
        <w:rPr>
          <w:rFonts w:ascii="Arial" w:cs="Arial" w:eastAsia="Arial" w:hAnsi="Arial"/>
          <w:sz w:val="18"/>
          <w:szCs w:val="18"/>
          <w:color w:val="auto"/>
        </w:rPr>
        <w:t>upon filing and approval in each of the U.S. and Europe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Sales milestones </w:t>
      </w:r>
      <w:r>
        <w:rPr>
          <w:rFonts w:ascii="Arial" w:cs="Arial" w:eastAsia="Arial" w:hAnsi="Arial"/>
          <w:sz w:val="18"/>
          <w:szCs w:val="18"/>
          <w:color w:val="auto"/>
        </w:rPr>
        <w:t>tied to specific total sales amounts</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agreement will terminate by its terms on the date of expiration of the last-to-expire royalty term, where each royalty term under the agreement expires on a product-by-product basis and country-by-country basis on the later of (i) ten years after the first commercial sale of the relevant product in such country or (ii) the date on which the patent covering the sale of such product in such country is no longer valid or enforceable. However, Piramal Imaging may terminate the agreement at any time after the first eighteen months from the effective date of this agreement by providing three months’ notice to 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Alpha-synuclein and TDP-43 PET Imaging Tracers – Collaboration with Biogen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April 2016, we entered into a non-exclusive research and development agreement with Biogen International GmbH, or Biogen. Under the agreement, we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In addition, we have agreed to share the costs of the collaboration with Biogen, with Biogen primarily funding the majority of research costs, subject to a cap, which includes an upfront technology access fee and funding towards research and development personnel. We will own all intellectual property rights to any invention relating to alpha-synuclein or TDP-43 PET tracers.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Unless earlier terminated, the agreement will expire upon the later of three years or the completion of the collaboration, but in no event later than four years, unless we and Biogen mutually agree to extend the term of the agreement. Biogen may terminate the agreement for any reason upon thirty days’ written notice to us. Following the expiration of the agreement, we may be required to negotiate and enter into a supply agreement with Biogen pursuant to which we would supply Biogen with PET tracers created under the collaboration for Biogen’s continued development activities. Under certain circumstances, including prior to the expiration of the collaboration agreement, we may also be required to grant Biogen a license or other rights to develop and commercialize such PET tracers outside of the collaboration.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459"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Health/Banner Alzheimer’s Institute</w:t>
      </w:r>
    </w:p>
    <w:p>
      <w:pPr>
        <w:spacing w:after="0" w:line="11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2013, the NIH and Banner Alzheimer’s Institute selected crenezumab for the first ever AD prevention study before onset of symptoms in highest-risk individuals. This landmark study is being performed on a family clan in Colombia with Paisa mutation leading to Abeta accumulation and early onset AD. The $100 million multi-year study is being funded with grants from the NIH, Banner Alzheimer’s Institute and our partner, Genentech. Interim results from this study are expected to be available in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J. Fox Foundation for Parkinson’s Research</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2015, we were awarded an important grant from the Michael J. Fox Foundation for Parkinson’s Research. The grant is funding the development of a diagnostic imaging agent capable of detecting PD at an early stage. The project focuses on alpha-synuclein PET tracers. We have identified molecules from our Morphomer library that stain selectively alpha-synuclein pathological structures in human PD brain sections. We are optimizing the potency, selectivity and pharmacokinetics of these tracers and expect to select a lead candidate in the first quarter of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Nestlé Institute of Health Sciences SA</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September 2015, we entered into a research collaboration agreement with the Nestlé Institute of Health Sciences SA, or NIHS, a fundamental research institute of the global nutrition, health and wellness company Nestlé, to develop a novel, minimally invasive tau diagnostic assay for the early diagnosis of AD. Under the terms of the agreement, we will provide expertise in the biology and pathology of tau as well as commit our laboratory capabilities to support the collaborative research program. NIHS will apply its proprietary multiplexed antibody technology platform to the research program with the goal of identifying and validating a highly sensitive diagnostic assay for the detection of tau in human cerebrospinal fluid and blood plasma.</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biopharmaceuticals industry is highly competitive across all therapeutic fields. In the field of neurodegenerative diseases, there are many public and private companies or institutions that are actively engaged in the discovery and development of therapeutic and diagnostic products. Some of these products may have a similar target to our product candidates or address similar markets. The industry is still in its infancy in terms of defining the pathology of neurodegenerative diseases. As disease understanding progresses, the number of novel product candidates may well increase and broaden the therapeutic and diagnostic options in our product markets.</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Currently, there are no approved disease-modifying products for AD or any other neurodegenerative disease. Current approved therapies seek to treat the symptoms of AD, such as cognitive decline, but do not slow or stop the progression of the disease. In addition, commonly, there is off-label prescription of antidepressant and antipsychotic agents for more advanced AD patients who may suffer from agitation, aggressive behaviors, psychosis and depression. No new drugs have been approved for the treatment of AD since 2003.</w:t>
      </w:r>
    </w:p>
    <w:p>
      <w:pPr>
        <w:spacing w:after="0" w:line="18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expect there to be several classes of disease-modifying agents that will enter the AD market. One such class is monoclonal antibodies that target Abeta plaques, the same target as for our candidate product crenezumab. Another target for monoclonal antibodies is tau protein aggregates. Therapeutic vaccines are a second class of disease-modifying therapies, and include our candidate products ACI-24, that targets Abeta plaque, and ACI-35, that targets aggregated tau protein.</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availability of novel diagnostic agents to visualize the disease development in AD patients is critical for successful clinical development of disease-modifying products in AD. At the forefront of this new diagnostic effort are PET agents for in-life imaging of disease, and in particular, tau-targeting PET agents which we believe will allow precise assessment of disease AD patients.</w:t>
      </w:r>
    </w:p>
    <w:p>
      <w:pPr>
        <w:spacing w:after="0" w:line="87" w:lineRule="exact"/>
        <w:rPr>
          <w:sz w:val="20"/>
          <w:szCs w:val="20"/>
          <w:color w:val="auto"/>
        </w:rPr>
      </w:pPr>
    </w:p>
    <w:p>
      <w:pPr>
        <w:ind w:left="900" w:right="62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Crenezumab: </w:t>
      </w:r>
      <w:r>
        <w:rPr>
          <w:rFonts w:ascii="Arial" w:cs="Arial" w:eastAsia="Arial" w:hAnsi="Arial"/>
          <w:sz w:val="18"/>
          <w:szCs w:val="18"/>
          <w:color w:val="auto"/>
        </w:rPr>
        <w:t>If crenezumab is approved, it would compete with other monoclonal antibody products that target Abeta plaques and act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disease-modifying agents. Currently, no product has been approved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0"/>
        <w:spacing w:after="0" w:line="279" w:lineRule="auto"/>
        <w:rPr>
          <w:sz w:val="20"/>
          <w:szCs w:val="20"/>
          <w:color w:val="auto"/>
        </w:rPr>
      </w:pPr>
      <w:r>
        <w:rPr>
          <w:rFonts w:ascii="Arial" w:cs="Arial" w:eastAsia="Arial" w:hAnsi="Arial"/>
          <w:sz w:val="17"/>
          <w:szCs w:val="17"/>
          <w:color w:val="auto"/>
        </w:rPr>
        <w:t>that is a disease-modifying agent targeting Abeta plaques; however, a number of such product candidates are in clinical development. These include solanezumab, gantenerumab and aducanumab, each of which is in Phase 3 clinical study and which are being advanced by Eli Lilly, Roche and Biogen, respectively. Biogen has a second product candidate known as BAN2401, which is currently in Phase 2 clinical study. Aducanumab recently received Fast Track designation from the FDA as did crenezumab in 2008.</w:t>
      </w:r>
    </w:p>
    <w:p>
      <w:pPr>
        <w:spacing w:after="0" w:line="77" w:lineRule="exact"/>
        <w:rPr>
          <w:sz w:val="20"/>
          <w:szCs w:val="20"/>
          <w:color w:val="auto"/>
        </w:rPr>
      </w:pPr>
    </w:p>
    <w:p>
      <w:pPr>
        <w:ind w:left="900" w:right="80" w:hanging="325"/>
        <w:spacing w:after="0" w:line="276" w:lineRule="auto"/>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ACI-24 in AD: </w:t>
      </w:r>
      <w:r>
        <w:rPr>
          <w:rFonts w:ascii="Arial" w:cs="Arial" w:eastAsia="Arial" w:hAnsi="Arial"/>
          <w:sz w:val="17"/>
          <w:szCs w:val="17"/>
          <w:color w:val="auto"/>
        </w:rPr>
        <w:t>ACI-24, if approved, would compete with other approved anti-Abeta-targeting therapeutic vaccines. Several potential competing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candidates have not continued through the regulatory approval process, including ACC-001 (Janssen / Pfizer) and AN-1792 (Elan / Janssen), both of which were discontinued after completing Phase 2 studies. Other potential competing product candidates for ACI-24 include ABvac 40 (Araclon Bioscience) which has completed a Phase 1 study and Affitope-AD-02 (AFFiRiS AG / GlaxoSmithKline) and CAD-106 (Novartis International AG), each of which has completed a Phase 2 study.</w:t>
      </w:r>
    </w:p>
    <w:p>
      <w:pPr>
        <w:spacing w:after="0" w:line="77" w:lineRule="exact"/>
        <w:rPr>
          <w:rFonts w:ascii="Arial" w:cs="Arial" w:eastAsia="Arial" w:hAnsi="Arial"/>
          <w:sz w:val="17"/>
          <w:szCs w:val="17"/>
          <w:color w:val="auto"/>
        </w:rPr>
      </w:pPr>
    </w:p>
    <w:p>
      <w:pPr>
        <w:ind w:left="900" w:right="260" w:hanging="325"/>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 in Down syndrome: </w:t>
      </w:r>
      <w:r>
        <w:rPr>
          <w:rFonts w:ascii="Arial" w:cs="Arial" w:eastAsia="Arial" w:hAnsi="Arial"/>
          <w:sz w:val="18"/>
          <w:szCs w:val="18"/>
          <w:color w:val="auto"/>
        </w:rPr>
        <w:t>ACI-24 is the first disease-modifying vaccine candidate addressing AD in Down syndrome, with a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preventive and therapeutic application. While there are symptomatic treatments of Down syndrome in clinical development, to our knowledge there are no other disease-modifying treatments for AD in Down syndrome.</w:t>
      </w:r>
    </w:p>
    <w:p>
      <w:pPr>
        <w:spacing w:after="0" w:line="86" w:lineRule="exact"/>
        <w:rPr>
          <w:rFonts w:ascii="Arial" w:cs="Arial" w:eastAsia="Arial" w:hAnsi="Arial"/>
          <w:sz w:val="18"/>
          <w:szCs w:val="18"/>
          <w:color w:val="auto"/>
        </w:rPr>
      </w:pPr>
    </w:p>
    <w:p>
      <w:pPr>
        <w:jc w:val="both"/>
        <w:ind w:left="900" w:right="400" w:hanging="325"/>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ACI-35: </w:t>
      </w:r>
      <w:r>
        <w:rPr>
          <w:rFonts w:ascii="Arial" w:cs="Arial" w:eastAsia="Arial" w:hAnsi="Arial"/>
          <w:sz w:val="18"/>
          <w:szCs w:val="18"/>
          <w:color w:val="auto"/>
        </w:rPr>
        <w:t>ACI-35, if approved, would compete with other approved tau-targeting therapeutic vaccines. This includes AADVAC1, an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vaccine product candidate currently being advanced in the regulatory approval process by Axon Neurosciences. AADVAC1 entered Phase 1 clinical studies in May 2013.</w:t>
      </w:r>
    </w:p>
    <w:p>
      <w:pPr>
        <w:spacing w:after="0" w:line="86"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Antibodies: </w:t>
      </w:r>
      <w:r>
        <w:rPr>
          <w:rFonts w:ascii="Arial" w:cs="Arial" w:eastAsia="Arial" w:hAnsi="Arial"/>
          <w:sz w:val="18"/>
          <w:szCs w:val="18"/>
          <w:color w:val="auto"/>
        </w:rPr>
        <w:t>To our knowledge, there are no competing products currently in clinical development for AD. However, the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monoclonal antibodies BMS-986168 (Bristol-Myers Squibb Company) and ABBV-812E (AbbVie) are currently in Phase 1 clinical development in the orphan indication PSP, a tau protein-based neurodegenerative disease.</w:t>
      </w:r>
    </w:p>
    <w:p>
      <w:pPr>
        <w:spacing w:after="0" w:line="86"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Morphomers: </w:t>
      </w:r>
      <w:r>
        <w:rPr>
          <w:rFonts w:ascii="Arial" w:cs="Arial" w:eastAsia="Arial" w:hAnsi="Arial"/>
          <w:sz w:val="18"/>
          <w:szCs w:val="18"/>
          <w:color w:val="auto"/>
        </w:rPr>
        <w:t>A potential competitor to our anti-tau Morphomers is LMTX. LMTX is a methylene blue derivative that is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by TauRx Therapeutics and is intended to target tau protein aggregation. LMTX entered Phase 3 clinical study in September 2012. No clinical data read-out has been made available.</w:t>
      </w:r>
    </w:p>
    <w:p>
      <w:pPr>
        <w:spacing w:after="0" w:line="86"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Diagnostics: </w:t>
      </w:r>
      <w:r>
        <w:rPr>
          <w:rFonts w:ascii="Arial" w:cs="Arial" w:eastAsia="Arial" w:hAnsi="Arial"/>
          <w:sz w:val="18"/>
          <w:szCs w:val="18"/>
          <w:color w:val="auto"/>
        </w:rPr>
        <w:t>Currently, there are no approved tau PET imaging products. However, should our tau PET imaging agent be approved, it would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compete with other approved tau-PET agents. These include (i) 18F-AV-1451 (previously T807), which is being advanced by Eli Lilly subsidiary, Avid Radiopharmaceuticals, and is currently in Phase 2 clinical studies that began in December 2013, (ii) THK-5117, is being advanced by GE Healthcare under license from the Tohoku University School of Medicine and is currently in Phase 1/2 studies, (iii) PBB3, a product candidate in Phase 1 studies and being advanced by the National Institute of Radiological Services and (iv) Roche is evaluating internal tau PET imaging ligands in Phase 1 clinical studies in AD patients.</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Many of our competitors have significantly greater financial, technical and human resources than we have available. Mergers and acquisitions in the pharmaceutical and biotechnology industries may result in even more resources being concentrated among a smaller number of our competitors. Our commercial opportunity and our success will be based in part on our ability to identify, develop and manage a portfolio of product candidates that are safer and more effective than competing products. However, this opportunity could be eroded or even eliminated if our competitors develop and/or market products that are novel and have superior safety and efficacy profiles, that may be brought to the market more rapidly due to greater available resources, or that are less costly than our current or future product candidates.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Strategy</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strategy to date has been to focus on identifying partnerships for our early stage product candidates as both a way to secure non-dilutive capital to fund our other research and development programs but also as a way to accelerate the development of these partnered products by leveraging our partners’ extensive knowledge in clinical studies, drug development, manufacturing and commercialization.</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With greater financial resources at our disposal but also given the significant knowledge acquired by our scientists and scientific leadership, we intend to retain selected promising product candidates in-house for a longer period of time and fund their development from our own resources. This will allow us to generate greater value from these product candidates, allowing us to demand more significant terms from a prospective partner. For example, our current plan is to retain full control of our two Abeta vaccine programs focused on AD and Down syndrome, meaning that we would fund the planned Phase 2 and Phase 2/3 studies, respectively, from our financial resources. In the field of diagnostics, the parallel development of therapeutic compounds and companion diagnostics is of growing importance to the pharmaceutical industry. The development timeframe of a PET diagnostic agent is significantly shorter than for a therapeutic product providing the prospect for potential diagnostic product revenues to be realized quicker than potential therapeutic product revenues. Our Morphomer platform is particularly well suited to generate molecules for use in the development of companion diagnostics.</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Given our current stage of product development, we currently do not have a commercialization infrastructure. If any of our diagnostic product candidates is granted marketing approval, we intend to focus our initial commercial efforts in the United States and select European markets, which we believe represent the largest market opportunities for us. In those markets, we expect our commercial operations to include our own specialty sales force that will target neurologists and gerontologists, both in hospitals and in private practice. In other markets, we expect to seek partnerships that would maximize our products’ commercial potential.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strive to protect the proprietary technology that we believe is important to our business, including seeking and maintaining U.S. and foreign patents intended to cover our products and compositions, their methods of use and processes for their manufacture, as well as our proprietary technology platforms, diagnostic candidates, and any other inventions that are commercially important to the development of our business. We also rely on trade secrets and know-how to protect aspects of our business that are not amenable to, or that we do not consider appropriate for, patent protection.</w:t>
      </w:r>
    </w:p>
    <w:p>
      <w:pPr>
        <w:spacing w:after="0" w:line="15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success will significantly depend on our ability to obtain and maintain patent and other proprietary protection for commercially important technology, inventions and know-how related to our business, defend and enforce patents, preserve the confidentiality of our trade secrets and operate our business without infringing any patents and other intellectual property or proprietary rights of third parties. See the section titled “Risk Factors— Risks Related to Intellectual Property” for additional information.</w:t>
      </w:r>
    </w:p>
    <w:p>
      <w:pPr>
        <w:spacing w:after="0" w:line="18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As of August 31, 2016, we owned or co-owned approximately 22 issued U.S. patents and 173 issued patents in other jurisdictions, as well as 18 pending U.S. patent applications and 327 pending foreign patent applications. As of August 31, 2016, we licensed approximately 12 issued U.S. patents and 12 pending U.S. patent applications, as well as 110 issued patents in other jurisdictions and 258 pending foreign patent applications.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portfolios for our three most advanced product candidates as of August 31, 2016 are summarized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Our patent portfolio relating to crenezumab includes patents and patent applications with claims directed to composition of matter (including claims directed to the crenezumab antibody or a fragment thereof, a polynucleotide encoding the crenezumab antibody or a fragment thereof, a cell line used to produce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crenezumab antibody as well as pharmaceutical compositions comprising the crenezumab antibody), claims directed to treating certain indications using the crenezumab antibody including AD, claims directed to a method of manufacturing the crenezumab antibody, and claims directed to diagnostic and prognostic uses of the crenezumab antibody.</w:t>
      </w:r>
    </w:p>
    <w:p>
      <w:pPr>
        <w:ind w:firstLine="456"/>
        <w:spacing w:after="0" w:line="268" w:lineRule="auto"/>
        <w:rPr>
          <w:sz w:val="20"/>
          <w:szCs w:val="20"/>
          <w:color w:val="auto"/>
        </w:rPr>
      </w:pPr>
      <w:r>
        <w:rPr>
          <w:rFonts w:ascii="Arial" w:cs="Arial" w:eastAsia="Arial" w:hAnsi="Arial"/>
          <w:sz w:val="17"/>
          <w:szCs w:val="17"/>
          <w:color w:val="auto"/>
        </w:rPr>
        <w:t>Our patent portfolio relating to crenezumab includes patents and patent applications that we own or co-own in four different patent families. As of August 31, 2016, we owned or co-owned approximately 20 patents (not including the patents in the individual countries where the issued European patent was validated) and 39 patent applications in 34 countries in our main patent family directed to the crenezumab antibody and methods of using the crenezumab antibody to treat certain indications, including AD. This patent portfolio includes three issued U.S. patents and two pending U.S. patent applications, which, if the appropriate maintenance or other governmental fees are paid, are expected to expire in 2027, excluding any additional term for patent term adjustments or patent term extensions. This patent portfolio also includes a PCT patent application which was filed on July 13, 2007. If the appropriate maintenance, renewal, annuity, or other governmental fees are paid, national stage applications issuing from this PCT patent application, are expected to expire in 2027, excluding any additional term for patent term adjustments or patent term extensions, as applicable.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patent portfolio for ACI-24 includes composition of matter claims (including claims directed to the ACI-24 antigenic construct) claims directed to treating certain indications using ACI-24 including AD, and claims directed to using ACI-24 to induce an immune response.</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Our patent portfolio for ACI-24 consists of approximately 23 issued patents and 11 pending patent applications in 30 countries. With respect to the U.S., we own two issued U.S. patents.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December 8, 2006. The issued patents in this patent portfolio, if the appropriate maintenance, renewal, annuity or other governmental fees are paid, are expected to expire in 2026, excluding any additional term for patent term adjustments or patent term extensions.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patent portfolio for ACI-35 includes composition of matter claims (including claims directed to the ACI-35 antigenic peptide and a pharmaceutical composition comprising such an antigenic peptide), claims directed to treating certain indications using ACI-35 including AD, and claims directed to using ACI-35 to induce an immune response.</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Our patent portfolio for ACI-35 consists of approximately 14 issued patents and 16 pending patent applications in 27 countries. With respect to the U.S., we own one issued U.S. patent.</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April 1, 2010. The issued patents in this patent portfolio, if the appropriate maintenance, renewal, annuity or other governmental fees are paid, are expected to expire in 2030, excluding any additional term for patent term adjustments or patent term extensions.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manufacturing and supply of the clinical study materials are currently done in collaboration with our collaboration partners (</w:t>
      </w:r>
      <w:r>
        <w:rPr>
          <w:rFonts w:ascii="Arial" w:cs="Arial" w:eastAsia="Arial" w:hAnsi="Arial"/>
          <w:sz w:val="18"/>
          <w:szCs w:val="18"/>
          <w:i w:val="1"/>
          <w:iCs w:val="1"/>
          <w:color w:val="auto"/>
        </w:rPr>
        <w:t>e.g.</w:t>
      </w:r>
      <w:r>
        <w:rPr>
          <w:rFonts w:ascii="Arial" w:cs="Arial" w:eastAsia="Arial" w:hAnsi="Arial"/>
          <w:sz w:val="18"/>
          <w:szCs w:val="18"/>
          <w:color w:val="auto"/>
        </w:rPr>
        <w:t>, Genentech in the case of crenezumab and anti-tau antibodies and Piramal Imaging in the case of tau PET imaging) or contract manufacturing organizations (</w:t>
      </w:r>
      <w:r>
        <w:rPr>
          <w:rFonts w:ascii="Arial" w:cs="Arial" w:eastAsia="Arial" w:hAnsi="Arial"/>
          <w:sz w:val="18"/>
          <w:szCs w:val="18"/>
          <w:i w:val="1"/>
          <w:iCs w:val="1"/>
          <w:color w:val="auto"/>
        </w:rPr>
        <w:t>e.g.</w:t>
      </w:r>
      <w:r>
        <w:rPr>
          <w:rFonts w:ascii="Arial" w:cs="Arial" w:eastAsia="Arial" w:hAnsi="Arial"/>
          <w:sz w:val="18"/>
          <w:szCs w:val="18"/>
          <w:color w:val="auto"/>
        </w:rPr>
        <w:t>, for ACI-35 and ACI-24) for the supply of raw materials, drug substances and drug products.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have an established standard operating procedure to properly select the contract manufacturing organization to which the manufacturing tasks will be assigned. In the assessment, we consider the availability of the technical skills necessary to support the project, the business and commercial aspects related to the collaboration and the compliance of our providers with local and international regulations.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Partners and Contract Manufacturing Organizations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Genentech, a leading biotech company with extensive experience in developing, producing and distributing products worldwide from pre-clinical to commercial stages of development, manufactures and supplies clinical study materials for crenezumab and anti-tau antibodies. Tau-PET imaging compounds are produced in collaboration with Piramal, a well-established Indian company with a strong chemical background supported by an India based contract manufacturing organization.</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ACI-24 and ACI-35 APIs (active pharmaceutical ingredients) are produced by Bachem AG, an experienced company based in Switzerland. Drug products for the advancement of ACI-24 are manufactured by Polymun, a company based in Austria with significant experience in developing and producing Liposomal formulations, while drug products for the advancement of ACI-35 are produced by Northern Lipids, a company based in Canada with a strong and long experience in the field of liposomal formulation and production.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Governing Rules and Quality Requirements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facilities used by our collaboration partners and contract manufacturing organizations to manufacture our product candidates are systematically audited by local authorities and occasionally inspected by competent authorities where the clinical studies are ongoing. The facilities where the commercial productions are performed must be approved by the FDA or other relevant regulatory authorities pursuant to inspections that are conducted after we submit our NDA or comparable marketing applications. We perform periodic quality audits of the manufacturing facilities and contract manufacturing organizations to monitor their compliance with the regional laws, regulations and applicable cGMP standards and other laws and regulations, such as those related to environmental health and safety matters. The scope of our audits also involves monitoring the ability of our providers to maintain adequate quality controls and quality assurance systems including personnel qualification.</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After manufacturing, our products are submitted to extensive characterization and quality control testing plans performed by using properly developed analytical methods that are qualified or validated; this ensures the accuracy of the results generated and provides evidence of the quality of our products. In addition, our products are submitted to detailed and standardized stability programs aimed at demonstrating the stability during the storage period; this, while it guarantees the safety of the products, supports the definition of a suitable supply chain that may encompass the distribution of the products in different continents.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framework</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established, with each contract manufacturing organization supplying drug substances or drug products, quality agreements and master service agreements. Quality agreements define the quality standards required to develop, produce and supply the product. Quality agreements also define the responsibilities related to the collaboration with regards to the quality related aspects. Master service agreements define the framework under which the quality agreements operate. Any failure to achieve and maintain compliance with the laws, regulations and standards, suspension of the manufacturing of our product candidates or revoke of cGMP permissions which would adversely affect our business and reputation are defined in the master service agreements and quality agreements. The risk that any third-party providers may breach the agreements they have with us because of factors beyond our control and the possibility they may also terminate or refuse to renew their agreements because of their own financial difficulties or business priorities, potentially at a time that is costly or otherwise inconvenient for us is managed by us with constant investments toward maintaining reserve stocks and in-depth process know-how. The latter is supported by continuous in-house process development and production activities of small-scale/research grade materials that may offer the chance to rapidly identify alternative contract manufacturers to which the manufacturing process could be transferred providing continuity for the clinical study.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Interaction with collaboration partners and contract manufacturing organizations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Finally, our partnership with contract manufacturing organizations is managed through an efficient project management platform in which teams are formed with the representatives of each key function from both parties. Meetings occur either by telephone conferences aimed at updating short term actions or face-to-face when mid-long term development plans are discussed.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Our Regulatory Department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regulatory department has a strong culture of regulatory compliance, operating under three guiding principles, to:</w:t>
      </w:r>
    </w:p>
    <w:p>
      <w:pPr>
        <w:spacing w:after="0" w:line="131"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Provide constructive regulatory input for development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Ensure smooth regulatory approvals by anticipating hurdles.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Build confidence with regulators by continuous communication.</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regulatory department has conducted four pre-IND meetings with the FDA (ACI-24 for AD and Down’s syndrome, ACI-91 and tau Imaging) and five Scientific Advice meetings, which are the European equivalent of pre-IND meetings (with German BfArM, Swedish Medical Products Agency; Medicine</w:t>
      </w:r>
    </w:p>
    <w:p>
      <w:pPr>
        <w:ind w:right="80" w:firstLine="8"/>
        <w:spacing w:after="0" w:line="252" w:lineRule="auto"/>
        <w:tabs>
          <w:tab w:leader="none" w:pos="185" w:val="left"/>
        </w:tabs>
        <w:numPr>
          <w:ilvl w:val="0"/>
          <w:numId w:val="79"/>
        </w:numPr>
        <w:rPr>
          <w:rFonts w:ascii="Arial" w:cs="Arial" w:eastAsia="Arial" w:hAnsi="Arial"/>
          <w:sz w:val="18"/>
          <w:szCs w:val="18"/>
          <w:color w:val="auto"/>
        </w:rPr>
      </w:pPr>
      <w:r>
        <w:rPr>
          <w:rFonts w:ascii="Arial" w:cs="Arial" w:eastAsia="Arial" w:hAnsi="Arial"/>
          <w:sz w:val="18"/>
          <w:szCs w:val="18"/>
          <w:color w:val="auto"/>
        </w:rPr>
        <w:t>Healthcare Products Regulatory Agency (UK), Finnish Medicines Agency, and the European Medicines Agency). Since 2008, our regulatory department has filed a total of six clinical study applications in the EU (Germany, Austria, Denmark, Sweden, UK and two in Finland) and one IND in the US. Given the seriousness of AD and public pressure for new therapeutics, we consider regulatory agencies to be important stakeholders in our clinical studies. We are committed to working closely with world regulatory authorities to adhere to and achieve the highest levels of safety in the most timely and efficient manner. The transparency we have achieved and our goal of a close working relationship with the regulatory agencies, in particular the FDA, are intended to facilitate expeditious execution through the regulatory approval process.</w:t>
      </w:r>
    </w:p>
    <w:p>
      <w:pPr>
        <w:spacing w:after="0" w:line="19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regulatory department contains a quality assurance, or QA, function. As every quality issue ultimately requires regulatory involvement and input, this approach is intended to lead to rapid resolution of issues and ensure full compliance to satisfy both the reviewers and the inspectors at the government health authorities. The mission of our QA function is to establish, maintain and manage the corporate quality management system. Our regulatory department is charged with keeping our entire organization directly or indirectly involved in the clinical study application process in a state of “inspection readiness.” To that end, we ensure that the study master file is complete and regularly updated. Our regulatory department is also tasked with generating our annual quality plan. The personnel tasked with QA have issued a set of approximately 30 standard operating procedures and continuously train the relevant staff. Our QA personnel conduct regular audits, including in-person audits of the contract manufacturers, contract research organizations and laboratories conducting primary end-point analysis. Other supervision by our QA function involves their service procedures standard operating procedures and periodic communication. In addition, we have recently added a corporate documentation specialist to ensure good documentation practice.</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Approval Process</w:t>
      </w:r>
    </w:p>
    <w:p>
      <w:pPr>
        <w:spacing w:after="0" w:line="117" w:lineRule="exact"/>
        <w:rPr>
          <w:sz w:val="20"/>
          <w:szCs w:val="20"/>
          <w:color w:val="auto"/>
        </w:rPr>
      </w:pPr>
    </w:p>
    <w:p>
      <w:pPr>
        <w:jc w:val="both"/>
        <w:ind w:right="100" w:firstLine="456"/>
        <w:spacing w:after="0" w:line="279" w:lineRule="auto"/>
        <w:rPr>
          <w:sz w:val="20"/>
          <w:szCs w:val="20"/>
          <w:color w:val="auto"/>
        </w:rPr>
      </w:pPr>
      <w:r>
        <w:rPr>
          <w:rFonts w:ascii="Arial" w:cs="Arial" w:eastAsia="Arial" w:hAnsi="Arial"/>
          <w:sz w:val="17"/>
          <w:szCs w:val="17"/>
          <w:color w:val="auto"/>
        </w:rPr>
        <w:t>The clinical studies, manufacturing, labeling, storage, distribution, record keeping, advertising, promotion, import, export and marketing, among other things, of our product candidates are subject to extensive regulation by governmental authorities in the United States and other countries. The U.S. Food and Drug Administration, or FDA, under the Federal Food, Drug, and Cosmetic Act, or FDCA, regulates pharmaceutical products in the United States. The steps required before a drug may be approved for marketing in the United States generally include:</w:t>
      </w:r>
    </w:p>
    <w:p>
      <w:pPr>
        <w:spacing w:after="0" w:line="77" w:lineRule="exact"/>
        <w:rPr>
          <w:sz w:val="20"/>
          <w:szCs w:val="20"/>
          <w:color w:val="auto"/>
        </w:rPr>
      </w:pPr>
    </w:p>
    <w:p>
      <w:pPr>
        <w:jc w:val="center"/>
        <w:ind w:left="5580" w:right="1340" w:hanging="5126"/>
        <w:spacing w:after="0" w:line="449"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completion of pre-clinical laboratory tests and animal tests conducted under Good Laboratory Practice, or GLP, regulations; 126</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submission to the FDA of an Investigational New Drug, or IND, application for human clinical testing, which must become effective before human clinical studies commence;</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obtaining a positive opinion from the Ethics Committee (Europe) / Institutional Review Board (United States) to commence study on human subjects;</w:t>
      </w:r>
    </w:p>
    <w:p>
      <w:pPr>
        <w:spacing w:after="0" w:line="75" w:lineRule="exact"/>
        <w:rPr>
          <w:rFonts w:ascii="Arial" w:cs="Arial" w:eastAsia="Arial" w:hAnsi="Arial"/>
          <w:sz w:val="18"/>
          <w:szCs w:val="18"/>
          <w:color w:val="auto"/>
        </w:rPr>
      </w:pPr>
    </w:p>
    <w:p>
      <w:pPr>
        <w:ind w:left="900" w:right="420" w:hanging="446"/>
        <w:spacing w:after="0" w:line="308"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performance of adequate and well-controlled human clinical studies to establish the safety and efficacy of the product candidate for each proposed indication and conducted in accordance with current Good Clinical Practice, or cGCP, requirements;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pre-NDA submission meeting with FDA (highly recommended);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submission to the FDA of a New Drug Application, or NDA;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FDA’s acceptance of the NDA;</w:t>
      </w:r>
    </w:p>
    <w:p>
      <w:pPr>
        <w:spacing w:after="0" w:line="130"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(PAI) of the manufacturing facilities at which the product is made to assess compliance with current Good Manufacturing Practice, or cGMP, requirements;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FDA’s review and approval of an NDA prior to any commercial marketing or sale of the drug in the United States; and</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having a parallel scientific advice from the European Medicines Agency or Health-Technology-Assessment body where the payors are involved at the outset (Phase 2), which is intended to facilitate the design of clinical studies to primarily target populations with a high chance of obtaining reimbursement and accelerate the process of time-to-reimbursement.</w:t>
      </w:r>
    </w:p>
    <w:p>
      <w:pPr>
        <w:spacing w:after="0" w:line="18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FDA has various programs, including fast track, priority review, accelerated approval, and breakthrough therapy designation, that are intended to increase agency interactions, expedite or facilitate the process for reviewing drug candidates, and/or provide for initial approval on the basis of surrogate endpoints. We believe that one or more of our product candidates may qualify for some of these expedited development and review programs. Even if a drug candidate qualifies for one or more of these programs, the FDA may later decide that the drug candidate no longer meets the conditions for qualification.</w:t>
      </w:r>
    </w:p>
    <w:p>
      <w:pPr>
        <w:spacing w:after="0" w:line="154"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Fast Track program is intended to expedite or facilitate the process for reviewing new drugs that meet certain criteria. Specifically, new drugs are eligible for Fast Track designation if they are designed to treat a serious or life-threatening condition and demonstrate the potential to address unmet medical needs for the condition. Fast Track designation applies to the combination of the product and the specific indication for which it is being studied. The sponsor of a new drug may request the FDA to designate the drug as a Fast Track product at any time during the clinical development of the product. AD, for example, meets both pre-requisites—it is life-threatening and constitutes an unmet medical need.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Additionally, a product may be eligible for accelerated approval. Drug candidates studied for their safety and effectiveness in treating serious or life-threatening illnesses and that provide meaningful therapeutic benefit over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studies. Failure to conduct required post-approval trials, or the inability to confirm a clinical benefit during post-marketing trials, may allow the FDA to withdraw the drug from the market on an expedited basis.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Food and Drug Administration Safety and Innovation Act of 2012 also amended the FDCA to require FDA to expedite the development and review of a breakthrough therapy. A drug can be designated as a breakthrough therapy if it is intended to treat a serious or life-threatening disease or condition and preliminary clinical evidence indicates that it may demonstrate substantial improvement over existing therapies on one or more clinically significant endpoints. A sponsor may request that a drug be designated as a breakthrough therapy at any time during the clinical development of the product. If so designated, FDA shall act to expedite the development and review of the product’s marketing application, including by meeting with the sponsor throughout the product’s development, providing timely advice to the sponsor to ensure that the development program to gather nonclinical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18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testing and approval process requires substantial time, effort and financial resources, and the receipt and timing of any approval is uncertain. Given this paradigm, AD has been given a Life Threatening Disease status by the FDA and therefore AD therapies are eligible for the expanded access program for investigational drugs and other pathways like Breakthrough Therapy, Accelerated Approval and Priority Review. Also, a single well-designed, well-conducted pivotal clinical study could be sufficient to trigger market approval pending a successful PAI.</w:t>
      </w:r>
    </w:p>
    <w:p>
      <w:pPr>
        <w:spacing w:after="0" w:line="17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studies may be commenced. The IND will become effective automatically 30 days after receipt by the FDA, unless the FDA raises concerns or questions about the conduct of the studies as outlined in the IND prior to that time. In this case, the IND sponsor and the FDA must resolve any outstanding concerns before clinical studies can proceed.</w:t>
      </w:r>
    </w:p>
    <w:p>
      <w:pPr>
        <w:spacing w:after="0" w:line="17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Clinical studies involve the administration of the product candidates to healthy volunteers or patients with the disease to be treated under the supervision of a qualified principal investigator.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Further, each clinical study must be reviewed and approved by an independent institutional review board, or IRB, either centrally or individually at each institution at which the clinical study will be conducted. The IRB will consider, among other things, ethical factors, the safety of human subjects and the possible liability of the institution. There are also requirements governing the reporting of ongoing clinical studies and clinical study results to public registries. The FDA, the IRB or the clinical study sponsor may suspend or terminate clinical studies at any time on various grounds, including a finding that the subjects or patients are being exposed to an unacceptable health risk. Additionally, some clinical studies are overseen by an independent group of qualified experts organized by the clinical study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sponsor, known as a data safety monitoring board or committee. This group provides authorization for whether or not a study may move forward at designated check points based on access to certain data from the study. We may also suspend or terminate a clinical study based on evolving business objectives and/or competitive climate.</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Clinical studies are typically conducted in three sequential phases prior to approval, but the phases may overlap. These phases generally include the following:</w:t>
      </w:r>
    </w:p>
    <w:p>
      <w:pPr>
        <w:spacing w:after="0" w:line="197" w:lineRule="exact"/>
        <w:rPr>
          <w:sz w:val="20"/>
          <w:szCs w:val="20"/>
          <w:color w:val="auto"/>
        </w:rPr>
      </w:pPr>
    </w:p>
    <w:p>
      <w:pPr>
        <w:ind w:left="1660" w:right="340" w:hanging="1431"/>
        <w:spacing w:after="0" w:line="264" w:lineRule="auto"/>
        <w:tabs>
          <w:tab w:leader="none" w:pos="1640" w:val="left"/>
        </w:tabs>
        <w:rPr>
          <w:sz w:val="20"/>
          <w:szCs w:val="20"/>
          <w:color w:val="auto"/>
        </w:rPr>
      </w:pPr>
      <w:r>
        <w:rPr>
          <w:rFonts w:ascii="Arial" w:cs="Arial" w:eastAsia="Arial" w:hAnsi="Arial"/>
          <w:sz w:val="18"/>
          <w:szCs w:val="18"/>
          <w:color w:val="auto"/>
        </w:rPr>
        <w:t>Phase 1.</w:t>
      </w:r>
      <w:r>
        <w:rPr>
          <w:sz w:val="20"/>
          <w:szCs w:val="20"/>
          <w:color w:val="auto"/>
        </w:rPr>
        <w:tab/>
      </w:r>
      <w:r>
        <w:rPr>
          <w:rFonts w:ascii="Arial" w:cs="Arial" w:eastAsia="Arial" w:hAnsi="Arial"/>
          <w:sz w:val="18"/>
          <w:szCs w:val="18"/>
          <w:color w:val="auto"/>
        </w:rPr>
        <w:t>Phase 1 clinical studies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w:t>
      </w:r>
    </w:p>
    <w:p>
      <w:pPr>
        <w:spacing w:after="0" w:line="141" w:lineRule="exact"/>
        <w:rPr>
          <w:sz w:val="20"/>
          <w:szCs w:val="20"/>
          <w:color w:val="auto"/>
        </w:rPr>
      </w:pPr>
    </w:p>
    <w:p>
      <w:pPr>
        <w:ind w:left="1660" w:right="400" w:hanging="1431"/>
        <w:spacing w:after="0" w:line="264" w:lineRule="auto"/>
        <w:tabs>
          <w:tab w:leader="none" w:pos="1640" w:val="left"/>
        </w:tabs>
        <w:rPr>
          <w:sz w:val="20"/>
          <w:szCs w:val="20"/>
          <w:color w:val="auto"/>
        </w:rPr>
      </w:pPr>
      <w:r>
        <w:rPr>
          <w:rFonts w:ascii="Arial" w:cs="Arial" w:eastAsia="Arial" w:hAnsi="Arial"/>
          <w:sz w:val="18"/>
          <w:szCs w:val="18"/>
          <w:color w:val="auto"/>
        </w:rPr>
        <w:t>Phase 2.</w:t>
      </w:r>
      <w:r>
        <w:rPr>
          <w:sz w:val="20"/>
          <w:szCs w:val="20"/>
          <w:color w:val="auto"/>
        </w:rPr>
        <w:tab/>
      </w:r>
      <w:r>
        <w:rPr>
          <w:rFonts w:ascii="Arial" w:cs="Arial" w:eastAsia="Arial" w:hAnsi="Arial"/>
          <w:sz w:val="18"/>
          <w:szCs w:val="18"/>
          <w:color w:val="auto"/>
        </w:rPr>
        <w:t>Phase 2 clinical studies usually involve studies in a limited patient population to (1) evaluate the efficacy of the product candidate for specific indications, (2) determine dosage tolerance and optimal dosage and (3) identify possible adverse effects and safety risks.</w:t>
      </w:r>
    </w:p>
    <w:p>
      <w:pPr>
        <w:spacing w:after="0" w:line="141" w:lineRule="exact"/>
        <w:rPr>
          <w:sz w:val="20"/>
          <w:szCs w:val="20"/>
          <w:color w:val="auto"/>
        </w:rPr>
      </w:pPr>
    </w:p>
    <w:p>
      <w:pPr>
        <w:ind w:left="1660" w:right="560" w:hanging="1431"/>
        <w:spacing w:after="0" w:line="286" w:lineRule="auto"/>
        <w:tabs>
          <w:tab w:leader="none" w:pos="1640" w:val="left"/>
        </w:tabs>
        <w:rPr>
          <w:sz w:val="20"/>
          <w:szCs w:val="20"/>
          <w:color w:val="auto"/>
        </w:rPr>
      </w:pPr>
      <w:r>
        <w:rPr>
          <w:rFonts w:ascii="Arial" w:cs="Arial" w:eastAsia="Arial" w:hAnsi="Arial"/>
          <w:sz w:val="18"/>
          <w:szCs w:val="18"/>
          <w:color w:val="auto"/>
        </w:rPr>
        <w:t>Phase 3.</w:t>
      </w:r>
      <w:r>
        <w:rPr>
          <w:sz w:val="20"/>
          <w:szCs w:val="20"/>
          <w:color w:val="auto"/>
        </w:rPr>
        <w:tab/>
      </w:r>
      <w:r>
        <w:rPr>
          <w:rFonts w:ascii="Arial" w:cs="Arial" w:eastAsia="Arial" w:hAnsi="Arial"/>
          <w:sz w:val="17"/>
          <w:szCs w:val="17"/>
          <w:color w:val="auto"/>
        </w:rPr>
        <w:t>If a product candidate is found to be potentially effective and to have an acceptable safety profile in Phase 2 studies, the clinical study program will be expanded to Phase 3 clinical studies to further demonstrate clinical efficacy, optimal dosage and safety within an expanded patient population at geographically dispersed clinical study sites.</w:t>
      </w:r>
    </w:p>
    <w:p>
      <w:pPr>
        <w:spacing w:after="0" w:line="166"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Phase 4 clinical studies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studies could result in withdrawal of approval.</w:t>
      </w:r>
    </w:p>
    <w:p>
      <w:pPr>
        <w:spacing w:after="0" w:line="14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results of pre-clinical studies and clinical studies, including negative or ambiguous results as well as positive findings, together with detailed information on the manufacture, composition and quality of the product, are submitted to the FDA in the form of an NDA requesting approval to market the product. The NDA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17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We estimate that it generally takes 10 to 15 years, or possibly longer, to discover, develop and bring to market a new pharmaceutical product in the United States. Several years may be needed to complete each phase, including discovery, preclinical, Phase 1, 2 or 3, or marketing authorization.</w:t>
      </w:r>
    </w:p>
    <w:p>
      <w:pPr>
        <w:spacing w:after="0" w:line="12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Recently, the Food and Drug Administration Safety and Innovation Act, or FDASIA, which was signed into law on July 9, 2012, amended the FDCA.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cost of preparing and submitting an NDA is substantial. Under federal law, NDAs are subject to substantial application user fees and the sponsor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 approved NDA is also subject to annual product and establishment user fees. Under the Prescription Drug User Fee Act, or PDUFA, as amended,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NDA must be accompanied by a user fee. The FDA adjusts the PDUFA user fees on an annual basis. According to the FDA’s fee schedule, effective through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2016, the user fee for each NDA application requiring clinical data is $2,374,200. PDUFA also imposes an annual product fee for drugs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($114,450), and an annual establishment fee ($585,200) on facilities used to manufacture prescription drugs. Fee waivers or reductions are available in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circumstances, including a waiver of the application fee for the first application filed by a small business. Additionally, no user fees are assessed on NDAs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 designated as orphan drugs, unless the product also includes a non-orphan indication.</w:t>
      </w:r>
    </w:p>
    <w:p>
      <w:pPr>
        <w:spacing w:after="0" w:line="2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Once the NDA submission has been submitted, the FDA has 60 days after submission of the NDA to conduct an initial review to determine whether it is sufficient to accept for filing. Under the Prescription Drug User Fee Act, or PDUFA, the FDA sets a goal date by which it plans to complete its review. This is typically 12 months from the date of submission of the NDA application. The review process is often extended by FDA requests for additional information or clarification. Before approving an NDA, the FDA will inspect the facilities at which the product is manufactured and will not approve the product unless the manufacturing facility complies with cGMPs and may also inspect clinical study sites for integrity of data supporting safety and efficacy. The FDA may also convene an advisory committee of external experts to provide input on certain review issues relating to risk, benefit and interpretation of clinical study data. The FDA is not bound by the recommendations of an advisory committee, but generally follows such recommendations in making its decisions. The FDA may delay approval of an NDA if applicable regulatory criteria are not satisfied and/or the FDA requires additional testing or information. The FDA may require post-marketing testing and surveillance to monitor safety or efficacy of a product.</w:t>
      </w:r>
    </w:p>
    <w:p>
      <w:pPr>
        <w:spacing w:after="0" w:line="18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study(ies), and/or other significant, expensive and time-consuming requirements related to clinical studies, pre-clinical studies or manufacturing. Even if such additional information is submitted, the FDA may ultimately decide that the NDA does not satisfy the criteria for approval. The FDA could also approve the NDA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studies. Such post-market testing may include Phase 4 clinical studies and surveillance to further assess and monitor the product’s safety and effectiveness after commercialization.</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 Protocol Assessment</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FDA and an IND sponsor may agree in writing on the design and size of clinical studies intended to form the primary basis of a claim of effectiveness in an NDA. This process is known as a special protocol assessment, or SPA. Upon a specific request for a SPA by an IND sponsor, the FDA will evaluate the protocol. If a SPA agreement is reached, however, it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protocol agreed upon, or the relevant data, assumptions, or information provided by the IND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sponsor when requesting a SPA agreement change, are found to be false statements or misstatements, or are found to omit relevant facts. A SPA agreement may not be changed by the sponsor or the FDA after the study begins except with the written agreement of the sponsor and the FDA, or if the FDA determines that a substantial scientific issue essential to determining the safety or effectiveness of the drug was identified after the testing began.</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 also entitles a party to financial incentives such as opportunities for grant funding towards clinical study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Orphan drug status in the European Union has similar but not identical benefits in that jurisdiction.</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Sponsors of clinical trials (other than Phase 1 trials) of FDA-regulated products, including drugs, are required to register and disclose certain clinical trial information. Information related to the product, comparator, patient population, phase of investigation, trial sites and investigators and other aspects of the clinical trial is made public as part of the registration. Sponsors are also obligated to disclose the results of their clinical trials after completion. Disclosure of the results of certain trials may be delayed until the new product or new indication being studied has been approved. However, there are evolving rules and increasing requirements for publication of trial-related information, and it is possible that data and other information from trials involving drugs that never garner approval could in the future be required to be disclosed. In addition, publication policies of major medical journals mandate certain registration and disclosures as a pre-condition for potential publication, even when this is not presently mandated as a matter of law. Competitors may use this publicly available information to gain knowledge regarding the progress of development programs.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78"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11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Depending upon the timing, duration, and specifics of FDA approval of the use of our drug candidates, some of our U.S. patents may be eligible for limited patent term extension under the Drug Price Competition and Patent Term Restoration Act of 1984, referred to as the Hatch-Waxman Act. The Hatch-Waxman Act permits a patent term to be extended up to five years as compensation for patent term effectively lost due to the FDA’s pre-market approval requirements.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drug is eligible for the extension. Extensions are not granted as a matter of right and the extension must be applied for prior to expiration of the patent and within a 60 day period from the date the product is first approved for commercial marketing. The U.S. Patent and Trademark Office, in consultation with the FDA, reviews and approves the application for any patent term extension or restoration. Where a product contains multiple active ingredients, if any one active ingredient has not been previously approved, it can form the basis of an extension of patent term provided the patent claims that ingredient or the combination.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the future, we may apply for patent term restoration for some of our presently owned patents to add patent life beyond their current expiration date, depending on the expected length of clinical studies and other factors involved in the submission of the relevant NDA; however, there can be no assurance that any such extension will be granted to us.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Market exclusivity provisions under the FDCA also can delay the submission or the approval of certain applications. The specific scope varies, but fundamentally the FDCA provides a five-year period of non-patent marketing exclusivity within the United States to the first applicant to gain approval of an NDA for a new chemical entity never previously approved by the FDA either alone or in combination. For a new chemical entity that was issued orphan drug designation, the FDCA provides marketing exclusivity for the “same drug” and ‘‘same indication’’ for a period of seven years. A drug is a new chemical entity if the FDA has not previously approved any other new drug containing the same active moiety, which is the compound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trials,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trials and adequate and well-controlled clinical trials necessary to demonstrate safety and effectiveness.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117" w:lineRule="exact"/>
        <w:rPr>
          <w:sz w:val="20"/>
          <w:szCs w:val="20"/>
          <w:color w:val="auto"/>
        </w:rPr>
      </w:pPr>
    </w:p>
    <w:p>
      <w:pPr>
        <w:ind w:right="320" w:firstLine="456"/>
        <w:spacing w:after="0" w:line="270"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studies, marketing authorization, commercial sales and distribution of our products. Whether or not we obtain FDA approval for a product, we would need to obtain the necessary approvals by the comparable foreign regulatory authorities before we can commence clinical studies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as described in greater detail below.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European Union Drug Review Approval</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European Economic Area, or EEA (which is comprised of the 28 Member States of the European Union plus Norway, Iceland and Liechtenstein), medicinal products can only be commercialized after obtaining a Marketing Authorization, or MA. There are two types of marketing authorizations: the Community MA, which is issued by the European Commission through the Centralized Procedure based on the opinion of the Committee for Medicinal Products for Human Use, or CHMP, a body of the EMA, and which is valid throughout the entire territory of the EEA; and the National MA, which is issued by the competent authorities of the Member States of the EEA and only authorizes marketing in that Member State’s national territory and not the EEA as a whole.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Centralized Procedure is compulsory for human medicines for the treatment of human immunodeficiency virus (HIV) or acquired immune deficiency syndrome (AIDS), cancer, diabetes, neurodegenerative diseases, auto-immune and other immune dysfunctions, and viral diseases; for veterinary medicines for use as growth or yield enhancers; for medicines derived from biotechnology processes, such as genetic engineering; for advanced-therapy medicines, such as gene-therapy, somatic cell-therapy or tissue-engineered medicines; and for officially designated ‘orphan medicines’ (medicines used for rare human diseases). The Centralized Procedure is optional for products containing a new active substance not yet authorized in the EEA, or for products that constitute a significant therapeutic, scientific or technical innovation or for products which are in the interest of public health in the European Union. The National MA is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If the RMS proposes to authorize the product, and the other Member States do not raise objections, the product is granted a national MA in all the Member States where the authorization was sought. Before granting the MA, the EMA or the competent authorities of the Member States of the EEA make an assessment of the risk-benefit balance of the product on the basis of scientific criteria concerning its quality, safety and efficacy.</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 in the European Union</w:t>
      </w:r>
    </w:p>
    <w:p>
      <w:pPr>
        <w:spacing w:after="0" w:line="11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Product development, the regulatory approval process, and safety monitoring of medicinal products and their manufacturers in the European Union proceed in much the same manner as they do in the United States. Therefore, many of the issues discussed above apply similarly in the context of the European Union. In addition, drugs are subject to the extensive price and reimbursement regulations of the various European Union Member States.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Clinical Studies</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As is the case in the United States, the various phases of pre-clinical and clinical research in the European Union are subject to significant regulatory controls. The Clinical Trials Directive 2001/20/EC, as amended (and which will be replaced from May 2016 or later by Regulation (EU) No 536/2014) provides a system for the approval of clinical studies in the European Union via implementation through national legislation of the Member States. Under this system, approval must be obtained from the competent national authorities of the European Union Member States in which the clinical trial is to be conducted. Furthermore, a clinical trial may only be started after a competent ethics committee has issued a favorable opinion on the clinical trial application, which must be supported by an investigational medicinal product dossier with supporting information prescribed by the Clinical Trials Directive and corresponding national laws of the Member States and further detailed in applicable guidance documents. A clinical trial may only be undertaken if provision has been made for insurance or indemnity to cover the liability of the investigator or sponsor. In certain countries, the sponsor of a clinical trial has a strict (faultless) liability for any (direct or indirect) damage suffered by trial subjects. The sponsor of a clinical trial, or its legal representative, must be based in the European Economic Area. European regulators and ethics committees also require the submission of adverse event reports during a study and a copy of the final study report.</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Marketing Approval</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Marketing approvals under the European Union regulatory system may be obtained through a centralized or decentralized procedure. The centralized procedure results in the grant of a single marketing authorization that is valid for all (currently 28) European Union Member States and three EFTA members (Norway, Iceland, Liechtenstein).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Pursuant to Regulation (EC) No. 726/2004, as amended, the centralized procedure is mandatory for drugs developed by means of specified biotechnological processes, advanced therapy medicinal products, drugs for human use containing a new active substance for which the therapeutic indication is the treatment of specified diseases, including but not limited to acquired immune deficiency syndrome, neurodegenerative disorders, auto-immune diseases and other immune dysfunctions, as well as drugs designated as orphan drugs. The CHMP also has the discretion to permit other products to use the centralized procedure if it considers them sufficiently innovative or they contain a new active substance.</w:t>
      </w:r>
    </w:p>
    <w:p>
      <w:pPr>
        <w:spacing w:after="0" w:line="17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the marketing authorization application, or MAA, the applicant has to properly and sufficiently demonstrate the quality, safety and efficacy of the drug. Under the centralized approval procedure, the CHMP, possibly in conjunction with other committees, is responsible for drawing up the opinion of the EMA on any matter concerning the admissibility of the files submitted in accordance with the centralized procedure, such as an opinion on the granting, variation, suspension or revocation of a marketing authorization, and pharmacovigilance.</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CHMP and other committees are also responsible for providing guidelines and have published numerous guidelines that may apply to our product candidates. These guidelines provide additional guidance on the factors that the EMA will consider in relation to the development and evaluation of drug products and may include, among other things, the pre-clinical studies required in specific cases; and the manufacturing and control information that should be submitted in a MAA; and post-approval measures required to monitor patients and evaluate the long term efficacy and potential adverse reactions. Although these guidelines are not legally binding, we believe that our compliance with them is likely necessary to gain approval for any of our product candidates.</w:t>
      </w:r>
    </w:p>
    <w:p>
      <w:pPr>
        <w:spacing w:after="0" w:line="19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maximum timeframe for the evaluation of an MAA by the CHMP under the centralized procedure is 210 days after receipt of a valid application. This period will be suspended until such time as the supplementary information requested by the CHMP, has been provided by the applicant. Likewise, this time-limit will be suspended for the time allowed for the applicant to prepare oral or written explanations. When an application is submitted for a marketing authorization in respect of a drug which is of major interest from the point of view of public health and in particular from the viewpoint of therapeutic innovation, the applicant may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w:t>
      </w:r>
    </w:p>
    <w:p>
      <w:pPr>
        <w:spacing w:after="0" w:line="18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CHMP concludes that the quality, safety and efficacy of the product are sufficiently proven, it adopts a positive opinion. This is sent to the European Commission which drafts a decision. After consulting with the Member States, the European Commission adopts a decision and grants a marketing authorization, which is valid for the whole of the European Economic Area, or EEA. The marketing authorization may be subject to certain conditions, which may include, without limitation, the performance of post-authorization safety and/or efficacy studies.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European Union legislation also provides for a system of regulatory data and market exclusivity. According to Article 14(11) of Regulation (EC)</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No. 726/2004, as amended, and Article 10(1) of Directive 2001/83/EC, as amended, upon receiving marketing authorization, new chemical entities approved on the basis of a complete independent data package benefit from eight years of data exclusivity and an additional two years of market exclusivity. Data exclusivity prevents regulatory authorities in the European Union from referencing the innovator’s data to assess a generic (abbreviated) application. During the additional two-year period of market exclusivity, a generic marketing authorization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studies. However, products designated as orphan medicinal products enjoy, upon receiving marketing authorization, a period of 10 years of orphan market exclusivity. See also “—Orphan Drug Regulation” below. Depending upon the timing and duration of the EU marketing authorization process, products may be eligible for up to five years’ supplementary protection certification, or SPC, pursuant to Regulation (EC) No. 469/2009. Such SPCs extend the rights under the basic patent for the drug.</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Additional rules apply to medicinal products for pediatric use under Regulation (EC) No. 1901/2006. Potential incentives include a six-month extension of any supplementary protection certificate granted pursuant to Regulation (EC) No. 469/2009, but not in cases in which the relevant product is designated as orphan medicinal products pursuant to Regulation (EC) No. 141/2000, as amended. Instead, medicinal products designated as orphan medicinal product may enjoy an extension of the ten-year market exclusivity period granted under Regulation (EC) No. 141/2000 to twelve years subject to the conditions applicable to orphan drugs.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Orphan Drug Regulation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European Union, Regulation (EC) No. 141/2000, as amended, states that a drug will be designated as an orphan drug if its sponsor can establish:</w:t>
      </w:r>
    </w:p>
    <w:p>
      <w:pPr>
        <w:spacing w:after="0" w:line="154" w:lineRule="exact"/>
        <w:rPr>
          <w:sz w:val="20"/>
          <w:szCs w:val="20"/>
          <w:color w:val="auto"/>
        </w:rPr>
      </w:pPr>
    </w:p>
    <w:p>
      <w:pPr>
        <w:ind w:left="900" w:right="80" w:hanging="325"/>
        <w:spacing w:after="0" w:line="279"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that it is intended for the diagnosis, prevention or treatment of a life-threatening or chronically debilitating condition affecting not more than five in ten thousand persons in the Community when the application is made, or that it is intended for the diagnosis, prevention or treatment of a life-threatening, seriously debilitating or serious and chronic condition in the European Union and that without incentives it is unlikely that the marketing of the drug in the European Union would generate sufficient return to justify the necessary investment; and</w:t>
      </w:r>
    </w:p>
    <w:p>
      <w:pPr>
        <w:spacing w:after="0" w:line="76"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there exists no satisfactory method of diagnosis, prevention or treatment of the condition in question that has been authorized in the European Union or, if such method exists, that the drug will be of significant benefit to those affected by that condition.</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Regulation (EC) No. 847/2000 sets out further provisions for implementation of the criteria for designation of a drug as an orphan drug. An application for the designation of a drug as an orphan drug must be submitted at any stage of development of the drug before filing of a marketing authorization application.</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 European Union-wide community marketing authorization in respect of an orphan drug is granted or if all the European Union Member States have granted marketing authorizations in accordance with the procedures for mutual recognition, the European Union and the Member States will not, for a period of 10 years, accept another application for a marketing authorization, or grant a marketing authorization or accept an application to extend an existing marketing authorization, for the same therapeutic indication, in respect of a similar drug. This period may however be reduced to six years if, at the end of the fifth year, it is established, with respect to the drug concerned, that the criteria for orphan drug designation are no longer met, in other words, when it is shown on the basis of available evidence that the product is sufficiently profitable not to justify maintenance of market exclusivity. Notwithstanding the foregoing, a marketing authorization may be granted, for the same therapeutic indication, to a similar drug if:</w:t>
      </w:r>
    </w:p>
    <w:p>
      <w:pPr>
        <w:spacing w:after="0" w:line="83" w:lineRule="exact"/>
        <w:rPr>
          <w:sz w:val="20"/>
          <w:szCs w:val="20"/>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has given its consent to the second applicant;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is unable to supply sufficient quantities of the drug; or</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second applicant can establish in the application that the second drug, although similar to the orphan drug already authorized, is safer, more effective or otherwise clinically superior.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Other incentives available to orphan drugs in the European Union include financial incentives such as a reduction of fees or fee waivers and protocol assistance. Orphan drug designation does not shorten the duration of the regulatory review and approval process.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Manufacturing and Manufacturers’ License</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Pursuant to Directive 2003/94/EC, as transposed into the national laws of the Member States, the manufacturing of investigational medicinal products and approved drugs is subject to a separate manufacturer’s license and must be conducted in strict compliance with cGMP requirements, which mandate the methods, facilities, and controls used in manufacturing, processing, and packing of drugs to assure their safety and identity. Manufacturers must have at least one qualified person permanently and continuously at their disposal. The qualified person is ultimately responsible for certifying that each batch of finished product released onto the market has been manufactured in accordance with cGMP and the specifications set out in the marketing authorization or investigational medicinal product dossier. cGMP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Wholesale Distribution and License</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Pursuant to Directive 2001/83/EC, the wholesale distribution of medicinal products is subject to the possession of an authorization to engage in activity as a wholesaler in medicinal products. Possession of a manufacturing authorization includes authorization to distribute by wholesale the medicinal products covered by that authorization. The distribution of medicinal products must comply with the principles and guidelines of good distribution practices, or GDP.</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w:t>
      </w:r>
    </w:p>
    <w:p>
      <w:pPr>
        <w:spacing w:after="0" w:line="117"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In the European Union, the promotion of prescription medicines is subject to intense regulation and control, including EU and national legislation as well as self-regulatory codes (industry codes). Advertising legislation inter alia includes a prohibition on direct-to-consumer advertising. All prescription medicines advertising must be consistent with the product’s approved summary of products characteristics, and must be factual, accurate, balanced and not misleading. Advertising of prescription medicines pre-approval or off-label is not allowed. Some jurisdictions require that all promotional materials for prescription medicines be subjected to either prior internal or regulatory review and approval.</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Regulatory Requirements</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A marketing authorization holder, or MAH, for a medicinal product is legally obliged to fulfill a number of obligations by virtue of its status as an MAH. The MAH can delegate the performance of related tasks to third parties, such as distributors or marketing partners, provided that this delegation is appropriately documented and the MAH maintains legal responsibility and liability.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obligations of an MAH include:</w:t>
      </w:r>
    </w:p>
    <w:p>
      <w:pPr>
        <w:spacing w:after="0" w:line="131" w:lineRule="exact"/>
        <w:rPr>
          <w:sz w:val="20"/>
          <w:szCs w:val="20"/>
          <w:color w:val="auto"/>
        </w:rPr>
      </w:pPr>
    </w:p>
    <w:p>
      <w:pPr>
        <w:ind w:left="900" w:right="40" w:hanging="325"/>
        <w:spacing w:after="0" w:line="26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Manufacturing and batch release</w:t>
      </w:r>
      <w:r>
        <w:rPr>
          <w:rFonts w:ascii="Arial" w:cs="Arial" w:eastAsia="Arial" w:hAnsi="Arial"/>
          <w:sz w:val="18"/>
          <w:szCs w:val="18"/>
          <w:color w:val="auto"/>
        </w:rPr>
        <w:t>—MAHs should guarantee that all manufacturing operations comply with relevant laws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good manufacturing practices, with the product specifications and manufacturing conditions set out in the marketing authorization and that each batch of product is subject to appropriate release formalities.</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Availability and continuous supply</w:t>
      </w:r>
      <w:r>
        <w:rPr>
          <w:rFonts w:ascii="Arial" w:cs="Arial" w:eastAsia="Arial" w:hAnsi="Arial"/>
          <w:sz w:val="18"/>
          <w:szCs w:val="18"/>
          <w:color w:val="auto"/>
        </w:rPr>
        <w:t>—Pursuant to Directive 2001/83/EC, as transposed into the national laws of the Member States, the MAH for a</w:t>
      </w:r>
      <w:r>
        <w:rPr>
          <w:rFonts w:ascii="Arial" w:cs="Arial" w:eastAsia="Arial" w:hAnsi="Arial"/>
          <w:sz w:val="18"/>
          <w:szCs w:val="18"/>
          <w:i w:val="1"/>
          <w:iCs w:val="1"/>
          <w:color w:val="auto"/>
        </w:rPr>
        <w:t xml:space="preserve"> </w:t>
      </w:r>
      <w:r>
        <w:rPr>
          <w:rFonts w:ascii="Arial" w:cs="Arial" w:eastAsia="Arial" w:hAnsi="Arial"/>
          <w:sz w:val="18"/>
          <w:szCs w:val="18"/>
          <w:color w:val="auto"/>
        </w:rPr>
        <w:t>medicinal product and the distributors of the said medicinal product actually placed on the market in a Member State shall, within the limits of their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responsibilities, ensure appropriate and continued supplies of that medicinal product to pharmacies and persons authorized to supply medicinal products so that the needs of patients in the Member State in question are covered.</w:t>
      </w:r>
    </w:p>
    <w:p>
      <w:pPr>
        <w:spacing w:after="0" w:line="76" w:lineRule="exact"/>
        <w:rPr>
          <w:sz w:val="20"/>
          <w:szCs w:val="20"/>
          <w:color w:val="auto"/>
        </w:rPr>
      </w:pPr>
    </w:p>
    <w:p>
      <w:pPr>
        <w:ind w:left="900" w:right="440" w:hanging="325"/>
        <w:spacing w:after="0" w:line="342"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Pharmacovigilance</w:t>
      </w:r>
      <w:r>
        <w:rPr>
          <w:rFonts w:ascii="Arial" w:cs="Arial" w:eastAsia="Arial" w:hAnsi="Arial"/>
          <w:sz w:val="16"/>
          <w:szCs w:val="16"/>
          <w:color w:val="auto"/>
        </w:rPr>
        <w:t>—MAHs are obliged to establish and maintain a pharmacovigilance system, including a qualified person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oversight, submit safety reports to the regulators and comply with the good pharmacovigilance practice guidelines adopted by the EMA.</w:t>
      </w:r>
    </w:p>
    <w:p>
      <w:pPr>
        <w:spacing w:after="0" w:line="29" w:lineRule="exact"/>
        <w:rPr>
          <w:rFonts w:ascii="Arial" w:cs="Arial" w:eastAsia="Arial" w:hAnsi="Arial"/>
          <w:sz w:val="16"/>
          <w:szCs w:val="16"/>
          <w:color w:val="auto"/>
        </w:rPr>
      </w:pPr>
    </w:p>
    <w:p>
      <w:pPr>
        <w:ind w:left="900" w:right="400" w:hanging="325"/>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Advertising and promotion</w:t>
      </w:r>
      <w:r>
        <w:rPr>
          <w:rFonts w:ascii="Arial" w:cs="Arial" w:eastAsia="Arial" w:hAnsi="Arial"/>
          <w:sz w:val="18"/>
          <w:szCs w:val="18"/>
          <w:color w:val="auto"/>
        </w:rPr>
        <w:t>—MAHs remain responsible for all advertising and promotion of its products, including promotional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companies or individuals on their behalf and in some cases must conduct internal or regulatory pre-approval of promotional materials. Regulation in this area also covers interactions with healthcare practitioners and/or patient groups, and in some jurisdictions legal or self-regulatory obligations to disclose such interactions exist.</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Medical affairs/scientific service</w:t>
      </w:r>
      <w:r>
        <w:rPr>
          <w:rFonts w:ascii="Arial" w:cs="Arial" w:eastAsia="Arial" w:hAnsi="Arial"/>
          <w:sz w:val="18"/>
          <w:szCs w:val="18"/>
          <w:color w:val="auto"/>
        </w:rPr>
        <w:t>—MAHs are required to disseminate scientific and medical information on its medicinal products to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professionals, regulators and patients. Legal representation and distributor issues. MAHs are responsible for regulatory actions or inactions of their distributors and agents.</w:t>
      </w:r>
    </w:p>
    <w:p>
      <w:pPr>
        <w:spacing w:after="0" w:line="86" w:lineRule="exact"/>
        <w:rPr>
          <w:rFonts w:ascii="Arial" w:cs="Arial" w:eastAsia="Arial" w:hAnsi="Arial"/>
          <w:sz w:val="18"/>
          <w:szCs w:val="18"/>
          <w:color w:val="auto"/>
        </w:rPr>
      </w:pPr>
    </w:p>
    <w:p>
      <w:pPr>
        <w:ind w:left="900" w:right="200" w:hanging="325"/>
        <w:spacing w:after="0" w:line="297"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Preparation, filing and maintenance of the application and subsequent marketing authorization</w:t>
      </w:r>
      <w:r>
        <w:rPr>
          <w:rFonts w:ascii="Arial" w:cs="Arial" w:eastAsia="Arial" w:hAnsi="Arial"/>
          <w:sz w:val="16"/>
          <w:szCs w:val="16"/>
          <w:color w:val="auto"/>
        </w:rPr>
        <w:t>— MAHs must maintain appropriate records,</w:t>
      </w:r>
      <w:r>
        <w:rPr>
          <w:rFonts w:ascii="Arial" w:cs="Arial" w:eastAsia="Arial" w:hAnsi="Arial"/>
          <w:sz w:val="16"/>
          <w:szCs w:val="16"/>
          <w:i w:val="1"/>
          <w:iCs w:val="1"/>
          <w:color w:val="auto"/>
        </w:rPr>
        <w:t xml:space="preserve"> </w:t>
      </w:r>
      <w:r>
        <w:rPr>
          <w:rFonts w:ascii="Arial" w:cs="Arial" w:eastAsia="Arial" w:hAnsi="Arial"/>
          <w:sz w:val="16"/>
          <w:szCs w:val="16"/>
          <w:color w:val="auto"/>
        </w:rPr>
        <w:t>comply with the marketing authorization’s terms and conditions, fulfill reporting obligations to regulators, submit renewal applications and pay all appropriate fees to the authorities. We may hold any future marketing authorizations granted for our product candidates in our own name, or appoint an affiliate or a collaboration partner to hold marketing authorizations on our behalf. Any failure by an MAH to comply with these obligations may result in regulatory action against an MAH and ultimately threaten our ability to commercialize our products.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Price and Reimbursement</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European Union, the pricing and reimbursement mechanisms by private and public health insurers vary largely by country and even within countries. The public systems reimbursement for standard drugs is determined by guidelines established by the legislator or responsible national authority. The approach taken varies by Member State. Some jurisdictions operate positive and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healthcare costs in general, particularly prescription drugs, has become very intense. As a result, increasingly high barriers are being erected to the entry of new products and some of EU countries require the completion of studies that compare the cost-effectiveness of a particular product candidate to currently available therapies in order to obtain reimbursement or pricing approval.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 based rules of reimbursement may apply.</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certain common activities from prosecution, the exceptions and safe harbors are drawn narrowly, and our practices may not in all cases meet all of the criteria for a statutory exception or safe harbor protection.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Patient Protection and Affordable Care Act as amended by the Health Care and Education Reconciliation Act, or collectively, PPACA, amended the intent requirement under the Anti-Kickback Statute and criminal healthcare fraud statutes (discussed below) such that a person or entity no longer needs to have actual knowledge of the statute or the specific intent to violate it in order to have committed a violation. In addition, PPACA provides that the government may assert that a claim including items or services resulting from a violation of the federal Anti-Kickback Statute constitutes a false or fraudulent claim for purposes of the civil False Claims Act (discussed below). Further,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 The federal Health Insurance Portability and Accountability Act of 1996, or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or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Additionally, the PPACA also included the federal Physician Payments Sunshine Act, which requires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88"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Also, many states have similar healthcare statutes or regulations that apply to items and services reimbursed under Medicaid and other state programs, or, in several states, apply regardless of the payor. Certain states require the posting of information relating to clinical studies, pharmaceutical companies to implement a comprehensive compliance program that includes a limit on expenditures for, or payments to, individual medical or health professionals and track and report gifts and other payments made to physicians and other healthcare providers.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both domestic and foreign markets, our sales of any approved products will depend in part on the availability of coverage and adequate reimbursement from third-party payors. Third-party payors include government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if approved,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w:t>
      </w:r>
    </w:p>
    <w:p>
      <w:pPr>
        <w:spacing w:after="0" w:line="17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significant uncertainty exists as to the coverage and reimbursement status of newly approved healthcare product candidates.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 candidates will be considered cost-effective. Because coverage and reimbursement determinations are made on a payor-by-payor basis, obtaining acceptable coverage and reimbursement from one payor does not guarantee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Company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8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Furthermore,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to the healthcare system that could affect our future results of operations as we begin to directly commercialize our products.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particular, there have been and continue to be a number of initiatives at the U.S. federal and state level that seek to reduce healthcare costs. Initiatives to reduce the federal deficit and to reform healthcare delivery are increasing cost-containment efforts. We anticipate that Congress, state legislatures and the private sector will continue to review and assess alternative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March 2010, PPACA was signed into law. PPACA has the potential to substantially change the way healthcare is financed by both governmental and private insurers. PPACA, among other things, established an annual, nondeductible fee on any entity that manufactures or imports certain branded prescription drugs and biologic agents; revised the methodology by which rebates owed by manufacturers for covered outpatient drugs under the Medicaid Drug Rebate Program are calculated; increased the minimum Medicaid rebates owed by most manufacturers under the Medicaid Drug Rebate Program; extended the Medicaid Drug Rebate program to utilization of certain injectable outpatient drugs, as well as prescriptions of individuals enrolled in Medicaid managed care organizations; required manufacturers to offer 50% point-of-sale discounts on negotiated prices of applicable brand drugs to eligible beneficiaries during their coverage gap period, as a condition for the manufacturer’s outpatient drugs to be covered under Medicare Part D; and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18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the future, there may continue to be additional proposals relating to the reform of the United States healthcare system, some of which could further limit the prices we are able to charge for our products candidates, or the amounts of reimbursement available for our product candidates.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Moreover, the recently enacted federal Drug Supply Chain Security Act imposes new obligations on manufacturers of 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Physician Payment Sunshine Act</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Physician Payment Sunshine Act requires most pharmaceutical manufacturers to report annually to the Secretary of HHS any and all financial arrangements, payments, or other transfers of value made by that entity to physicians and teaching hospitals. The payment information is made publicly available in a searchable format on a CMS website. Over the next several years, we will need to dedicate significant resources to establish and maintain systems and processes in order to comply with these regulations. Failure to comply with the reporting requirements can result in significant civil monetary penalties. Similar laws have been enacted or are under consideration in foreign jurisdictions, including France which has adopted the Loi Bertrand, or French Sunshine Act, which became effective in 2013.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Laws and Regulations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and the risk of injury, contamination or noncompliance with environmental, health and safety requirements cannot be eliminated. Although compliance with such laws and regulations and permitting requirements has not had a material effect on our capital expenditures, earnings or competitive position, environmental, health and safety laws and regulations and permitting requirements have tended to become increasingly stringent and, to the extent legal or regulatory changes occur in the future, they could result in, among other things, increased costs to us or the impairment of our research, development or production efforts.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June 30, 2016, we employed 62 employees, 9 of whom were part-time employees. 34 of our employees hold Ph.D. degrees and 19 hold M.Sc. degrees. Our 62 employees are from over 20 countries. We have never had a work stoppage, and none of our employees is represented by a labor organization or under any collective-bargaining arrangements. We consider our employee relations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lease approximately 10,700 square feet of space at the Innovation Park of the EPFL (École Polytechnique Fédérale Lausanne), Switzerland. This property serves as our corporate headquarters, our research facility and laboratories. We believe that using the EPFL facilities instead of building our own infrastructure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helps us to maximize the value of our research and development capital and make efficient use of our funds as we continue to build and develop our pipeline. Due to the expansion of our research and development team and addition of scientists, we have entered into an agreement with EPFL to lease an additional 240 square meters of space in the Innovation Park. We are planning to occupy this space in November, 2016. We believe that once we have this additional space, our existing facilities are sufficient to meet our current needs.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From time to time we may become involved in legal proceedings that arise in the ordinary course of business. During the period covered by the financial statements contained herein, we have not been a party to or paid any damages in connection with litigation that has had a material adverse effect on our financial position. No assurance can be given that future litigation will not have a material adverse effect on our financial position. When appropriate in management’s estimation, we may record reserves in our financial statements for pending litigation and other claims.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40"/>
          </w:cols>
          <w:pgMar w:left="240" w:top="459" w:right="3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Other Key Employees and Advisors and Board of Directors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following table presents information about our executive officers, other key employees and advisors and directors, including their ages, as at August 31, 2016. The term of each of our directors is one year and, accordingly, will expire at our 2016 annual shareholder meeting to be held in the fourth quarter of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340" w:type="dxa"/>
            <w:vAlign w:val="bottom"/>
            <w:vMerge w:val="restart"/>
          </w:tcPr>
          <w:p>
            <w:pPr>
              <w:spacing w:after="0"/>
              <w:rPr>
                <w:sz w:val="14"/>
                <w:szCs w:val="14"/>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6"/>
              </w:rPr>
              <w:t>Position</w:t>
            </w:r>
          </w:p>
        </w:tc>
        <w:tc>
          <w:tcPr>
            <w:tcW w:w="4560" w:type="dxa"/>
            <w:vAlign w:val="bottom"/>
            <w:vMerge w:val="restart"/>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Initial Year of</w:t>
            </w:r>
          </w:p>
        </w:tc>
        <w:tc>
          <w:tcPr>
            <w:tcW w:w="0" w:type="dxa"/>
            <w:vAlign w:val="bottom"/>
          </w:tcPr>
          <w:p>
            <w:pPr>
              <w:spacing w:after="0"/>
              <w:rPr>
                <w:sz w:val="1"/>
                <w:szCs w:val="1"/>
                <w:color w:val="auto"/>
              </w:rPr>
            </w:pPr>
          </w:p>
        </w:tc>
      </w:tr>
      <w:tr>
        <w:trPr>
          <w:trHeight w:val="185"/>
        </w:trPr>
        <w:tc>
          <w:tcPr>
            <w:tcW w:w="380" w:type="dxa"/>
            <w:vAlign w:val="bottom"/>
            <w:tcBorders>
              <w:bottom w:val="single" w:sz="8" w:color="auto"/>
            </w:tcBorders>
            <w:vMerge w:val="continue"/>
          </w:tcPr>
          <w:p>
            <w:pPr>
              <w:spacing w:after="0"/>
              <w:rPr>
                <w:sz w:val="16"/>
                <w:szCs w:val="16"/>
                <w:color w:val="auto"/>
              </w:rPr>
            </w:pPr>
          </w:p>
        </w:tc>
        <w:tc>
          <w:tcPr>
            <w:tcW w:w="4340" w:type="dxa"/>
            <w:vAlign w:val="bottom"/>
            <w:vMerge w:val="continue"/>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456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Appointment</w:t>
            </w:r>
          </w:p>
        </w:tc>
        <w:tc>
          <w:tcPr>
            <w:tcW w:w="0" w:type="dxa"/>
            <w:vAlign w:val="bottom"/>
          </w:tcPr>
          <w:p>
            <w:pPr>
              <w:spacing w:after="0"/>
              <w:rPr>
                <w:sz w:val="1"/>
                <w:szCs w:val="1"/>
                <w:color w:val="auto"/>
              </w:rPr>
            </w:pPr>
          </w:p>
        </w:tc>
      </w:tr>
      <w:tr>
        <w:trPr>
          <w:trHeight w:val="182"/>
        </w:trPr>
        <w:tc>
          <w:tcPr>
            <w:tcW w:w="47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Executive Officers</w:t>
            </w:r>
          </w:p>
        </w:tc>
        <w:tc>
          <w:tcPr>
            <w:tcW w:w="5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Andrea Pfeifer,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Andreas Muhs,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Scientific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George Pavey, CFA</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2"/>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Jean-Fabien Monin</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Administrative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0"/>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Other Key Employees and Advisors</w:t>
            </w:r>
          </w:p>
        </w:tc>
        <w:tc>
          <w:tcPr>
            <w:tcW w:w="5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Wolfgang Barth,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 of Development</w:t>
            </w:r>
          </w:p>
        </w:tc>
        <w:tc>
          <w:tcPr>
            <w:tcW w:w="240" w:type="dxa"/>
            <w:vAlign w:val="bottom"/>
          </w:tcPr>
          <w:p>
            <w:pPr>
              <w:jc w:val="right"/>
              <w:spacing w:after="0"/>
              <w:rPr>
                <w:sz w:val="20"/>
                <w:szCs w:val="20"/>
                <w:color w:val="auto"/>
              </w:rPr>
            </w:pPr>
            <w:r>
              <w:rPr>
                <w:rFonts w:ascii="Arial" w:cs="Arial" w:eastAsia="Arial" w:hAnsi="Arial"/>
                <w:sz w:val="18"/>
                <w:szCs w:val="18"/>
                <w:color w:val="auto"/>
              </w:rPr>
              <w:t>63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0"/>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David A. Lowe,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Innovation Fellow</w:t>
            </w:r>
          </w:p>
        </w:tc>
        <w:tc>
          <w:tcPr>
            <w:tcW w:w="240" w:type="dxa"/>
            <w:vAlign w:val="bottom"/>
          </w:tcPr>
          <w:p>
            <w:pPr>
              <w:jc w:val="right"/>
              <w:spacing w:after="0"/>
              <w:rPr>
                <w:sz w:val="20"/>
                <w:szCs w:val="20"/>
                <w:color w:val="auto"/>
              </w:rPr>
            </w:pPr>
            <w:r>
              <w:rPr>
                <w:rFonts w:ascii="Arial" w:cs="Arial" w:eastAsia="Arial" w:hAnsi="Arial"/>
                <w:sz w:val="18"/>
                <w:szCs w:val="18"/>
                <w:color w:val="auto"/>
              </w:rPr>
              <w:t>70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Joseph Wettstein</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Scientific Officer, Deputy and Head of Non-AD</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30"/>
        </w:trPr>
        <w:tc>
          <w:tcPr>
            <w:tcW w:w="4720" w:type="dxa"/>
            <w:vAlign w:val="bottom"/>
            <w:gridSpan w:val="2"/>
            <w:vMerge w:val="restart"/>
          </w:tcPr>
          <w:p>
            <w:pPr>
              <w:ind w:left="360"/>
              <w:spacing w:after="0"/>
              <w:rPr>
                <w:sz w:val="20"/>
                <w:szCs w:val="20"/>
                <w:color w:val="auto"/>
              </w:rPr>
            </w:pPr>
            <w:r>
              <w:rPr>
                <w:rFonts w:ascii="Arial" w:cs="Arial" w:eastAsia="Arial" w:hAnsi="Arial"/>
                <w:sz w:val="18"/>
                <w:szCs w:val="18"/>
                <w:color w:val="auto"/>
              </w:rPr>
              <w:t>Julian Gray, M.D.,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Proteinopathies</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720" w:type="dxa"/>
            <w:vAlign w:val="bottom"/>
            <w:gridSpan w:val="2"/>
            <w:vMerge w:val="continue"/>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Clinical Advisor</w:t>
            </w:r>
          </w:p>
        </w:tc>
        <w:tc>
          <w:tcPr>
            <w:tcW w:w="240" w:type="dxa"/>
            <w:vAlign w:val="bottom"/>
          </w:tcPr>
          <w:p>
            <w:pPr>
              <w:jc w:val="right"/>
              <w:spacing w:after="0"/>
              <w:rPr>
                <w:sz w:val="20"/>
                <w:szCs w:val="20"/>
                <w:color w:val="auto"/>
              </w:rPr>
            </w:pPr>
            <w:r>
              <w:rPr>
                <w:rFonts w:ascii="Arial" w:cs="Arial" w:eastAsia="Arial" w:hAnsi="Arial"/>
                <w:sz w:val="18"/>
                <w:szCs w:val="18"/>
                <w:color w:val="auto"/>
              </w:rPr>
              <w:t>59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20"/>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Non-Executive Directors</w:t>
            </w:r>
          </w:p>
        </w:tc>
        <w:tc>
          <w:tcPr>
            <w:tcW w:w="5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Martin Velasco</w:t>
            </w:r>
          </w:p>
        </w:tc>
        <w:tc>
          <w:tcPr>
            <w:tcW w:w="5060" w:type="dxa"/>
            <w:vAlign w:val="bottom"/>
            <w:gridSpan w:val="2"/>
          </w:tcPr>
          <w:p>
            <w:pPr>
              <w:spacing w:after="0"/>
              <w:rPr>
                <w:sz w:val="20"/>
                <w:szCs w:val="20"/>
                <w:color w:val="auto"/>
              </w:rPr>
            </w:pPr>
            <w:r>
              <w:rPr>
                <w:rFonts w:ascii="Arial" w:cs="Arial" w:eastAsia="Arial" w:hAnsi="Arial"/>
                <w:sz w:val="18"/>
                <w:szCs w:val="18"/>
                <w:color w:val="auto"/>
              </w:rPr>
              <w:t>Chairman and 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Detlev Riesner,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75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Mathias Hothum,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49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Friedrich von Bohlen und Halbach</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30"/>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Peter Bollmann</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current business addresses for our executive officers, other key employees and advisors, directors and director nominee is AC Immune SA, EPFL Innovation Park, Building B, 1015 Lausanne, Switzerland.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Andrea Pfeifer, Ph.D., Co-Founder, Chief Executive Officer and Director: </w:t>
      </w:r>
      <w:r>
        <w:rPr>
          <w:rFonts w:ascii="Arial" w:cs="Arial" w:eastAsia="Arial" w:hAnsi="Arial"/>
          <w:sz w:val="18"/>
          <w:szCs w:val="18"/>
          <w:color w:val="auto"/>
        </w:rPr>
        <w:t>Dr. Pfeifer co-founded AC Immune in April 2003, and has served as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since May 27, 2016. Prior to founding us, Dr. Pfeifer was head of Nestlé’s Global Research in Lausanne, Switzerland. While at Nestlé, she led the scientific development of the first Functional Food, LC1, and one of the first Cosmoceutical products in a joint venture with L’Oreal, Innéov Fermeté. She also co-founded the Nestlé Venture Capital Fund, a Life Sciences corporate venture fund. She serves as chairwoman of Investment Fund BioMedInvest, Basel and AB2 Bio, Lausanne and is a member of the Supervisory Board of Symrise AG, Holzminden. Dr. Pfeifer is a member of the CEOi Initiative on Alzheimer’s Disease.</w:t>
      </w:r>
    </w:p>
    <w:p>
      <w:pPr>
        <w:spacing w:after="0" w:line="19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Dr. Pfeifer holds a Ph.D. in Toxicology, Cancer Research from the University of Würzburg, Germany. She continued with post-doctoral work in Molecular Carcinogenesis at the National Institutes of Health, Human Carcinogenesis Branch, in Bethesda, Maryland. Dr. Pfeifer is a registered toxicologist and pharmacist. She received her habilitation from the University of Lausanne, Switzerland and is also an honorary professor at the Ecole Polytechnique Fédérale de Lausanne (EPFL).</w:t>
      </w:r>
    </w:p>
    <w:p>
      <w:pPr>
        <w:spacing w:after="0" w:line="183"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Andreas Muhs, Ph.D., Chief Scientific Officer: </w:t>
      </w:r>
      <w:r>
        <w:rPr>
          <w:rFonts w:ascii="Arial" w:cs="Arial" w:eastAsia="Arial" w:hAnsi="Arial"/>
          <w:sz w:val="18"/>
          <w:szCs w:val="18"/>
          <w:color w:val="auto"/>
        </w:rPr>
        <w:t>Dr. Muhs has served as our Chief Scientific Officer since 2005. Prior to joining AC Immune in 2005,</w:t>
      </w:r>
      <w:r>
        <w:rPr>
          <w:rFonts w:ascii="Arial" w:cs="Arial" w:eastAsia="Arial" w:hAnsi="Arial"/>
          <w:sz w:val="18"/>
          <w:szCs w:val="18"/>
          <w:b w:val="1"/>
          <w:bCs w:val="1"/>
          <w:color w:val="auto"/>
        </w:rPr>
        <w:t xml:space="preserve"> </w:t>
      </w:r>
      <w:r>
        <w:rPr>
          <w:rFonts w:ascii="Arial" w:cs="Arial" w:eastAsia="Arial" w:hAnsi="Arial"/>
          <w:sz w:val="18"/>
          <w:szCs w:val="18"/>
          <w:color w:val="auto"/>
        </w:rPr>
        <w:t>he was responsible for the development of the cardiac stem cell-based program to treat myocardial infarction, including worldwide pre-clinical program collaborations and technology transfers at ViaCell Inc., Cambridge, MA. Prior to ViaCell Inc., he was the Director of Pharmacology and Histology at Cardion AG where he developed research projects with translation into clinical applications in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fields of heart and circulation, angiogenesis and immunology and based on gene-, protein- and stem cell therapies. Dr. Muhs holds a Ph.D. in Biology from the University Düsseldorf, Germany, where he worked on regulation of endothelial barrier functions.</w:t>
      </w:r>
    </w:p>
    <w:p>
      <w:pPr>
        <w:spacing w:after="0" w:line="1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George Pavey, CFA, Chief Financial Officer: </w:t>
      </w:r>
      <w:r>
        <w:rPr>
          <w:rFonts w:ascii="Arial" w:cs="Arial" w:eastAsia="Arial" w:hAnsi="Arial"/>
          <w:sz w:val="18"/>
          <w:szCs w:val="18"/>
          <w:color w:val="auto"/>
        </w:rPr>
        <w:t>Mr. Pavey has served as our Chief Financial Officer since July 2015. Before joining AC Immune in</w:t>
      </w:r>
      <w:r>
        <w:rPr>
          <w:rFonts w:ascii="Arial" w:cs="Arial" w:eastAsia="Arial" w:hAnsi="Arial"/>
          <w:sz w:val="18"/>
          <w:szCs w:val="18"/>
          <w:b w:val="1"/>
          <w:bCs w:val="1"/>
          <w:color w:val="auto"/>
        </w:rPr>
        <w:t xml:space="preserve"> </w:t>
      </w:r>
      <w:r>
        <w:rPr>
          <w:rFonts w:ascii="Arial" w:cs="Arial" w:eastAsia="Arial" w:hAnsi="Arial"/>
          <w:sz w:val="18"/>
          <w:szCs w:val="18"/>
          <w:color w:val="auto"/>
        </w:rPr>
        <w:t>2015, Mr. Pavey was an independent financial advisor to a broad range of private and public companies from June 2013 to July 2015. Between 1991 and 2012, Mr. Pavey was an investment banker at various financial institutions including Credit Suisse, UBS and HSBC. His most recent role at Credit Suisse was that of Co-Head of the Global Markets Solutions Group for Asia-Pacific at Credit Suisse where he was responsible for Credit Suisse’s equity and debt capital markets businesses and structured products business across Asia-Pacific. He has a degree in Bachelor of Arts from the Richard Ivey School of Business, Canada. He is also a Chartered Financial Analyst.</w:t>
      </w:r>
    </w:p>
    <w:p>
      <w:pPr>
        <w:spacing w:after="0" w:line="188"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Jean-Fabien Monin, Chief Administrative Officer: </w:t>
      </w:r>
      <w:r>
        <w:rPr>
          <w:rFonts w:ascii="Arial" w:cs="Arial" w:eastAsia="Arial" w:hAnsi="Arial"/>
          <w:sz w:val="18"/>
          <w:szCs w:val="18"/>
          <w:color w:val="auto"/>
        </w:rPr>
        <w:t>Mr. Monin was nominated Chief Administrative Officer in July 2015 following his role as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Chief Financial Officer from March 2009 to July 2015. Prior to AC Immune, he held several positions during his tenure of 14 years at bioMérieux, a leading international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group, culminating in his nomination as Chief Financial Officer. His last position was CFO of bioMérieux Central Europe based in Vienna, Austria from December 2006 to March 2009. Mr. Monin holds a Masters in Finance and International Business from the University of Paris-Dauphine, France.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Employees and Advisors</w:t>
      </w:r>
    </w:p>
    <w:p>
      <w:pPr>
        <w:spacing w:after="0" w:line="117"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Wolfgang Barth, Ph.D., Director of Development: </w:t>
      </w:r>
      <w:r>
        <w:rPr>
          <w:rFonts w:ascii="Arial" w:cs="Arial" w:eastAsia="Arial" w:hAnsi="Arial"/>
          <w:sz w:val="18"/>
          <w:szCs w:val="18"/>
          <w:color w:val="auto"/>
        </w:rPr>
        <w:t>Dr. Barth has served as our Director of Development since June 2010. Prior to joining AC</w:t>
      </w:r>
      <w:r>
        <w:rPr>
          <w:rFonts w:ascii="Arial" w:cs="Arial" w:eastAsia="Arial" w:hAnsi="Arial"/>
          <w:sz w:val="18"/>
          <w:szCs w:val="18"/>
          <w:b w:val="1"/>
          <w:bCs w:val="1"/>
          <w:color w:val="auto"/>
        </w:rPr>
        <w:t xml:space="preserve"> </w:t>
      </w:r>
      <w:r>
        <w:rPr>
          <w:rFonts w:ascii="Arial" w:cs="Arial" w:eastAsia="Arial" w:hAnsi="Arial"/>
          <w:sz w:val="18"/>
          <w:szCs w:val="18"/>
          <w:color w:val="auto"/>
        </w:rPr>
        <w:t>Immune, he was the Head of Development at TRIN-Pharma. Previous to TRIN-Pharma, Dr. Barth was at Bayer Healthcare, where he was the responsible project leader of numerous preclinical and clinical development projects. The most important project was the development of the PDE5 inhibitor Levitra which he led from the start of preclinical development until market launch. Wolfgang Barth holds a Ph.D. in Chemistry from the University of Marburg and received a NATO stipend for a postdoctoral staff position at the Ohio State University.</w:t>
      </w:r>
    </w:p>
    <w:p>
      <w:pPr>
        <w:spacing w:after="0" w:line="184" w:lineRule="exact"/>
        <w:rPr>
          <w:sz w:val="20"/>
          <w:szCs w:val="20"/>
          <w:color w:val="auto"/>
        </w:rPr>
      </w:pPr>
    </w:p>
    <w:p>
      <w:pPr>
        <w:ind w:right="80" w:firstLine="456"/>
        <w:spacing w:after="0" w:line="295" w:lineRule="auto"/>
        <w:rPr>
          <w:sz w:val="20"/>
          <w:szCs w:val="20"/>
          <w:color w:val="auto"/>
        </w:rPr>
      </w:pPr>
      <w:r>
        <w:rPr>
          <w:rFonts w:ascii="Arial" w:cs="Arial" w:eastAsia="Arial" w:hAnsi="Arial"/>
          <w:sz w:val="16"/>
          <w:szCs w:val="16"/>
          <w:b w:val="1"/>
          <w:bCs w:val="1"/>
          <w:color w:val="auto"/>
        </w:rPr>
        <w:t xml:space="preserve">David A. Lowe, Ph.D., Innovation Fellow: </w:t>
      </w:r>
      <w:r>
        <w:rPr>
          <w:rFonts w:ascii="Arial" w:cs="Arial" w:eastAsia="Arial" w:hAnsi="Arial"/>
          <w:sz w:val="16"/>
          <w:szCs w:val="16"/>
          <w:color w:val="auto"/>
        </w:rPr>
        <w:t>Dr. Lowe has served as our Deputy Chief Scientific Officer and more recently as Innovation Fellow since</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2014. Previously, Dr. Lowe was the Chief Scientific Officer at PsychoGenics Inc., Chief Scientific Officer at Memory Pharmaceuticals (acquired by Roche), Executive Vice President and Chief Scientific Officer at Fidelity Biosciences Group in Boston, President, CEO and Director of Envivo Pharmaceuticals (now Forum Pharmaceuticals), Vice President and therapeutic area head at Roche Bioscience in Palo Alto, Vice President and global therapeutic area head at Bayer AG, and head of CNS Biology and deputy head of CNS Research at Sandoz Ltd (now Novartis). Dr. Lowe is also an adjunct professor of Neuroscience at the Icahn School of Medicine in New York City. He received his Ph.D. in Neurobiology from the University of Leeds, UK.</w:t>
      </w:r>
    </w:p>
    <w:p>
      <w:pPr>
        <w:spacing w:after="0" w:line="15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 xml:space="preserve">Joseph G. Wettstein, Ph.D., Chief Scientific Officer Deputy and Department Head of non-AD Proteinopathies: </w:t>
      </w:r>
      <w:r>
        <w:rPr>
          <w:rFonts w:ascii="Arial" w:cs="Arial" w:eastAsia="Arial" w:hAnsi="Arial"/>
          <w:sz w:val="18"/>
          <w:szCs w:val="18"/>
          <w:color w:val="auto"/>
        </w:rPr>
        <w:t>Dr. Wettstein has served as our</w:t>
      </w:r>
      <w:r>
        <w:rPr>
          <w:rFonts w:ascii="Arial" w:cs="Arial" w:eastAsia="Arial" w:hAnsi="Arial"/>
          <w:sz w:val="18"/>
          <w:szCs w:val="18"/>
          <w:b w:val="1"/>
          <w:bCs w:val="1"/>
          <w:color w:val="auto"/>
        </w:rPr>
        <w:t xml:space="preserve"> </w:t>
      </w:r>
      <w:r>
        <w:rPr>
          <w:rFonts w:ascii="Arial" w:cs="Arial" w:eastAsia="Arial" w:hAnsi="Arial"/>
          <w:sz w:val="18"/>
          <w:szCs w:val="18"/>
          <w:color w:val="auto"/>
        </w:rPr>
        <w:t>Chief Scientific Officer Deputy since February 2016 and leads all of our non-AD programs including our initiatives focused on Parkinson’s disease, Huntington’s disease and TDP-43 across both therapeutic and diagnostic programs. Prior to AC Immune, Dr. Wettstein was Vice President in Neuroscience with Roche Pharmaceuticals in Basel where he oversaw R&amp;D activities associated with programs designed to discover drugs for patients covering a range of brain disorders including Parkinson’s, schizophrenia, Huntington’s, Down syndrome, Alzheimer’s, autism, bipolar disorder, depression and Fragile X. As Head of Systems Pharmacology, CNS Research at Aventis, he played a critical role in the discovery of the immunomodulatory drug teriflunomide (Aubagio</w:t>
      </w:r>
      <w:r>
        <w:rPr>
          <w:rFonts w:ascii="Arial" w:cs="Arial" w:eastAsia="Arial" w:hAnsi="Arial"/>
          <w:sz w:val="15"/>
          <w:szCs w:val="15"/>
          <w:color w:val="auto"/>
        </w:rPr>
        <w:t>®</w:t>
      </w:r>
      <w:r>
        <w:rPr>
          <w:rFonts w:ascii="Arial" w:cs="Arial" w:eastAsia="Arial" w:hAnsi="Arial"/>
          <w:sz w:val="18"/>
          <w:szCs w:val="18"/>
          <w:color w:val="auto"/>
        </w:rPr>
        <w:t>) for multiple sclerosis. Dr. Wettstein holds a Ph.D. from the College of Medicine at the University of Kentucky and was a Postdoctoral Fellow then instructor at Harvard Medical School.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Julian Gray, M.D., Ph.D., Clinical Advisor: </w:t>
      </w:r>
      <w:r>
        <w:rPr>
          <w:rFonts w:ascii="Arial" w:cs="Arial" w:eastAsia="Arial" w:hAnsi="Arial"/>
          <w:sz w:val="17"/>
          <w:szCs w:val="17"/>
          <w:color w:val="auto"/>
        </w:rPr>
        <w:t>Dr. Gray has served as Clinical Advisor to our programs in neurodegenerative diseases since January</w:t>
      </w:r>
      <w:r>
        <w:rPr>
          <w:rFonts w:ascii="Arial" w:cs="Arial" w:eastAsia="Arial" w:hAnsi="Arial"/>
          <w:sz w:val="17"/>
          <w:szCs w:val="17"/>
          <w:b w:val="1"/>
          <w:bCs w:val="1"/>
          <w:color w:val="auto"/>
        </w:rPr>
        <w:t xml:space="preserve"> </w:t>
      </w:r>
      <w:r>
        <w:rPr>
          <w:rFonts w:ascii="Arial" w:cs="Arial" w:eastAsia="Arial" w:hAnsi="Arial"/>
          <w:sz w:val="17"/>
          <w:szCs w:val="17"/>
          <w:color w:val="auto"/>
        </w:rPr>
        <w:t>2007 and works in this function exclusively for AC Immune. He has previously held the position of Head of CNS Therapeutics at Eisai Ltd in London leading the global development of early and late-stage CNS projects in Alzheimer’s disease, Parkinson’s disease and other CNS areas. Prior to this he served as Head of Alzheimer Clinical Research at Hoffmann-La Roche in Basel where he conducted large scale clinical trials in the US and Europe. After his studies he was Medical Expert at Sandoz Pharmaceuticals in Basel undertaking clinical studies of different compounds in dementia and Parkinson’s disease. Dr Gray holds the title of a Specialist in Pharmaceutical Medicine (Switzerland). He received his medical degree (MBBS) from the University of London, a BA and Ph.D. from the University of Oxford and an MBA from the Oxford Brookes University.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11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b w:val="1"/>
          <w:bCs w:val="1"/>
          <w:color w:val="auto"/>
        </w:rPr>
        <w:t xml:space="preserve">Martin Velasco, Chairman and Director: </w:t>
      </w:r>
      <w:r>
        <w:rPr>
          <w:rFonts w:ascii="Arial" w:cs="Arial" w:eastAsia="Arial" w:hAnsi="Arial"/>
          <w:sz w:val="16"/>
          <w:szCs w:val="16"/>
          <w:color w:val="auto"/>
        </w:rPr>
        <w:t>Mr. Velasco has served on our board of directors since December 2003. Martin Velasco is an entrepreneur</w:t>
      </w:r>
      <w:r>
        <w:rPr>
          <w:rFonts w:ascii="Arial" w:cs="Arial" w:eastAsia="Arial" w:hAnsi="Arial"/>
          <w:sz w:val="16"/>
          <w:szCs w:val="16"/>
          <w:b w:val="1"/>
          <w:bCs w:val="1"/>
          <w:color w:val="auto"/>
        </w:rPr>
        <w:t xml:space="preserve"> </w:t>
      </w:r>
      <w:r>
        <w:rPr>
          <w:rFonts w:ascii="Arial" w:cs="Arial" w:eastAsia="Arial" w:hAnsi="Arial"/>
          <w:sz w:val="16"/>
          <w:szCs w:val="16"/>
          <w:color w:val="auto"/>
        </w:rPr>
        <w:t>and Business Angel with extensive experience in the IT, medical and biotech areas. He serves on the board of directors or advisory board of several other high-tech companies including: as Founder, Chairman and Chief Executive Officer of Anecova, an assisted reproductive technology (ART) company and World Economic Forum Technology Pioneer 2008, as Founder and Chairman of Sumerian, an Analytics company transforming Big Data into business focused IT intelligence, as Chairman of the Supervisory Board of Cocomore, a digital communications agency and IT services firm, as Board Member of Aridhia, a Health Informatics company, and as Board Member of Aleva Neurotherapeutics, a Deep Brain Stimulation (DBS) company. Martin is also the Founder and Chairman of Infantia Foundation, a philanthropic organization aiding children in the developing world. He is a member of the Board of BlueOrchard, the leading private microfinance investment advisory company, member of the Strategic Advisory Board of the EPFL, Vice President of the Board of the Foundation EPFL</w:t>
      </w:r>
      <w:r>
        <w:rPr>
          <w:rFonts w:ascii="Arial" w:cs="Arial" w:eastAsia="Arial" w:hAnsi="Arial"/>
          <w:sz w:val="16"/>
          <w:szCs w:val="16"/>
          <w:b w:val="1"/>
          <w:bCs w:val="1"/>
          <w:color w:val="auto"/>
        </w:rPr>
        <w:t>+</w:t>
      </w:r>
      <w:r>
        <w:rPr>
          <w:rFonts w:ascii="Arial" w:cs="Arial" w:eastAsia="Arial" w:hAnsi="Arial"/>
          <w:sz w:val="16"/>
          <w:szCs w:val="16"/>
          <w:color w:val="auto"/>
        </w:rPr>
        <w:t xml:space="preserve"> and Vice Chairman of the European Tech Tour Association.</w:t>
      </w:r>
    </w:p>
    <w:p>
      <w:pPr>
        <w:spacing w:after="0" w:line="16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Detlev H. Riesner, Ph.D., Director: </w:t>
      </w:r>
      <w:r>
        <w:rPr>
          <w:rFonts w:ascii="Arial" w:cs="Arial" w:eastAsia="Arial" w:hAnsi="Arial"/>
          <w:sz w:val="18"/>
          <w:szCs w:val="18"/>
          <w:color w:val="auto"/>
        </w:rPr>
        <w:t>Prof. Riesner has served on our board since 2004. He held the Chair of Biophysics at the Heinrich-Heine-University in Düsseldorf, Germany from 1980 to 2007. He has also held the positions of Dean of the Science Faculty and Vice-President of Research. In 2007 he became member of the university’s Board of Trustees. He worked as a research fellow at Princeton University and held a guest professorship at the department of Neurology at the University of California, San Francisco. Prof. Riesner is a co-founder of Qiagen N.V., Netherlands, was a member and from 1999 to 2014 chairman of the Supervisory Board. He was also a member of the supervisory boards of NewLab Bioquality AG, Erkrath, Direvo AG, Köln, and Alantos AG, Heidelberg. Prof. Riesner was a member of the scientific advisory boards of the Friedrich-Löffler-Institut, Isle of Riems, and PrioNet and APRI, both Canada. He received the Max-Planck Forschungspreis for International Co-operation and the Bundesverdienstkreuz 1. Klasse from the Bundespresident of Germany.</w:t>
      </w:r>
    </w:p>
    <w:p>
      <w:pPr>
        <w:spacing w:after="0" w:line="185"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 xml:space="preserve">Mathias Hothum, Ph.D., Director: </w:t>
      </w:r>
      <w:r>
        <w:rPr>
          <w:rFonts w:ascii="Arial" w:cs="Arial" w:eastAsia="Arial" w:hAnsi="Arial"/>
          <w:sz w:val="18"/>
          <w:szCs w:val="18"/>
          <w:color w:val="auto"/>
        </w:rPr>
        <w:t>Dr. Hothum has served on our board of directors since April 2013. He is managing director of dievini, a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investment fund. He holds a Ph.D. in Economics from the University of Magdeburg, Germany. Dr. Hothum is a board member of various companies in the dievini portfolio and is the chairman of the advisory board of joimax GmbH.</w:t>
      </w:r>
    </w:p>
    <w:p>
      <w:pPr>
        <w:spacing w:after="0" w:line="176"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Friedrich von Bohlen und Halbach, Ph.D., Director: </w:t>
      </w:r>
      <w:r>
        <w:rPr>
          <w:rFonts w:ascii="Arial" w:cs="Arial" w:eastAsia="Arial" w:hAnsi="Arial"/>
          <w:sz w:val="18"/>
          <w:szCs w:val="18"/>
          <w:color w:val="auto"/>
        </w:rPr>
        <w:t>Dr. von Bohlen has served on our board since October 2015. He is co-founder and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dievini Hopp BioTech holding GmbH &amp; Co. KG. He brings extensive industry experience from Fresenius AG, FAG Kugelfischer, and WASAG-Chemie AG, founded LION bioscience AG in 1997 (now SYGNIS Pharma AG) and served as the company’s CEO. Dr. von Bohlen is a board member of various companies of the dievini portfolio and Chairman of Apogenix AG, CureVac AG and Molecular Health GmbH. He holds a PhD in Neurobiology from the Swiss Federal Institute of Technology in Zurich, Switzerland.</w:t>
      </w:r>
    </w:p>
    <w:p>
      <w:pPr>
        <w:spacing w:after="0" w:line="184"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 xml:space="preserve">Peter Bollmann, Ph.D., Director: </w:t>
      </w:r>
      <w:r>
        <w:rPr>
          <w:rFonts w:ascii="Arial" w:cs="Arial" w:eastAsia="Arial" w:hAnsi="Arial"/>
          <w:sz w:val="18"/>
          <w:szCs w:val="18"/>
          <w:color w:val="auto"/>
        </w:rPr>
        <w:t>Dr. Bollmann has joined our board in December 2015. He has extensive management and finance experience in</w:t>
      </w:r>
      <w:r>
        <w:rPr>
          <w:rFonts w:ascii="Arial" w:cs="Arial" w:eastAsia="Arial" w:hAnsi="Arial"/>
          <w:sz w:val="18"/>
          <w:szCs w:val="18"/>
          <w:b w:val="1"/>
          <w:bCs w:val="1"/>
          <w:color w:val="auto"/>
        </w:rPr>
        <w:t xml:space="preserve"> </w:t>
      </w:r>
      <w:r>
        <w:rPr>
          <w:rFonts w:ascii="Arial" w:cs="Arial" w:eastAsia="Arial" w:hAnsi="Arial"/>
          <w:sz w:val="18"/>
          <w:szCs w:val="18"/>
          <w:color w:val="auto"/>
        </w:rPr>
        <w:t>Switzerland and abroad as CEO, CFO and member of the board. His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broad industry experience embraces biotechnology and medical technology firms including previous Board positions with Cytos Biotechnology and Prionics.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 After This Offering</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Our board of directors is composed of six members. Each director is elected for a one-year term. The current members of our board of directors were appointed at a shareholders’ meeting held on April 14, 2015 to serve until the 2016 shareholders’ meeting to be held in the fourth quarter of 2016.</w:t>
      </w: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be a foreign private issuer. As a result, in accordance with the NASDAQ stock exchange listing requirements, we will rely on home country governance requirements and certain exemptions thereunder rather than relying on the stock exchange corporate governance requirements. For an overview of our corporate governance principles, see “Description of Share Capital and Articles of Association.”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 foreign private issuer, under the listing requirements and rules of NASDAQ, we are not required to have independent directors on our board of directors, except to the extent that our audit and finance committee is required to comply with independence requirements, subject to certain phase-in schedules. However, our board of directors has determined that, under current listing requirements and rules of NASDAQ (which we are not subject to) and taking account any applicable committee independence standards, Martin Velasco, Detlev Riesner and Peter Bollmann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Our board of directors will establish two separate committees prior to the consummation of this offering: an audit and finance committee and a compensation, nomination and governance committee.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and Finance Committee</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audit and finance committee, which is expected to consist of Peter Bollmann, Detlev Riesner and Martin Velasco, will assist our board of directors in overseeing our accounting and financial reporting processes and the audits of our financial statements. In addition, the audit and finance committee will be directly responsible for the appointment, compensation, retention and oversight of the work of our independent registered public accounting firm. Peter Bollmann will serve as Chairman of the committee. The audit and finance committee will consist exclusively of members of our supervisory board who are financially literate, and Peter Bollmann is considered an “audit committee financial expert” as defined by the SEC. Our board of directors has determined that Peter Bollmann, Detlev Riesner and Martin Velasco satisfy the “independence” requirements set forth in Rule 10A-3 under the Exchange Act.</w:t>
      </w:r>
    </w:p>
    <w:p>
      <w:pPr>
        <w:spacing w:after="0" w:line="16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audit and finance committee will be governed by a charter that complies with NASDAQ rules. Upon the completion of this offering, the audit and finance committee has the responsibility to, among other things:</w:t>
      </w:r>
    </w:p>
    <w:p>
      <w:pPr>
        <w:spacing w:after="0" w:line="76"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 and assess the qualifications, independence, performance and effectiveness of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review the scope of the prospective audit by the independent auditor, the estimated fees, and any other matters pertaining to the audit;</w:t>
      </w:r>
    </w:p>
    <w:p>
      <w:pPr>
        <w:spacing w:after="0" w:line="142" w:lineRule="exact"/>
        <w:rPr>
          <w:rFonts w:ascii="Arial" w:cs="Arial" w:eastAsia="Arial" w:hAnsi="Arial"/>
          <w:sz w:val="17"/>
          <w:szCs w:val="17"/>
          <w:color w:val="auto"/>
        </w:rPr>
      </w:pPr>
    </w:p>
    <w:p>
      <w:pPr>
        <w:jc w:val="center"/>
        <w:ind w:left="5580" w:right="540" w:hanging="5005"/>
        <w:spacing w:after="0" w:line="449"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approve any audit and non-audit services proposed to be provided by the independent auditor to ensure independent auditor independence; 147</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and assess the independent auditor’s report, management letters and take notice of all comments of the independent auditor on accounting procedures and systems of control, and review the independent auditor’s reports with management;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be responsible for the resolution of disagreements between the management and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and evaluate the lead audit partner of the independent audit team and confirm and evaluate their rotation;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review, discuss with the chief financial officer and the independent auditor and approve (i) the annual and quarterly financial statements,</w:t>
      </w:r>
    </w:p>
    <w:p>
      <w:pPr>
        <w:spacing w:after="0" w:line="34" w:lineRule="exact"/>
        <w:rPr>
          <w:rFonts w:ascii="Arial" w:cs="Arial" w:eastAsia="Arial" w:hAnsi="Arial"/>
          <w:sz w:val="17"/>
          <w:szCs w:val="17"/>
          <w:color w:val="auto"/>
        </w:rPr>
      </w:pPr>
    </w:p>
    <w:p>
      <w:pPr>
        <w:ind w:left="900" w:right="160"/>
        <w:spacing w:after="0" w:line="255" w:lineRule="auto"/>
        <w:rPr>
          <w:rFonts w:ascii="Arial" w:cs="Arial" w:eastAsia="Arial" w:hAnsi="Arial"/>
          <w:sz w:val="17"/>
          <w:szCs w:val="17"/>
          <w:color w:val="auto"/>
        </w:rPr>
      </w:pPr>
      <w:r>
        <w:rPr>
          <w:rFonts w:ascii="Arial" w:cs="Arial" w:eastAsia="Arial" w:hAnsi="Arial"/>
          <w:sz w:val="18"/>
          <w:szCs w:val="18"/>
          <w:color w:val="auto"/>
        </w:rPr>
        <w:t>(ii) reports intended for publication and (iii) any other financial statements intended for publication to consider significant financial reporting issues and judgments made in connection with the preparation of our financial statements, including any significant changes in our selection or application of accounting principles;</w:t>
      </w:r>
    </w:p>
    <w:p>
      <w:pPr>
        <w:spacing w:after="0" w:line="95" w:lineRule="exact"/>
        <w:rPr>
          <w:rFonts w:ascii="Arial" w:cs="Arial" w:eastAsia="Arial" w:hAnsi="Arial"/>
          <w:sz w:val="17"/>
          <w:szCs w:val="17"/>
          <w:color w:val="auto"/>
        </w:rPr>
      </w:pPr>
    </w:p>
    <w:p>
      <w:pPr>
        <w:ind w:left="900" w:right="60" w:hanging="325"/>
        <w:spacing w:after="0" w:line="25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with the management, personnel responsible for the design and implementation of the internal audit function and the independent auditor in separate meetings any analysis or other written communication prepared by the management and/or the independent auditor setting forth significant financial reporting issues and judgments made in connection with the preparation of the financial statements, including critical accounting policies, the effect of regulatory and accounting initiatives, as well as off-balance sheet transactions and structures on our financial statements;</w:t>
      </w:r>
    </w:p>
    <w:p>
      <w:pPr>
        <w:spacing w:after="0" w:line="93"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and approve our quarterly financial statements for the first three quarters of each calendar year and the corresponding financial results releases;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in cooperation with the independent auditor and the management whether the accounting principles applied are appropriate in view of our size and complexity;</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periodically review our policies and procedures for risk management and assess the effectiveness thereof including discussing with management our major financial risk exposures and the steps that have been taken to monitor and control such exposures;</w:t>
      </w:r>
    </w:p>
    <w:p>
      <w:pPr>
        <w:spacing w:after="0" w:line="75" w:lineRule="exact"/>
        <w:rPr>
          <w:rFonts w:ascii="Arial" w:cs="Arial" w:eastAsia="Arial" w:hAnsi="Arial"/>
          <w:sz w:val="18"/>
          <w:szCs w:val="18"/>
          <w:color w:val="auto"/>
        </w:rPr>
      </w:pPr>
    </w:p>
    <w:p>
      <w:pPr>
        <w:ind w:left="900" w:right="180" w:hanging="325"/>
        <w:spacing w:after="0" w:line="308" w:lineRule="auto"/>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discuss with management and external advisors any legal matters that may have a material impact on our financial statements and any material reports or inquiries from regulatory or governmental agencies which could materially impact our contingent liabilities and risks;</w:t>
      </w:r>
    </w:p>
    <w:p>
      <w:pPr>
        <w:spacing w:after="0" w:line="51" w:lineRule="exact"/>
        <w:rPr>
          <w:rFonts w:ascii="Arial" w:cs="Arial" w:eastAsia="Arial" w:hAnsi="Arial"/>
          <w:sz w:val="17"/>
          <w:szCs w:val="17"/>
          <w:color w:val="auto"/>
        </w:rPr>
      </w:pPr>
    </w:p>
    <w:p>
      <w:pPr>
        <w:ind w:left="900" w:right="48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our disclosure controls and procedures and internal control over financial reporting which shall include significant deficiencies and material weaknesses in the design or operation of internal controls over financial reporting;</w:t>
      </w:r>
    </w:p>
    <w:p>
      <w:pPr>
        <w:spacing w:after="0" w:line="75"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establish procedures for the receipt, retention and treatment of complaints received regarding accounting, internal accounting controls or auditing matters, and the confidential, anonymous submission by employees of concerns regarding questionable accounting or auditing matters; and</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recommend to the board whether to approve and ratify any related person transaction in accordance with our related person transaction policy.</w:t>
      </w:r>
    </w:p>
    <w:p>
      <w:pPr>
        <w:spacing w:after="0" w:line="24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audit and finance committee will meet as often as it determines is appropriate to carry out its responsibilities, but in any event will meet at least four times per year.</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Nomination and Governance Committee</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The compensation, nomination and governance committee, which is expected to consist of Detlev Riesner (chair) and Martin Velasco, will assist our board of directors in overseeing our cash compensation and equity award recommendations for our executive officers along with the rationale for such recommendations, as well as summary information regarding the aggregate compensation provided to our executive officers. Swiss law</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60"/>
          </w:cols>
          <w:pgMar w:left="240" w:top="459" w:right="2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requires that we adopt a compensation committee, so in accordance with NASDAQ Listing Rule 5615(a)(3), we will follow home country requirements with respect to the compensation, nomination and governance committee.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 We will be subject to the Swiss Ordinance Against Executive Compensation (“Say on Pay” Rule). This means that the compensation of our board of directors and Executive Officers must be presented by the board of directors to our shareholders and our shareholders must vote on the proposed compensation.</w:t>
      </w:r>
    </w:p>
    <w:p>
      <w:pPr>
        <w:spacing w:after="0" w:line="17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this committee will also be responsible for director and board committee nominations as well as reviewing and amending, if required, our corporate governance framework and guidelines.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connection with this offering, we will adopt a Code of Business Conduct and Ethics, or the Code of Conduct, that is applicable to all of our employees, executive officers and directors. Following the completion of this offering, the Code of Conduct will be available on our website www.acimmune.com. The audit and finance committee of our board of directors will be responsible for overseeing the Code of Conduct and will be required to approve any waivers of the Code of Conduct for employees, executive officers and directors. We expect that any amendments to the Code of Conduct, or any waivers of its requirements, will be disclosed on our website.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year ended December 31, 2015, the aggregate compensation accrued or paid to the members of our board of directors and our executive officers for services in all capacities was CHF 1,784,000.</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During the year ended December 31, 2015, the total payment made to directors and executive officers under performance incentive plans was CHF 495,000.</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amount set aside or accrued by us to provide pension, retirement or similar benefits to members of our board of directors or executive officers amounted to a total of CHF 124,000 in the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Following the completion of this offering, we intend to cease issuing new grants under our existing equity incentive plans, which we refer to as the Prior Plans, and to adopt a new omnibus equity incentive plan under which we would have the discretion to grant a broad range of equity-based awards to eligible participants.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Prior Plans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Since our inception in 2003, we have had four separate Prior Plans: Plan A, which was established in 2003/2004 and amended in June 2015; Plan B, which was established in 2005; Plan C1, which was established in 2006; and Plan C2, which was also established in 2006 but which is intended specifically for members of our board of directors to purchase our common shares. Due to a change in the taxation of options in 2013, we introduced a new Equity Incentive Plan in 2013. As of August 31, 2016, there were 598,500 and 1,597,750 common shares underlying outstanding unvested options and vested options granted pursuant to our Prior Plans, respectively.</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feature was removed. Instead, employees have the right, but not the obligation, to have their unvested options accelerated such that they vest immediately. A total of 1,250 options could be accelerated in the event this offering is completed.</w:t>
      </w:r>
    </w:p>
    <w:p>
      <w:pPr>
        <w:spacing w:after="0" w:line="170" w:lineRule="exact"/>
        <w:rPr>
          <w:sz w:val="20"/>
          <w:szCs w:val="20"/>
          <w:color w:val="auto"/>
        </w:rPr>
      </w:pPr>
    </w:p>
    <w:p>
      <w:pPr>
        <w:jc w:val="both"/>
        <w:ind w:right="200" w:firstLine="456"/>
        <w:spacing w:after="0" w:line="342"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Under each of the Prior Plans, an option, which can only be granted with the approval of our board of directors, is evidenced by</w:t>
      </w:r>
      <w:r>
        <w:rPr>
          <w:rFonts w:ascii="Arial" w:cs="Arial" w:eastAsia="Arial" w:hAnsi="Arial"/>
          <w:sz w:val="16"/>
          <w:szCs w:val="16"/>
          <w:i w:val="1"/>
          <w:iCs w:val="1"/>
          <w:color w:val="auto"/>
        </w:rPr>
        <w:t xml:space="preserve"> </w:t>
      </w:r>
      <w:r>
        <w:rPr>
          <w:rFonts w:ascii="Arial" w:cs="Arial" w:eastAsia="Arial" w:hAnsi="Arial"/>
          <w:sz w:val="16"/>
          <w:szCs w:val="16"/>
          <w:color w:val="auto"/>
        </w:rPr>
        <w:t>an option agreement signed by the participant to indicate his or her acceptance of the option subject to the terms and conditions of the applicable Prior Plan.</w:t>
      </w:r>
    </w:p>
    <w:p>
      <w:pPr>
        <w:spacing w:after="0" w:line="124"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Under Plans A, B and C1, options were granted to our directors, employees, advisors and agents. Under Plan C2, options were granted only</w:t>
      </w:r>
      <w:r>
        <w:rPr>
          <w:rFonts w:ascii="Arial" w:cs="Arial" w:eastAsia="Arial" w:hAnsi="Arial"/>
          <w:sz w:val="16"/>
          <w:szCs w:val="16"/>
          <w:i w:val="1"/>
          <w:iCs w:val="1"/>
          <w:color w:val="auto"/>
        </w:rPr>
        <w:t xml:space="preserve"> </w:t>
      </w:r>
      <w:r>
        <w:rPr>
          <w:rFonts w:ascii="Arial" w:cs="Arial" w:eastAsia="Arial" w:hAnsi="Arial"/>
          <w:sz w:val="16"/>
          <w:szCs w:val="16"/>
          <w:color w:val="auto"/>
        </w:rPr>
        <w:t>to selected members of our board of directors. Under the Equity Incentive Plan 2013, options were granted to our director, employees, advisors and agents.</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Option Exercise Price</w:t>
      </w:r>
      <w:r>
        <w:rPr>
          <w:rFonts w:ascii="Arial" w:cs="Arial" w:eastAsia="Arial" w:hAnsi="Arial"/>
          <w:sz w:val="18"/>
          <w:szCs w:val="18"/>
          <w:color w:val="auto"/>
        </w:rPr>
        <w:t>. With the exception of Plan A, the exercise price of all options issued under the Prior Plans is CHF 0.14548 per share. The</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 exercise price for options issued under Plan A was CHF 0.93186 per share. However, this exercise price was amended in June 2015 with the approval of our board of directors to be CHF 0.14548 per share. As a result, as of August 31, 2016, all options outstanding under our Prior Plans have an exercise price of CHF 0.14548 per share.</w:t>
      </w:r>
    </w:p>
    <w:p>
      <w:pPr>
        <w:spacing w:after="0" w:line="187" w:lineRule="exact"/>
        <w:rPr>
          <w:sz w:val="20"/>
          <w:szCs w:val="20"/>
          <w:color w:val="auto"/>
        </w:rPr>
      </w:pPr>
    </w:p>
    <w:p>
      <w:pPr>
        <w:jc w:val="both"/>
        <w:ind w:right="480" w:firstLine="456"/>
        <w:spacing w:after="0" w:line="279" w:lineRule="auto"/>
        <w:rPr>
          <w:sz w:val="20"/>
          <w:szCs w:val="20"/>
          <w:color w:val="auto"/>
        </w:rPr>
      </w:pPr>
      <w:r>
        <w:rPr>
          <w:rFonts w:ascii="Arial" w:cs="Arial" w:eastAsia="Arial" w:hAnsi="Arial"/>
          <w:sz w:val="17"/>
          <w:szCs w:val="17"/>
          <w:i w:val="1"/>
          <w:iCs w:val="1"/>
          <w:color w:val="auto"/>
        </w:rPr>
        <w:t>Vesting Period</w:t>
      </w:r>
      <w:r>
        <w:rPr>
          <w:rFonts w:ascii="Arial" w:cs="Arial" w:eastAsia="Arial" w:hAnsi="Arial"/>
          <w:sz w:val="17"/>
          <w:szCs w:val="17"/>
          <w:color w:val="auto"/>
        </w:rPr>
        <w:t>. The vesting periods of options issued under our Prior Plans vary. The options granted under Plan A vested immediately but were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 four year lockup period. The options granted under Plan B vested over a four year period with 25% of these options vested after one year of service and thereafter, 6.25% of the options granted vesting each quarter. Under Plan C1, the vesting period for options was four years with 25% of the options vesting each year. Under Plan C2, options were immediately exercisable.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Our board of directors has the authority to amend each of the Prior Plans.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Consideration</w:t>
      </w:r>
    </w:p>
    <w:p>
      <w:pPr>
        <w:spacing w:after="0" w:line="117"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We have granted our Chief Financial Officer, in the aggregate, options that will give him the right to acquire 196,750 shares. Contingent upon continued employment and approval of our Board of Directors, such options will vest as follows:</w:t>
      </w:r>
    </w:p>
    <w:p>
      <w:pPr>
        <w:spacing w:after="0" w:line="76" w:lineRule="exact"/>
        <w:rPr>
          <w:sz w:val="20"/>
          <w:szCs w:val="20"/>
          <w:color w:val="auto"/>
        </w:rPr>
      </w:pPr>
    </w:p>
    <w:p>
      <w:pPr>
        <w:jc w:val="both"/>
        <w:ind w:left="900" w:right="60" w:hanging="325"/>
        <w:spacing w:after="0" w:line="286" w:lineRule="auto"/>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45,000 shares which became purchasable on July 15, 2015, on a four year period at a price of CHF 0.14548 per share with 25% having vested on July 14, 2016 and a further 25% vesting on each of July 14, 2017, July 14, 2018 and July 14, 2019; upon consummation of the proposed IPO, the 33,750 unvested options will be accelerated and will vest upon consummation of the IPO; and</w:t>
      </w:r>
    </w:p>
    <w:p>
      <w:pPr>
        <w:spacing w:after="0" w:line="70"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98,500 shares which were granted on July 15, 2016 at a price of CHF 0.14548 per share and will vest over a four year period with 25% vesting on each of July 14, 2017, July 14, 2018, July 14, 2019 and July 14, 2020; and</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53,250 shares which will be granted on July 15, 2017 at a price to be determined in July 2017 and will vest over a four year period with 25% of the granted options vesting on each of July 14, 2018, July 14, 2019, July 14, 2020 and July 14, 2021.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table presents information relating to the beneficial ownership of our common shares as of August 31, 2016, as if the conversion of our preferred shares into common shares on a one-for-one basis had occurred, by:</w:t>
      </w:r>
    </w:p>
    <w:p>
      <w:pPr>
        <w:spacing w:after="0" w:line="76"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common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2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Upon completion of this offering, all of our outstanding preferred shares will be converted into common shares on a one-for-one basis and we will have only one class of shares issued and outstanding. All holders of our common shares will have the same voting rights upon the completion of this offering.</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 to acquire within 60 days of August 31, 2016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9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percentage of outstanding common shares is computed on the basis of 49,396,042 common shares outstanding as of August 31, 2016 (including the additional common shares issuable upon conversion of all of our preferred shares into common shares on a one-for-one basis upon the closing of this offering). Common shares that a person has the right to acquire within 60 days of August 31, 2016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Unless otherwise indicated below, the address for each beneficial owner is AC Immune, EPFL Innovation Park, Building B, Lausanne. As of August 31, 2016, a total of 3,428,409 of our common shares (including the additional common shares issuable upon conversion of all of our preferred shares into common shares on a one-for-one basis upon the closing of this offering) were held by a total of 14 U.S. record holders.</w:t>
      </w:r>
    </w:p>
    <w:p>
      <w:pPr>
        <w:spacing w:after="0" w:line="17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Certain of our existing shareholders have agreed to purchase an aggregate of 1.9 million of the common shares being offered in this offering at the initial public offering price. The underwriters will receive the same underwriting discount on any common shares purchased by these investors as they will on any other common shares sold to the public in this offering.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The percentage of common shares beneficially owned before this offering is computed on the basis of common shares issued and outstanding as of August 31, 2016. The percentage of common shares beneficially owned after this offering is based on 55,396,042 common shares that will be issued and outstanding upon the completion of this offering (including the additional common shares issuable upon conversion of all of our preferred shares, including the preferred shares issued in the Series E Private Placement Extension, on a one-for-one basis upon the closing of this offering). For purposes of computing percentage ownership after this offering, we have assumed the issuance and sale by us of an aggregate of 6,000,000 common shares in this offering and that the underwriters will not exercise their option to purchase additional shares from us.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Percent of Shares</w:t>
            </w: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9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1"/>
              </w:rPr>
              <w:t>Shares Beneficially Owned</w:t>
            </w:r>
          </w:p>
        </w:tc>
        <w:tc>
          <w:tcPr>
            <w:tcW w:w="14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Percent of Shares</w:t>
            </w: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92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rPr>
              <w:t>Before This Offering</w:t>
            </w:r>
          </w:p>
        </w:tc>
        <w:tc>
          <w:tcPr>
            <w:tcW w:w="1460" w:type="dxa"/>
            <w:vAlign w:val="bottom"/>
            <w:gridSpan w:val="2"/>
            <w:vMerge w:val="continue"/>
          </w:tcPr>
          <w:p>
            <w:pPr>
              <w:spacing w:after="0"/>
              <w:rPr>
                <w:sz w:val="12"/>
                <w:szCs w:val="12"/>
                <w:color w:val="auto"/>
              </w:rPr>
            </w:pPr>
          </w:p>
        </w:tc>
        <w:tc>
          <w:tcPr>
            <w:tcW w:w="1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Assuming Full Exercise</w:t>
            </w:r>
          </w:p>
        </w:tc>
        <w:tc>
          <w:tcPr>
            <w:tcW w:w="0" w:type="dxa"/>
            <w:vAlign w:val="bottom"/>
          </w:tcPr>
          <w:p>
            <w:pPr>
              <w:spacing w:after="0"/>
              <w:rPr>
                <w:sz w:val="1"/>
                <w:szCs w:val="1"/>
                <w:color w:val="auto"/>
              </w:rPr>
            </w:pPr>
          </w:p>
        </w:tc>
      </w:tr>
      <w:tr>
        <w:trPr>
          <w:trHeight w:val="27"/>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 Shareholders</w:t>
            </w: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vMerge w:val="restart"/>
          </w:tcPr>
          <w:p>
            <w:pPr>
              <w:jc w:val="right"/>
              <w:ind w:right="260"/>
              <w:spacing w:after="0" w:line="126" w:lineRule="exact"/>
              <w:rPr>
                <w:sz w:val="20"/>
                <w:szCs w:val="20"/>
                <w:color w:val="auto"/>
              </w:rPr>
            </w:pPr>
            <w:r>
              <w:rPr>
                <w:rFonts w:ascii="Arial" w:cs="Arial" w:eastAsia="Arial" w:hAnsi="Arial"/>
                <w:sz w:val="14"/>
                <w:szCs w:val="14"/>
                <w:b w:val="1"/>
                <w:bCs w:val="1"/>
                <w:color w:val="auto"/>
                <w:w w:val="91"/>
              </w:rPr>
              <w:t>Beneficially Owned</w:t>
            </w:r>
          </w:p>
        </w:tc>
        <w:tc>
          <w:tcPr>
            <w:tcW w:w="1600" w:type="dxa"/>
            <w:vAlign w:val="bottom"/>
            <w:gridSpan w:val="2"/>
            <w:vMerge w:val="restart"/>
          </w:tcPr>
          <w:p>
            <w:pPr>
              <w:jc w:val="center"/>
              <w:ind w:right="180"/>
              <w:spacing w:after="0" w:line="126" w:lineRule="exact"/>
              <w:rPr>
                <w:sz w:val="20"/>
                <w:szCs w:val="20"/>
                <w:color w:val="auto"/>
              </w:rPr>
            </w:pPr>
            <w:r>
              <w:rPr>
                <w:rFonts w:ascii="Arial" w:cs="Arial" w:eastAsia="Arial" w:hAnsi="Arial"/>
                <w:sz w:val="14"/>
                <w:szCs w:val="14"/>
                <w:b w:val="1"/>
                <w:bCs w:val="1"/>
                <w:color w:val="auto"/>
                <w:w w:val="96"/>
              </w:rPr>
              <w:t>of Underwriters’ Over-</w:t>
            </w:r>
          </w:p>
        </w:tc>
        <w:tc>
          <w:tcPr>
            <w:tcW w:w="0" w:type="dxa"/>
            <w:vAlign w:val="bottom"/>
          </w:tcPr>
          <w:p>
            <w:pPr>
              <w:spacing w:after="0"/>
              <w:rPr>
                <w:sz w:val="1"/>
                <w:szCs w:val="1"/>
                <w:color w:val="auto"/>
              </w:rPr>
            </w:pPr>
          </w:p>
        </w:tc>
      </w:tr>
      <w:tr>
        <w:trPr>
          <w:trHeight w:val="79"/>
        </w:trPr>
        <w:tc>
          <w:tcPr>
            <w:tcW w:w="6440" w:type="dxa"/>
            <w:vAlign w:val="bottom"/>
            <w:gridSpan w:val="2"/>
            <w:vMerge w:val="continue"/>
          </w:tcPr>
          <w:p>
            <w:pPr>
              <w:spacing w:after="0"/>
              <w:rPr>
                <w:sz w:val="6"/>
                <w:szCs w:val="6"/>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Number</w:t>
            </w: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Percent</w:t>
            </w:r>
          </w:p>
        </w:tc>
        <w:tc>
          <w:tcPr>
            <w:tcW w:w="1460" w:type="dxa"/>
            <w:vAlign w:val="bottom"/>
            <w:gridSpan w:val="2"/>
            <w:vMerge w:val="continue"/>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4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After This Offering</w:t>
            </w: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Allotment Option</w:t>
            </w:r>
          </w:p>
        </w:tc>
        <w:tc>
          <w:tcPr>
            <w:tcW w:w="0" w:type="dxa"/>
            <w:vAlign w:val="bottom"/>
          </w:tcPr>
          <w:p>
            <w:pPr>
              <w:spacing w:after="0"/>
              <w:rPr>
                <w:sz w:val="1"/>
                <w:szCs w:val="1"/>
                <w:color w:val="auto"/>
              </w:rPr>
            </w:pPr>
          </w:p>
        </w:tc>
      </w:tr>
      <w:tr>
        <w:trPr>
          <w:trHeight w:val="129"/>
        </w:trPr>
        <w:tc>
          <w:tcPr>
            <w:tcW w:w="14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5% Shareholders</w:t>
            </w:r>
          </w:p>
        </w:tc>
        <w:tc>
          <w:tcPr>
            <w:tcW w:w="50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40" w:type="dxa"/>
            <w:vAlign w:val="bottom"/>
            <w:gridSpan w:val="2"/>
          </w:tcPr>
          <w:p>
            <w:pPr>
              <w:spacing w:after="0" w:line="149" w:lineRule="exact"/>
              <w:rPr>
                <w:sz w:val="20"/>
                <w:szCs w:val="20"/>
                <w:color w:val="auto"/>
              </w:rPr>
            </w:pPr>
            <w:r>
              <w:rPr>
                <w:rFonts w:ascii="Arial" w:cs="Arial" w:eastAsia="Arial" w:hAnsi="Arial"/>
                <w:sz w:val="14"/>
                <w:szCs w:val="14"/>
                <w:color w:val="auto"/>
              </w:rPr>
              <w:t>dievini Hopp BioTech holding GmbH &amp; Co KG(1)</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18,041,000</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36.5%</w:t>
            </w: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32.6%</w:t>
            </w:r>
          </w:p>
        </w:tc>
        <w:tc>
          <w:tcPr>
            <w:tcW w:w="1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Varuma AG(2)</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11,400,000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23.1%</w:t>
            </w: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20.6%</w:t>
            </w:r>
          </w:p>
        </w:tc>
        <w:tc>
          <w:tcPr>
            <w:tcW w:w="1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57"/>
        </w:trPr>
        <w:tc>
          <w:tcPr>
            <w:tcW w:w="644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 and Directors</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Andrea Pfeifer(3)</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3,083,250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w:t>
            </w: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1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6440" w:type="dxa"/>
            <w:vAlign w:val="bottom"/>
            <w:gridSpan w:val="2"/>
          </w:tcPr>
          <w:p>
            <w:pPr>
              <w:spacing w:after="0" w:line="149" w:lineRule="exact"/>
              <w:rPr>
                <w:sz w:val="20"/>
                <w:szCs w:val="20"/>
                <w:color w:val="auto"/>
              </w:rPr>
            </w:pPr>
            <w:r>
              <w:rPr>
                <w:rFonts w:ascii="Arial" w:cs="Arial" w:eastAsia="Arial" w:hAnsi="Arial"/>
                <w:sz w:val="14"/>
                <w:szCs w:val="14"/>
                <w:color w:val="auto"/>
              </w:rPr>
              <w:t>Andreas Muhs(4)</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898,500</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w:t>
            </w:r>
          </w:p>
        </w:tc>
        <w:tc>
          <w:tcPr>
            <w:tcW w:w="1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George Pavey(5)</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143,500</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440" w:type="dxa"/>
            <w:vAlign w:val="bottom"/>
            <w:gridSpan w:val="2"/>
          </w:tcPr>
          <w:p>
            <w:pPr>
              <w:spacing w:after="0" w:line="149" w:lineRule="exact"/>
              <w:rPr>
                <w:sz w:val="20"/>
                <w:szCs w:val="20"/>
                <w:color w:val="auto"/>
              </w:rPr>
            </w:pPr>
            <w:r>
              <w:rPr>
                <w:rFonts w:ascii="Arial" w:cs="Arial" w:eastAsia="Arial" w:hAnsi="Arial"/>
                <w:sz w:val="14"/>
                <w:szCs w:val="14"/>
                <w:color w:val="auto"/>
              </w:rPr>
              <w:t>Jean-Fabien Monin(6)</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327,500</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Martin Velasco(7)</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949,750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1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6440" w:type="dxa"/>
            <w:vAlign w:val="bottom"/>
            <w:gridSpan w:val="2"/>
          </w:tcPr>
          <w:p>
            <w:pPr>
              <w:spacing w:after="0" w:line="149" w:lineRule="exact"/>
              <w:rPr>
                <w:sz w:val="20"/>
                <w:szCs w:val="20"/>
                <w:color w:val="auto"/>
              </w:rPr>
            </w:pPr>
            <w:r>
              <w:rPr>
                <w:rFonts w:ascii="Arial" w:cs="Arial" w:eastAsia="Arial" w:hAnsi="Arial"/>
                <w:sz w:val="14"/>
                <w:szCs w:val="14"/>
                <w:color w:val="auto"/>
              </w:rPr>
              <w:t>Mathias Hothum(8)</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51,250</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Detlev Riesner(9)</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618,750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1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6440" w:type="dxa"/>
            <w:vAlign w:val="bottom"/>
            <w:gridSpan w:val="2"/>
          </w:tcPr>
          <w:p>
            <w:pPr>
              <w:spacing w:after="0" w:line="149" w:lineRule="exact"/>
              <w:rPr>
                <w:sz w:val="20"/>
                <w:szCs w:val="20"/>
                <w:color w:val="auto"/>
              </w:rPr>
            </w:pPr>
            <w:r>
              <w:rPr>
                <w:rFonts w:ascii="Arial" w:cs="Arial" w:eastAsia="Arial" w:hAnsi="Arial"/>
                <w:sz w:val="14"/>
                <w:szCs w:val="14"/>
                <w:color w:val="auto"/>
              </w:rPr>
              <w:t>Friedrich von Bohlen und Halbach(10)</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78,750</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Bollmann</w:t>
            </w: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440" w:type="dxa"/>
            <w:vAlign w:val="bottom"/>
            <w:gridSpan w:val="2"/>
          </w:tcPr>
          <w:p>
            <w:pPr>
              <w:spacing w:after="0"/>
              <w:rPr>
                <w:sz w:val="20"/>
                <w:szCs w:val="20"/>
                <w:color w:val="auto"/>
              </w:rPr>
            </w:pPr>
            <w:r>
              <w:rPr>
                <w:rFonts w:ascii="Arial" w:cs="Arial" w:eastAsia="Arial" w:hAnsi="Arial"/>
                <w:sz w:val="14"/>
                <w:szCs w:val="14"/>
                <w:color w:val="auto"/>
              </w:rPr>
              <w:t>All executive officers and directors as a group (9 persons)</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6,151,250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12.5%</w:t>
            </w: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11.1%</w:t>
            </w:r>
          </w:p>
        </w:tc>
        <w:tc>
          <w:tcPr>
            <w:tcW w:w="1600" w:type="dxa"/>
            <w:vAlign w:val="bottom"/>
            <w:gridSpan w:val="2"/>
          </w:tcPr>
          <w:p>
            <w:pPr>
              <w:jc w:val="right"/>
              <w:ind w:right="40"/>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Indicates beneficial ownership of less than 1% of the total issued and outstanding common shares.</w:t>
      </w:r>
    </w:p>
    <w:p>
      <w:pPr>
        <w:ind w:left="460" w:right="180" w:hanging="452"/>
        <w:spacing w:after="0" w:line="238" w:lineRule="auto"/>
        <w:tabs>
          <w:tab w:leader="none" w:pos="460"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18,041,000 shares held by dievini Hopp BioTech holding GmbH &amp; Co KG. Dietmar Hopp and Oliver Hopp control the voting and investment decisions of the ultimate parent company of dievini Hopp BioTech holding GmbH &amp; Co KG. The shares registered in the name of dievini Hopp BioTech holding GmbH &amp; Co KG may also be deemed to be beneficially owned by Friedrich von Bohlen und Halbach and Mathias Hothum, each of whom is a managing director of dievini Hopp BioTech holding GmbH &amp; Co KG. The address for dievini Hopp BioTech holding GmbH &amp; Co KG, Friedrich von Bohlen und Halbach and Mathias Hothum is Johann-Jakob-Astor Str. 57, 69190 Walldorf, Germany.</w:t>
      </w:r>
    </w:p>
    <w:p>
      <w:pPr>
        <w:spacing w:after="0" w:line="1" w:lineRule="exact"/>
        <w:rPr>
          <w:rFonts w:ascii="Arial" w:cs="Arial" w:eastAsia="Arial" w:hAnsi="Arial"/>
          <w:sz w:val="13"/>
          <w:szCs w:val="13"/>
          <w:color w:val="auto"/>
        </w:rPr>
      </w:pPr>
    </w:p>
    <w:p>
      <w:pPr>
        <w:ind w:left="460" w:hanging="452"/>
        <w:spacing w:after="0" w:line="221" w:lineRule="auto"/>
        <w:tabs>
          <w:tab w:leader="none" w:pos="4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address for Varuma AG is Aeschenvorstadt 55, CH-4051 Basel, Switzerland. Rudolf Maag controls the voting and investment decisions of Varuma AG.</w:t>
      </w:r>
    </w:p>
    <w:p>
      <w:pPr>
        <w:ind w:left="460" w:hanging="452"/>
        <w:spacing w:after="0" w:line="221" w:lineRule="auto"/>
        <w:tabs>
          <w:tab w:leader="none" w:pos="4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2,915,250 of our common shares and options to purchase 168,000 of our common shares exercisable within 60 days of August 31, 2016.</w:t>
      </w:r>
    </w:p>
    <w:p>
      <w:pPr>
        <w:ind w:left="460" w:hanging="452"/>
        <w:spacing w:after="0" w:line="221" w:lineRule="auto"/>
        <w:tabs>
          <w:tab w:leader="none" w:pos="4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410,000 of our common shares and options to purchase 488,500 of our common shares exercisable within 60 days of August 31, 2016.</w:t>
      </w:r>
    </w:p>
    <w:p>
      <w:pPr>
        <w:ind w:left="460" w:right="200" w:hanging="452"/>
        <w:spacing w:after="0" w:line="221" w:lineRule="auto"/>
        <w:tabs>
          <w:tab w:leader="none" w:pos="4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options to purchase 45,000 of our common shares exercisable within 60 days of August 31, 2016 and options to purchase 98,500 of our common shares exercisable over a four year period between July 2016 and July 2020.</w:t>
      </w:r>
    </w:p>
    <w:p>
      <w:pPr>
        <w:ind w:left="460" w:hanging="452"/>
        <w:spacing w:after="0" w:line="221" w:lineRule="auto"/>
        <w:tabs>
          <w:tab w:leader="none" w:pos="4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265,000 of our common shares and options to purchase 62,500 of our common shares exercisable within 60 days of August 31, 2016.</w:t>
      </w:r>
    </w:p>
    <w:p>
      <w:pPr>
        <w:ind w:left="460" w:right="380" w:hanging="452"/>
        <w:spacing w:after="0" w:line="221" w:lineRule="auto"/>
        <w:tabs>
          <w:tab w:leader="none" w:pos="4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939,500 of our common shares and options to purchase 10,250 of our common shares exercisable within 60 days of August 31, 2016. Includes shares held through an entity controlled by Mr. Velasco and, as such, Mr. Velasco has sole voting and dispositive power over such shares.</w:t>
      </w:r>
    </w:p>
    <w:p>
      <w:pPr>
        <w:ind w:left="460" w:right="120" w:hanging="452"/>
        <w:spacing w:after="0" w:line="221" w:lineRule="auto"/>
        <w:tabs>
          <w:tab w:leader="none" w:pos="4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options to purchase 51,250 of our common shares exercisable within 60 days of August 31, 2016, and excludes the 18,041,000 shares registered in the name of dievini Hopp BioTech holding CmbH &amp; Co KG that may also be deemed to be beneficially owned by Friedrich von Bohlen und Halbach. See note (1) above. Mr. Hothum disclaims beneficial ownership of these shares except to the extent of any pecuniary interest therein.</w:t>
      </w:r>
    </w:p>
    <w:p>
      <w:pPr>
        <w:ind w:left="460" w:hanging="452"/>
        <w:spacing w:after="0" w:line="221" w:lineRule="auto"/>
        <w:tabs>
          <w:tab w:leader="none" w:pos="4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613,750 of our common shares and options to purchase 5,000 of our common shares exercisable within 60 days of August 31, 2016.</w:t>
      </w:r>
    </w:p>
    <w:p>
      <w:pPr>
        <w:jc w:val="both"/>
        <w:ind w:left="460" w:right="80" w:hanging="452"/>
        <w:spacing w:after="0" w:line="271" w:lineRule="auto"/>
        <w:tabs>
          <w:tab w:leader="none" w:pos="460" w:val="left"/>
        </w:tabs>
        <w:numPr>
          <w:ilvl w:val="0"/>
          <w:numId w:val="92"/>
        </w:numPr>
        <w:rPr>
          <w:rFonts w:ascii="Arial" w:cs="Arial" w:eastAsia="Arial" w:hAnsi="Arial"/>
          <w:sz w:val="13"/>
          <w:szCs w:val="13"/>
          <w:color w:val="auto"/>
        </w:rPr>
      </w:pPr>
      <w:r>
        <w:rPr>
          <w:rFonts w:ascii="Arial" w:cs="Arial" w:eastAsia="Arial" w:hAnsi="Arial"/>
          <w:sz w:val="13"/>
          <w:szCs w:val="13"/>
          <w:color w:val="auto"/>
        </w:rPr>
        <w:t>Consists of 78,750 of our common shares, and excludes the 18,041,000 shares registered in the name of dievini Hopp BioTech holding CmbH &amp; Co KG that may also be beneficially owned by Friedrich von Bohlen und Halbach. See note (1) above. Mr. von Bohlen und Halbach disclaims beneficial ownership of these shares except to the extent of any pecuniary interest therein.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2013 with any of our executive officers, directors and holders of more than 10% of any class of our voting securities, or any member of the immediate family of any of the foregoing persons, other than the compensation arrangements we describe under “Management.”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Series D Preferred Shares Financing</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October 2013, we agreed to the terms of our Series D preferred share financing with certain of our existing shareholders, including dievini Hopp BioTech holding GmbH &amp; Co GK, Varuma AG, Dr. Riesner and Dr. Andrea Pfeifer. These shareholders agreed to subscribe to a CHF 20 million capital increase with an understanding that the capital increase would be executed via two separate tranches on the same terms. Subsequently, we offered our shareholders the option to subscribe for 4,122,500 Preferred Series D Shares for CHF 4.8516 each (in two tranches), and all shares were subscribed by current shareholders. On December 10, 2013, we entered into agreement with our shareholders and investors pursuant to which we agreed to issue 2,061,250 Series D preferred shares in exchange for a contribution of CHF 10 million as a first tranche and an additional 2,061,250 Series D preferred shares in exchange for a contribution of CHF 10 million. The 2,061,250 Series D shares of the first tranche were issued on January 7, 2014 for CHF 10 million and the 2,061,250 Series D shares of the second tranche were issued on July 7, 2014 for CHF 10 million.</w:t>
      </w:r>
    </w:p>
    <w:p>
      <w:pPr>
        <w:spacing w:after="0" w:line="17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the number of our Series D preferred shares purchased by our executive officers, directors and certain related parties and their affiliates: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06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w w:val="90"/>
              </w:rPr>
              <w:t>Series D Preferred Shares</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Series D Preferred Shares Total</w:t>
            </w: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dievini Hopp BioTech GmbH &amp; Co KG</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2,366,500</w:t>
            </w:r>
          </w:p>
        </w:tc>
        <w:tc>
          <w:tcPr>
            <w:tcW w:w="14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Varuma AG</w:t>
            </w:r>
          </w:p>
        </w:tc>
        <w:tc>
          <w:tcPr>
            <w:tcW w:w="1580" w:type="dxa"/>
            <w:vAlign w:val="bottom"/>
          </w:tcPr>
          <w:p>
            <w:pPr>
              <w:jc w:val="right"/>
              <w:spacing w:after="0"/>
              <w:rPr>
                <w:sz w:val="20"/>
                <w:szCs w:val="20"/>
                <w:color w:val="auto"/>
              </w:rPr>
            </w:pPr>
            <w:r>
              <w:rPr>
                <w:rFonts w:ascii="Arial" w:cs="Arial" w:eastAsia="Arial" w:hAnsi="Arial"/>
                <w:sz w:val="18"/>
                <w:szCs w:val="18"/>
                <w:color w:val="auto"/>
              </w:rPr>
              <w:t>1,433,500</w:t>
            </w:r>
          </w:p>
        </w:tc>
        <w:tc>
          <w:tcPr>
            <w:tcW w:w="14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1,433,500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Dr. Andrea Pfeifer</w:t>
            </w:r>
          </w:p>
        </w:tc>
        <w:tc>
          <w:tcPr>
            <w:tcW w:w="306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12,500</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Dr. Riesner(1)</w:t>
            </w:r>
          </w:p>
        </w:tc>
        <w:tc>
          <w:tcPr>
            <w:tcW w:w="3060" w:type="dxa"/>
            <w:vAlign w:val="bottom"/>
            <w:gridSpan w:val="2"/>
          </w:tcPr>
          <w:p>
            <w:pPr>
              <w:jc w:val="right"/>
              <w:ind w:right="1480"/>
              <w:spacing w:after="0"/>
              <w:rPr>
                <w:sz w:val="20"/>
                <w:szCs w:val="20"/>
                <w:color w:val="auto"/>
              </w:rPr>
            </w:pPr>
            <w:r>
              <w:rPr>
                <w:rFonts w:ascii="Arial" w:cs="Arial" w:eastAsia="Arial" w:hAnsi="Arial"/>
                <w:sz w:val="18"/>
                <w:szCs w:val="18"/>
                <w:color w:val="auto"/>
              </w:rPr>
              <w:t>58,000</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58,000</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3,870,500</w:t>
            </w:r>
          </w:p>
        </w:tc>
        <w:tc>
          <w:tcPr>
            <w:tcW w:w="1480" w:type="dxa"/>
            <w:vAlign w:val="bottom"/>
            <w:shd w:val="clear" w:color="auto" w:fill="CCEEFF"/>
          </w:tcPr>
          <w:p>
            <w:pPr>
              <w:spacing w:after="0"/>
              <w:rPr>
                <w:sz w:val="18"/>
                <w:szCs w:val="18"/>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3,870,500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64"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Dr. Riesner acquired a total of 58,000 preferred shares as part of the Series D financing with 2,000 preferred shares being acquired by Dr. Riesner directly, 4,000 shares being acquired by Dr. Riesner’s wife, Hannelore Riesner, and 52,000 shares being acquired by Riesner Verwaltungs GmbH / Peter Esser.</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following table sets forth the number of our Series E preferred shares purchased for $9.6384 per share by our executive officers, directors and certain related parties and their affiliates: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240" w:type="dxa"/>
            <w:vAlign w:val="bottom"/>
            <w:gridSpan w:val="2"/>
          </w:tcPr>
          <w:p>
            <w:pPr>
              <w:ind w:left="280"/>
              <w:spacing w:after="0"/>
              <w:rPr>
                <w:sz w:val="20"/>
                <w:szCs w:val="20"/>
                <w:color w:val="auto"/>
              </w:rPr>
            </w:pPr>
            <w:r>
              <w:rPr>
                <w:rFonts w:ascii="Arial" w:cs="Arial" w:eastAsia="Arial" w:hAnsi="Arial"/>
                <w:sz w:val="14"/>
                <w:szCs w:val="14"/>
                <w:b w:val="1"/>
                <w:bCs w:val="1"/>
                <w:color w:val="auto"/>
              </w:rPr>
              <w:t>Series E</w:t>
            </w: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Series E</w:t>
            </w:r>
          </w:p>
        </w:tc>
      </w:tr>
      <w:tr>
        <w:trPr>
          <w:trHeight w:val="171"/>
        </w:trPr>
        <w:tc>
          <w:tcPr>
            <w:tcW w:w="6760" w:type="dxa"/>
            <w:vAlign w:val="bottom"/>
          </w:tcPr>
          <w:p>
            <w:pPr>
              <w:spacing w:after="0"/>
              <w:rPr>
                <w:sz w:val="14"/>
                <w:szCs w:val="14"/>
                <w:color w:val="auto"/>
              </w:rPr>
            </w:pPr>
          </w:p>
        </w:tc>
        <w:tc>
          <w:tcPr>
            <w:tcW w:w="224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90"/>
              </w:rPr>
              <w:t>Preferred Shares</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Preferred Shares Total</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dievini Hopp BioTech GmbH &amp; Co KG</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Varuma AG</w:t>
            </w:r>
          </w:p>
        </w:tc>
        <w:tc>
          <w:tcPr>
            <w:tcW w:w="2240" w:type="dxa"/>
            <w:vAlign w:val="bottom"/>
            <w:gridSpan w:val="2"/>
          </w:tcPr>
          <w:p>
            <w:pPr>
              <w:jc w:val="right"/>
              <w:ind w:right="1180"/>
              <w:spacing w:after="0"/>
              <w:rPr>
                <w:sz w:val="20"/>
                <w:szCs w:val="20"/>
                <w:color w:val="auto"/>
              </w:rPr>
            </w:pPr>
            <w:r>
              <w:rPr>
                <w:rFonts w:ascii="Arial" w:cs="Arial" w:eastAsia="Arial" w:hAnsi="Arial"/>
                <w:sz w:val="18"/>
                <w:szCs w:val="18"/>
                <w:color w:val="auto"/>
              </w:rPr>
              <w:t>547,000</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547,000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6"/>
          <w:szCs w:val="16"/>
          <w:color w:val="auto"/>
        </w:rPr>
        <w:t>We and all of our then-existing shareholders entered into a shareholders agreement in November 2013, which replaced a prior shareholders agreement entered into in November 2008. The agreement entered into in November 2013 provided our shareholders with certain board nomination rights, pre-emptive subscription rights, certain rights of first refusal and tag-along rights. The agreement was replaced by a shareholders agreement entered into in October 2015 in connection with the Series E Private Placement. However, the October 2015 agreement will terminate in connection with this offering.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entered into a registration rights agreement in connection with the Series E Private Placement with dievini Hopp BioTech holding GmbH &amp; Co KG, Varuma AG and certain investors in the Series E Private Placement pursuant to which we granted them certain demand and piggyback registration rights for the resale of the common shares held by them, as described below. The shareholders party to the registration rights agreement hold an aggregate of</w:t>
      </w:r>
    </w:p>
    <w:p>
      <w:pPr>
        <w:spacing w:after="0" w:line="292" w:lineRule="auto"/>
        <w:rPr>
          <w:sz w:val="20"/>
          <w:szCs w:val="20"/>
          <w:color w:val="auto"/>
        </w:rPr>
      </w:pPr>
      <w:r>
        <w:rPr>
          <w:rFonts w:ascii="Arial" w:cs="Arial" w:eastAsia="Arial" w:hAnsi="Arial"/>
          <w:sz w:val="16"/>
          <w:szCs w:val="16"/>
          <w:color w:val="auto"/>
        </w:rPr>
        <w:t>33,028,758 of our common shares, representing approximately 59.6% of the voting power of our common shares outstanding upon completion of this offering (assuming no exercise of the underwriters’ over-allotment option). The registration rights described below will expire on the earlier to occur of (i) the fifth anniversary of the completion of the offering contemplated by this prospectus and (ii) the date on which there are no remaining registrable securities held by the parties to the registration rights agreement. The registration rights agreement provides that we must pay certain registration expenses in connection with any demand, piggyback or shelf registration. The registration rights agreement contains customary indemnification and contribution provisions.</w:t>
      </w:r>
    </w:p>
    <w:p>
      <w:pPr>
        <w:spacing w:after="0" w:line="2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Pursuant to the terms of the registration rights agreement, at any time after the date that is six months after completion of the offering contemplated by this prospectus, or the trigger date, a shareholder or group of shareholders holding at least 10% of our outstanding common shares may request that we effect a registration under the Securities Act of all or any portion of such requesting shareholders’ registrable securities. At least 10 business days prior to the anticipated filing date of the registration statement relating to such demand registration, we must give all other shareholders party to the registration rights agreement notice of such requested registration. Within five business days of such notice, any of the other shareholders party to the registration rights agreement may request that we also effect the registration of the registrable securities held by them. We will not be required to effect a registration of all such registrable securities unless the aggregate proceeds expected to be received from the sale of such registrable securities equals or exceeds $10 million or such lesser amount that constitutes all of the requesting shareholders’ registrable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lesser amount is at least $5 million). In no event will we be required to effect more than two demand registrations or underwritten take downs referred to under “—Shelf Registration Rights” below. Depending on certain conditions, we may postpone a demand registration on two occasions during any period of twelve consecutive months for up to 90 days.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Pursuant to the terms of the registration rights agreement, at any time after the trigger date, if we propose to register any of our securities, whether or not for sale for our own account, we must give notice to the shareholders party to the registration rights agreement, and they will be entitled to certain piggyback registration rights allowing them to each their shares in the registration, subject to certain marketing and other limitations. As a result, whenever we propose to file a registration statement under the Securities Act, the holders of these shares are entitled to notice of the registration and to request that we include their shares in the registration.</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Pursuant to the terms of the registration rights agreement, at any time after the first anniversary of the completion of the offering contemplated by this prospectus, if we are eligible to use a shelf registration statement, then a shareholder or group of shareholders holding at least 10% of our outstanding common shares may request that we effect a shelf registration on similar terms as the demand registrations described above, except that offerings will be conducted as underwritten takedowns. We will only be required to effect one public offering from such shelf registration statement within any six month period, each of which shall be deemed to constitute a demand registration for purposes of the number of demand registrations we are required to effect as described under “—Demand Registration Rights” above.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the consummation of this offering, we intend to adopt a new related person transaction policy.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intend to enter into indemnification agreements with our executive officers and directors. The indemnification agreements and our Articles of Association require us to indemnify our executive officers and directors to the fullest extent permitted by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enter into employment agreements with certain of our executive officers in connection with this offering.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the Offering</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Certain of our existing shareholders have agreed to purchase an aggregate of 1.9 million of the common shares being offered in this offering at the initial public offering price. The underwriters will receive the same underwriting discount on any common shares purchased by these investors as they will on any other common shares sold to the public in this offering.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domicile and registered office is in Ecublens, near Lausanne, Canton of Vaud, Switzerland. Our head office is currently located at EPFL Innovation Park, Building B, Lausanne, Switzerland.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As of the date of this prospectus, our share capital is divided into common shares and five categories of preferred shares. Conditional upon the closing of this offering, all of our preferred shares will be converted into common shares on a one-for-one basis, effective upon the registration of the revised articles of association with the commercial register of the Canton of Vaud, Switzerland. See “—Articles of Association.” Upon the closing of this offering, giving effect to (i) the issuance of the common shares to be sold in this offering, (ii) the conversion of our preferred shares into common shares on a one-for-one basis and (iii) any remaining shares from the 5,300,000 common shares issued in the CS AG Issuance, our issued fully paid-in share capital will consist of CHF 152.5 million divided into 55,396,042 common shares with a nominal value of CHF 0.02 each and no preferred shares.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Prior to the closing of this offering, we intend to adopt amended and restated articles of association which will become effective upon the closing of this offering and the registration of the revised articles of association with the commercial register of the Canton of Vaud, Switzerland. When we refer to our articles of association in this prospectus, we refer to our amended and restated articles of association as they will be in force upon the closing of this offering.</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11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Under Swiss law, we may increase our share capital (</w:t>
      </w:r>
      <w:r>
        <w:rPr>
          <w:rFonts w:ascii="Arial" w:cs="Arial" w:eastAsia="Arial" w:hAnsi="Arial"/>
          <w:sz w:val="17"/>
          <w:szCs w:val="17"/>
          <w:i w:val="1"/>
          <w:iCs w:val="1"/>
          <w:color w:val="auto"/>
        </w:rPr>
        <w:t>capital-actions</w:t>
      </w:r>
      <w:r>
        <w:rPr>
          <w:rFonts w:ascii="Arial" w:cs="Arial" w:eastAsia="Arial" w:hAnsi="Arial"/>
          <w:sz w:val="17"/>
          <w:szCs w:val="17"/>
          <w:color w:val="auto"/>
        </w:rPr>
        <w:t>) with a resolution of the general meeting of shareholders (ordinary capital increase) that must be carried out by the board of directors within three months of the general meeting in order to become effective. Under our articles of association, in the case of subscription and increase against payment of contributions in cash, a resolution passed by an simple majority of the shares represented at the general meeting of shareholders regardless of abstentions or empty or invalid votes is required. In the case of subscription and increase against contributions in kind or to fund acquisitions in kind, when shareholders’ statutory pre-emptive subscription rights are withdrawn or where transformation of reserves into share capital is involved, a resolution passed by two-thirds of the shares represented at a general meeting of shareholders and the absolute majority of the nominal amount of the shares represented is required.</w:t>
      </w:r>
    </w:p>
    <w:p>
      <w:pPr>
        <w:spacing w:after="0" w:line="178" w:lineRule="exact"/>
        <w:rPr>
          <w:sz w:val="20"/>
          <w:szCs w:val="20"/>
          <w:color w:val="auto"/>
        </w:rPr>
      </w:pPr>
    </w:p>
    <w:p>
      <w:pPr>
        <w:jc w:val="both"/>
        <w:ind w:right="420" w:firstLine="456"/>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71" w:lineRule="exact"/>
        <w:rPr>
          <w:sz w:val="20"/>
          <w:szCs w:val="20"/>
          <w:color w:val="auto"/>
        </w:rPr>
      </w:pPr>
    </w:p>
    <w:p>
      <w:pPr>
        <w:ind w:left="900" w:right="120" w:hanging="446"/>
        <w:spacing w:after="0" w:line="259"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conditional capital (</w:t>
      </w:r>
      <w:r>
        <w:rPr>
          <w:rFonts w:ascii="Arial" w:cs="Arial" w:eastAsia="Arial" w:hAnsi="Arial"/>
          <w:sz w:val="18"/>
          <w:szCs w:val="18"/>
          <w:i w:val="1"/>
          <w:iCs w:val="1"/>
          <w:color w:val="auto"/>
        </w:rPr>
        <w:t>capital conditionnel</w:t>
      </w:r>
      <w:r>
        <w:rPr>
          <w:rFonts w:ascii="Arial" w:cs="Arial" w:eastAsia="Arial" w:hAnsi="Arial"/>
          <w:sz w:val="18"/>
          <w:szCs w:val="18"/>
          <w:color w:val="auto"/>
        </w:rPr>
        <w:t>) for the purpose of issuing shares in connection with, among other things, (i) option and conversion rights granted in connection with warrants and convertible bonds of the Company or one of our subsidiaries or (ii) grants of rights to employees, members of our board of directors or consultants or our subsidiaries or other persons providing services to the Company or a subsidiary to subscribe for new shares (conversion or option rights); or</w:t>
      </w:r>
    </w:p>
    <w:p>
      <w:pPr>
        <w:spacing w:after="0" w:line="92"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authorized capital (</w:t>
      </w:r>
      <w:r>
        <w:rPr>
          <w:rFonts w:ascii="Arial" w:cs="Arial" w:eastAsia="Arial" w:hAnsi="Arial"/>
          <w:sz w:val="18"/>
          <w:szCs w:val="18"/>
          <w:i w:val="1"/>
          <w:iCs w:val="1"/>
          <w:color w:val="auto"/>
        </w:rPr>
        <w:t>capital-actions autorisé</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Pursuant to the CO, shareholders have pre-emptive subscription rights (</w:t>
      </w:r>
      <w:r>
        <w:rPr>
          <w:rFonts w:ascii="Arial" w:cs="Arial" w:eastAsia="Arial" w:hAnsi="Arial"/>
          <w:sz w:val="17"/>
          <w:szCs w:val="17"/>
          <w:i w:val="1"/>
          <w:iCs w:val="1"/>
          <w:color w:val="auto"/>
        </w:rPr>
        <w:t>droits de souscription</w:t>
      </w:r>
      <w:r>
        <w:rPr>
          <w:rFonts w:ascii="Arial" w:cs="Arial" w:eastAsia="Arial" w:hAnsi="Arial"/>
          <w:sz w:val="17"/>
          <w:szCs w:val="17"/>
          <w:color w:val="auto"/>
        </w:rPr>
        <w:t>) to subscribe for new issuances of shares. With respect to conditional capital in connection with the issuance of conversion rights, convertible bonds or similar debt instruments, shareholders have advance subscription rights (</w:t>
      </w:r>
      <w:r>
        <w:rPr>
          <w:rFonts w:ascii="Arial" w:cs="Arial" w:eastAsia="Arial" w:hAnsi="Arial"/>
          <w:sz w:val="17"/>
          <w:szCs w:val="17"/>
          <w:i w:val="1"/>
          <w:iCs w:val="1"/>
          <w:color w:val="auto"/>
        </w:rPr>
        <w:t>droit de souscrire préalablement</w:t>
      </w:r>
      <w:r>
        <w:rPr>
          <w:rFonts w:ascii="Arial" w:cs="Arial" w:eastAsia="Arial" w:hAnsi="Arial"/>
          <w:sz w:val="17"/>
          <w:szCs w:val="17"/>
          <w:color w:val="auto"/>
        </w:rPr>
        <w:t>) for the subscription of conversion rights, convertible bonds or similar debt instruments.</w:t>
      </w:r>
    </w:p>
    <w:p>
      <w:pPr>
        <w:spacing w:after="0" w:line="166"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 resolution passed at a general meeting of shareholders by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pre-emptive subscription rights are granted, but not exercised, the board of directors may allocate the pre-emptive subscription rights as it elects.</w:t>
      </w:r>
    </w:p>
    <w:p>
      <w:pPr>
        <w:spacing w:after="0" w:line="24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With respect to our authorized share capital, the board of directors is authorized by our articles of association to withdraw or to limit the pre-emptive subscription rights of shareholders, and to allocate them to third parties or to us, in the event that the newly issued shares are used for the following purposes:</w:t>
      </w:r>
    </w:p>
    <w:p>
      <w:pPr>
        <w:spacing w:after="0" w:line="29"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w:t>
      </w:r>
    </w:p>
    <w:p>
      <w:pPr>
        <w:spacing w:after="0" w:line="9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the acquisition of an enterprise, part(s) of an enterprise or participations, or for the financing or refinancing of any of such transactions, or in the event of share placement for the financing or re-financing of such transactions;</w:t>
      </w:r>
    </w:p>
    <w:p>
      <w:pPr>
        <w:spacing w:after="0" w:line="35" w:lineRule="exact"/>
        <w:rPr>
          <w:rFonts w:ascii="Arial" w:cs="Arial" w:eastAsia="Arial" w:hAnsi="Arial"/>
          <w:sz w:val="18"/>
          <w:szCs w:val="18"/>
          <w:color w:val="auto"/>
        </w:rPr>
      </w:pPr>
    </w:p>
    <w:p>
      <w:pPr>
        <w:ind w:left="900" w:right="20" w:hanging="446"/>
        <w:spacing w:after="0" w:line="334"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1"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purposes of granting an over-allotment option of up to 20% of the total number of registered shares in a placement or sale of registered shares to the respective initial purchaser(s) or underwriter(s);</w:t>
      </w:r>
    </w:p>
    <w:p>
      <w:pPr>
        <w:spacing w:after="0" w:line="35" w:lineRule="exact"/>
        <w:rPr>
          <w:rFonts w:ascii="Arial" w:cs="Arial" w:eastAsia="Arial" w:hAnsi="Arial"/>
          <w:sz w:val="18"/>
          <w:szCs w:val="18"/>
          <w:color w:val="auto"/>
        </w:rPr>
      </w:pPr>
    </w:p>
    <w:p>
      <w:pPr>
        <w:ind w:left="900" w:right="200" w:hanging="446"/>
        <w:spacing w:after="0" w:line="25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raising of capital (including private placements) in a fast and flexible manner which probably could not be reached without the exclusion of the statutory pre-emptive right of the existing shareholders;</w:t>
      </w:r>
    </w:p>
    <w:p>
      <w:pPr>
        <w:spacing w:after="0" w:line="1" w:lineRule="exact"/>
        <w:rPr>
          <w:rFonts w:ascii="Arial" w:cs="Arial" w:eastAsia="Arial" w:hAnsi="Arial"/>
          <w:sz w:val="18"/>
          <w:szCs w:val="18"/>
          <w:color w:val="auto"/>
        </w:rPr>
      </w:pPr>
    </w:p>
    <w:p>
      <w:pPr>
        <w:ind w:left="900" w:right="60" w:hanging="446"/>
        <w:spacing w:after="0" w:line="255" w:lineRule="auto"/>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following a shareholder or a group of shareholders acting in concert having accumulated shareholdings in excess of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 or</w:t>
      </w:r>
    </w:p>
    <w:p>
      <w:pPr>
        <w:spacing w:after="0" w:line="55" w:lineRule="exact"/>
        <w:rPr>
          <w:rFonts w:ascii="Arial" w:cs="Arial" w:eastAsia="Arial" w:hAnsi="Arial"/>
          <w:sz w:val="17"/>
          <w:szCs w:val="17"/>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of the CO.</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our articles of association, our board of directors is authorized at any time until October 20, 2017 to increase our nominal share capital by a maximum aggregate amount of CHF 426,950 (or CHF 320,950 after giving effect to the CS AG Share Issuance) through the issuance of not more than 21,347,500 shares (or 16,047,500 shares after giving effect to the CS AG Share Issuance), which would have to be fully paid-in, with a nominal value of CHF 0.02 each.</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Increases in partial amounts are permitted. The board of directors has the power to determine the type of contributions, the issue price and the date on which the dividend entitlement starts.</w:t>
      </w:r>
    </w:p>
    <w:p>
      <w:pPr>
        <w:spacing w:after="0" w:line="17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Our board of directors is also authorized to withdraw or limit pre-emptive subscription rights as described above. This authorization is exclusively linked to the particular available authorized share capital set out in the respective article. If the period to increase the share capital lapses without having been used by the board of directors, the authorization to withdraw or to limit the pre-emptive subscription rights lapses simultaneously with such capital.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common shares to be sold in this offering have been issued out of our authorized share capital. Accordingly, upon the consummation of this</w:t>
      </w:r>
    </w:p>
    <w:p>
      <w:pPr>
        <w:spacing w:after="0" w:line="35"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offering, our authorized but unissued share capital will remain at the amount of CHF</w:t>
      </w:r>
      <w:r>
        <w:rPr>
          <w:sz w:val="20"/>
          <w:szCs w:val="20"/>
          <w:color w:val="auto"/>
        </w:rPr>
        <w:tab/>
      </w:r>
      <w:r>
        <w:rPr>
          <w:rFonts w:ascii="Arial" w:cs="Arial" w:eastAsia="Arial" w:hAnsi="Arial"/>
          <w:sz w:val="18"/>
          <w:szCs w:val="18"/>
          <w:color w:val="auto"/>
        </w:rPr>
        <w:t>.</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Warrants and Convertible Bonds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nominal share capital may be increased by a maximum aggregate amount of CHF 91,868 through the issuance of not more than 4,593,375 common shares, which would have to be fully paid-in, with a nominal value of CHF 0.02 each, by the exercise of option and conversion rights granted in connection with warrants and convertible bonds of the Company or one of our subsidiaries. Shareholders will not have pre-emptive subscription rights in such circumstances. The holders of convertible bonds are entitled to the new shares upon the occurrence of the applicable conversion feature.</w:t>
      </w:r>
    </w:p>
    <w:p>
      <w:pPr>
        <w:spacing w:after="0" w:line="17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When issuing convertible bonds, the board of directors is authorized to withdraw or to limit the advance subscription right of shareholders to subscribe to the convertible bond issuance:</w:t>
      </w:r>
    </w:p>
    <w:p>
      <w:pPr>
        <w:spacing w:after="0" w:line="76" w:lineRule="exact"/>
        <w:rPr>
          <w:sz w:val="20"/>
          <w:szCs w:val="20"/>
          <w:color w:val="auto"/>
        </w:rPr>
      </w:pPr>
    </w:p>
    <w:p>
      <w:pPr>
        <w:ind w:left="900" w:right="18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the purpose of financing or refinancing the acquisition of enterprises, divisions thereof, or of participations or of newly planned investments of the Company;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the issuance occurs in domestic or international capital markets, including private placements.</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To the extent that the advance subscription rights are withdrawn, (i) the convertible bonds are to be issued at market conditions; (ii) the term to exercise the option or conversion rights may not exceed ten years as of the date of the convertible bond issue and twenty years for conversion rights; and (iii) the exercise price for the new shares must at least correspond to the market conditions at the time of the convertible bond issuance.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Equity Incentive Plans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nominal share capital may, to the exclusion of the pre-emptive subscription rights of shareholders, be increased by a maximum aggregate amount of CHF 110,241 through the issuance of not more than 5,512,050 common shares, which would have to be fully paid-in, with a nominal value of CHF 0.02 each, by the exercise of option or conversion rights that have been granted to employees, members of the board of directors or consultants of the Company or of one of our subsidiaries or other persons providing services to the Company or a subsidiary through one or more equity incentive plans created by the board of directors.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Our shares are uncertificated securities (</w:t>
      </w:r>
      <w:r>
        <w:rPr>
          <w:rFonts w:ascii="Arial" w:cs="Arial" w:eastAsia="Arial" w:hAnsi="Arial"/>
          <w:sz w:val="17"/>
          <w:szCs w:val="17"/>
          <w:i w:val="1"/>
          <w:iCs w:val="1"/>
          <w:color w:val="auto"/>
        </w:rPr>
        <w:t>droits-valeurs</w:t>
      </w:r>
      <w:r>
        <w:rPr>
          <w:rFonts w:ascii="Arial" w:cs="Arial" w:eastAsia="Arial" w:hAnsi="Arial"/>
          <w:sz w:val="17"/>
          <w:szCs w:val="17"/>
          <w:color w:val="auto"/>
        </w:rPr>
        <w:t>, within the meaning of Article 973c of the CO) and, when administered by a financial intermediary (</w:t>
      </w:r>
      <w:r>
        <w:rPr>
          <w:rFonts w:ascii="Arial" w:cs="Arial" w:eastAsia="Arial" w:hAnsi="Arial"/>
          <w:sz w:val="17"/>
          <w:szCs w:val="17"/>
          <w:i w:val="1"/>
          <w:iCs w:val="1"/>
          <w:color w:val="auto"/>
        </w:rPr>
        <w:t>dépositaire,</w:t>
      </w:r>
      <w:r>
        <w:rPr>
          <w:rFonts w:ascii="Arial" w:cs="Arial" w:eastAsia="Arial" w:hAnsi="Arial"/>
          <w:sz w:val="17"/>
          <w:szCs w:val="17"/>
          <w:color w:val="auto"/>
        </w:rPr>
        <w:t xml:space="preserve"> within the meaning of the Federal Act on Intermediated Securities, “FISA”), qualify as intermediated securities (</w:t>
      </w:r>
      <w:r>
        <w:rPr>
          <w:rFonts w:ascii="Arial" w:cs="Arial" w:eastAsia="Arial" w:hAnsi="Arial"/>
          <w:sz w:val="17"/>
          <w:szCs w:val="17"/>
          <w:i w:val="1"/>
          <w:iCs w:val="1"/>
          <w:color w:val="auto"/>
        </w:rPr>
        <w:t>titres intermédiés</w:t>
      </w:r>
      <w:r>
        <w:rPr>
          <w:rFonts w:ascii="Arial" w:cs="Arial" w:eastAsia="Arial" w:hAnsi="Arial"/>
          <w:sz w:val="17"/>
          <w:szCs w:val="17"/>
          <w:color w:val="auto"/>
        </w:rPr>
        <w:t>, within the meaning of the FISA). In accordance with Article 973c of the CO, we will maintain a non-public register of uncertificated securities (</w:t>
      </w:r>
      <w:r>
        <w:rPr>
          <w:rFonts w:ascii="Arial" w:cs="Arial" w:eastAsia="Arial" w:hAnsi="Arial"/>
          <w:sz w:val="17"/>
          <w:szCs w:val="17"/>
          <w:i w:val="1"/>
          <w:iCs w:val="1"/>
          <w:color w:val="auto"/>
        </w:rPr>
        <w:t>registre des</w:t>
      </w:r>
      <w:r>
        <w:rPr>
          <w:rFonts w:ascii="Arial" w:cs="Arial" w:eastAsia="Arial" w:hAnsi="Arial"/>
          <w:sz w:val="17"/>
          <w:szCs w:val="17"/>
          <w:color w:val="auto"/>
        </w:rPr>
        <w:t xml:space="preserve"> </w:t>
      </w:r>
      <w:r>
        <w:rPr>
          <w:rFonts w:ascii="Arial" w:cs="Arial" w:eastAsia="Arial" w:hAnsi="Arial"/>
          <w:sz w:val="17"/>
          <w:szCs w:val="17"/>
          <w:i w:val="1"/>
          <w:iCs w:val="1"/>
          <w:color w:val="auto"/>
        </w:rPr>
        <w:t>droits-valeurs</w:t>
      </w:r>
      <w:r>
        <w:rPr>
          <w:rFonts w:ascii="Arial" w:cs="Arial" w:eastAsia="Arial" w:hAnsi="Arial"/>
          <w:sz w:val="17"/>
          <w:szCs w:val="17"/>
          <w:color w:val="auto"/>
        </w:rPr>
        <w:t>). We may at any time convert uncertificated securities into share certificates (including global certificates), one kind of certificate into another,</w:t>
      </w:r>
      <w:r>
        <w:rPr>
          <w:rFonts w:ascii="Arial" w:cs="Arial" w:eastAsia="Arial" w:hAnsi="Arial"/>
          <w:sz w:val="17"/>
          <w:szCs w:val="17"/>
          <w:i w:val="1"/>
          <w:iCs w:val="1"/>
          <w:color w:val="auto"/>
        </w:rPr>
        <w:t xml:space="preserve"> </w:t>
      </w:r>
      <w:r>
        <w:rPr>
          <w:rFonts w:ascii="Arial" w:cs="Arial" w:eastAsia="Arial" w:hAnsi="Arial"/>
          <w:sz w:val="17"/>
          <w:szCs w:val="17"/>
          <w:color w:val="auto"/>
        </w:rPr>
        <w:t>or share certificates (including global certificates) into uncertificated securities. Following entry in the share register, a shareholder may at any time request from us a written confirmation in respect of the shares. Shareholders are not entitled, however, to request the printing and delivery of certificates. We may print and deliver certificates for shares at any time.</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Ordinary/Extraordinary Meetings, Powers</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generally means on or before June 30, although in 2016 we expect to hold our ordinary general meeting in November, which we believe is permissible under Swiss law as the investors acquiring shares in this offering will be permitted to participate in such ordinary general meeting.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131"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adopting and amending the articles of association, including change of a company’s purpose or domicile;</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electing the members of the board of directors, the chairman of the board of directors, the members of the compensation committee, the auditors and the independent proxy;</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approving the annual report, the annual statutory financial statements and (to the extent required) the financial statements, and deciding on the allocation of profits as shown on the balance sheet, in particular with regard to dividends;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approving the compensation (basis, bonus and equity) of members of the board of directors and executive management, which under Swiss law is not necessarily limited to the executive officers;</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discharging the members of the board of directors and executive management from liability with respect to their tenure in the previous financial year;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dissolving a company with or without liquidation;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deciding matters reserved to the general meeting of shareholders by law or the articles of association or presented to it by the board of directors.</w:t>
      </w:r>
    </w:p>
    <w:p>
      <w:pPr>
        <w:spacing w:after="0" w:line="24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An extraordinary general meeting of shareholders may be called by a resolution of the board of directors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Shareholder resolutions and elections (including elections of members of the board of directors) require the affirmative vote of the simple majority of shares represented at the general meeting of shareholders regardless of abstentions or empty or invalid votes, unless otherwise stipulated by law.</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 resolution of the general meeting of the shareholders passed by two-thirds of the shares represented at the meeting, and the absolute majority of the nominal value of the shares represented is required for:</w:t>
      </w:r>
    </w:p>
    <w:p>
      <w:pPr>
        <w:spacing w:after="0" w:line="76"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amending a company’s corporate purpose;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creating or cancelling shares with preference rights or amending rights attached to such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cancelling or amending the transfer restrictions of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creating authorized or conditional share capital;</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increasing the share capital out of equity, against contributions in-kind or for the purpose of acquiring specific assets and granting specific benefits;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limiting or suppressing shareholder’s pre-emptive subscription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changing a company’s domicile;</w:t>
      </w:r>
    </w:p>
    <w:p>
      <w:pPr>
        <w:spacing w:after="0" w:line="23"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alleviating or withdrawing of restrictions upon the transfer of registered shares and the removal of the voting cap of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removing the indemnification provision for the board of directors and executive management;</w:t>
      </w:r>
    </w:p>
    <w:p>
      <w:pPr>
        <w:spacing w:after="0" w:line="114"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converting registered shares into bearer shares and vice versa;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dissolving or liquidating a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same voting requirements apply to resolutions regarding transactions among corporations based on Switzerland’s Federal Act on Mergers, Demergers, Transformations and the Transfer of Assets, or the Merger Act (including a merger, demerger or conversion of a corporation) see “—Compulsory Acquisitions; Appraisal Rights.”</w:t>
      </w:r>
    </w:p>
    <w:p>
      <w:pPr>
        <w:spacing w:after="0" w:line="18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w:t>
      </w:r>
    </w:p>
    <w:p>
      <w:pPr>
        <w:spacing w:after="0" w:line="11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Agenda Requests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Swiss law, one or more shareholders, whose combined shareholdings represent the lower of (i) one tenth of the share capital or (ii) an aggregate nominal value of at least CHF 1,000,000, may request that an item be included in the agenda for an ordinary general meeting of shareholders. To be timely, the shareholder’s request must be received by us generally at least 120 calendar days in advance of the meeting. The request must be made in writing and contain, for each of the agenda items, the following information:</w:t>
      </w:r>
    </w:p>
    <w:p>
      <w:pPr>
        <w:spacing w:after="0" w:line="92" w:lineRule="exact"/>
        <w:rPr>
          <w:sz w:val="20"/>
          <w:szCs w:val="20"/>
          <w:color w:val="auto"/>
        </w:rPr>
      </w:pPr>
    </w:p>
    <w:p>
      <w:pPr>
        <w:ind w:left="900" w:right="10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name and address, as they appear in the share register, of the shareholder proposing such business;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other information required under the applicable laws and stock exchange rules.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if the shareholder intends to solicit proxies from the shareholders of a company, such shareholder shall notify the company of this intent in accordance with Securities and Exchange Commission Rule 14a-4 and/or Rule 14a-8.</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Each of our shares entitles a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5" w:lineRule="exact"/>
        <w:rPr>
          <w:sz w:val="20"/>
          <w:szCs w:val="20"/>
          <w:color w:val="auto"/>
        </w:rPr>
      </w:pPr>
    </w:p>
    <w:p>
      <w:pPr>
        <w:ind w:right="20" w:firstLine="456"/>
        <w:spacing w:after="0" w:line="200" w:lineRule="auto"/>
        <w:rPr>
          <w:sz w:val="20"/>
          <w:szCs w:val="20"/>
          <w:color w:val="auto"/>
        </w:rPr>
      </w:pPr>
      <w:r>
        <w:rPr>
          <w:rFonts w:ascii="Arial" w:cs="Arial" w:eastAsia="Arial" w:hAnsi="Arial"/>
          <w:sz w:val="17"/>
          <w:szCs w:val="17"/>
          <w:color w:val="auto"/>
        </w:rPr>
        <w:t xml:space="preserve">Our articles contain provisions that prevent investors from acquiring voting rights exceeding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of the outstanding share capital. Specifically, no individual or legal entity may, directly or indirectly, control voting rights with respect to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or more of the registered share capital recorded in the Commercial Register. In the event that a shareholder should exceed the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ownership threshold, the registered shares exceeding the limit of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shall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3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may propose to shareholders that a dividend or other distribution be paid but cannot itself authorize the distribution. Dividend payments require a resolution passed by a simple majority of the shares represented at a general meeting of shareholders regardless of abstentions or employ or invalid votes. In addition, our auditors must confirm that the dividend proposal of our board of directors conforms to Swiss statutory law and our articles of association.</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Swiss law, we may pay dividends only if we have sufficient distributable profits brought forward from the previous business years (</w:t>
      </w:r>
      <w:r>
        <w:rPr>
          <w:rFonts w:ascii="Arial" w:cs="Arial" w:eastAsia="Arial" w:hAnsi="Arial"/>
          <w:sz w:val="18"/>
          <w:szCs w:val="18"/>
          <w:i w:val="1"/>
          <w:iCs w:val="1"/>
          <w:color w:val="auto"/>
        </w:rPr>
        <w:t>report des</w:t>
      </w:r>
      <w:r>
        <w:rPr>
          <w:rFonts w:ascii="Arial" w:cs="Arial" w:eastAsia="Arial" w:hAnsi="Arial"/>
          <w:sz w:val="18"/>
          <w:szCs w:val="18"/>
          <w:color w:val="auto"/>
        </w:rPr>
        <w:t xml:space="preserve"> </w:t>
      </w:r>
      <w:r>
        <w:rPr>
          <w:rFonts w:ascii="Arial" w:cs="Arial" w:eastAsia="Arial" w:hAnsi="Arial"/>
          <w:sz w:val="18"/>
          <w:szCs w:val="18"/>
          <w:i w:val="1"/>
          <w:iCs w:val="1"/>
          <w:color w:val="auto"/>
        </w:rPr>
        <w:t>bénéfices</w:t>
      </w:r>
      <w:r>
        <w:rPr>
          <w:rFonts w:ascii="Arial" w:cs="Arial" w:eastAsia="Arial" w:hAnsi="Arial"/>
          <w:sz w:val="18"/>
          <w:szCs w:val="18"/>
          <w:color w:val="auto"/>
        </w:rPr>
        <w:t>), or if we have distributable reserves (</w:t>
      </w:r>
      <w:r>
        <w:rPr>
          <w:rFonts w:ascii="Arial" w:cs="Arial" w:eastAsia="Arial" w:hAnsi="Arial"/>
          <w:sz w:val="18"/>
          <w:szCs w:val="18"/>
          <w:i w:val="1"/>
          <w:iCs w:val="1"/>
          <w:color w:val="auto"/>
        </w:rPr>
        <w:t>réserves à libre disposition</w:t>
      </w:r>
      <w:r>
        <w:rPr>
          <w:rFonts w:ascii="Arial" w:cs="Arial" w:eastAsia="Arial" w:hAnsi="Arial"/>
          <w:sz w:val="18"/>
          <w:szCs w:val="18"/>
          <w:color w:val="auto"/>
        </w:rPr>
        <w:t>), each as evidenced by our audited stand-alone statutory balance sheet prepared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Swiss law, and after allocations to reserves required by Swiss law and the articles of association have been deducted. We are not permitted to pay interim dividends out of profit of the current business year.</w:t>
      </w:r>
    </w:p>
    <w:p>
      <w:pPr>
        <w:spacing w:after="0" w:line="18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Under the CO, if our general reserves (</w:t>
      </w:r>
      <w:r>
        <w:rPr>
          <w:rFonts w:ascii="Arial" w:cs="Arial" w:eastAsia="Arial" w:hAnsi="Arial"/>
          <w:sz w:val="18"/>
          <w:szCs w:val="18"/>
          <w:i w:val="1"/>
          <w:iCs w:val="1"/>
          <w:color w:val="auto"/>
        </w:rPr>
        <w:t>réserve générale</w:t>
      </w:r>
      <w:r>
        <w:rPr>
          <w:rFonts w:ascii="Arial" w:cs="Arial" w:eastAsia="Arial" w:hAnsi="Arial"/>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Distributions out of issued share capital (i.e. the aggregate nominal value of our issued shares) are not allowed and may be made only by way of a share capital reduction. Such a capital reduction requires a resolution passed by an simple majority of the shares represented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a discussion of the taxation of dividends, see “Taxation—Swiss Tax Considerations—Taxation of Common Shares—Swiss Federal Withholding Tax on Dividends and Distributions.”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Shares in uncertificated form (</w:t>
      </w:r>
      <w:r>
        <w:rPr>
          <w:rFonts w:ascii="Arial" w:cs="Arial" w:eastAsia="Arial" w:hAnsi="Arial"/>
          <w:sz w:val="18"/>
          <w:szCs w:val="18"/>
          <w:i w:val="1"/>
          <w:iCs w:val="1"/>
          <w:color w:val="auto"/>
        </w:rPr>
        <w:t>droits-valeurs</w:t>
      </w:r>
      <w:r>
        <w:rPr>
          <w:rFonts w:ascii="Arial" w:cs="Arial" w:eastAsia="Arial" w:hAnsi="Arial"/>
          <w:sz w:val="18"/>
          <w:szCs w:val="18"/>
          <w:color w:val="auto"/>
        </w:rPr>
        <w:t>) may only be transferred by way of assignment. Shares that constitute intermediated securities (</w:t>
      </w:r>
      <w:r>
        <w:rPr>
          <w:rFonts w:ascii="Arial" w:cs="Arial" w:eastAsia="Arial" w:hAnsi="Arial"/>
          <w:sz w:val="18"/>
          <w:szCs w:val="18"/>
          <w:i w:val="1"/>
          <w:iCs w:val="1"/>
          <w:color w:val="auto"/>
        </w:rPr>
        <w:t>titres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intermédiés) </w:t>
      </w:r>
      <w:r>
        <w:rPr>
          <w:rFonts w:ascii="Arial" w:cs="Arial" w:eastAsia="Arial" w:hAnsi="Arial"/>
          <w:sz w:val="18"/>
          <w:szCs w:val="18"/>
          <w:color w:val="auto"/>
        </w:rPr>
        <w:t>may only be transferred when a credit of the relevant intermediated securities to the acquirer’s securities account is made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provisions of the FISA. Article 5 of our articles of association provides that in the case of securities held with an intermediary such as a registrar, transfer agent, trust corporation, bank or similar entity, any transfer, grant of a security interest or usufructary right in such intermediated securities and the appurtenant rights associated therewith requires the cooperation of the intermediary in order for such transfer, grant of a security interest or usufructary right to be valid against us.</w:t>
      </w:r>
    </w:p>
    <w:p>
      <w:pPr>
        <w:spacing w:after="0" w:line="193" w:lineRule="exact"/>
        <w:rPr>
          <w:sz w:val="20"/>
          <w:szCs w:val="20"/>
          <w:color w:val="auto"/>
        </w:rPr>
      </w:pPr>
    </w:p>
    <w:p>
      <w:pPr>
        <w:ind w:right="20" w:firstLine="456"/>
        <w:spacing w:after="0" w:line="183" w:lineRule="auto"/>
        <w:rPr>
          <w:sz w:val="20"/>
          <w:szCs w:val="20"/>
          <w:color w:val="auto"/>
        </w:rPr>
      </w:pPr>
      <w:r>
        <w:rPr>
          <w:rFonts w:ascii="Arial" w:cs="Arial" w:eastAsia="Arial" w:hAnsi="Arial"/>
          <w:sz w:val="18"/>
          <w:szCs w:val="18"/>
          <w:color w:val="auto"/>
        </w:rPr>
        <w:t>Voting rights may be exercised only after a shareholder has been entered in our share register (</w:t>
      </w:r>
      <w:r>
        <w:rPr>
          <w:rFonts w:ascii="Arial" w:cs="Arial" w:eastAsia="Arial" w:hAnsi="Arial"/>
          <w:sz w:val="18"/>
          <w:szCs w:val="18"/>
          <w:i w:val="1"/>
          <w:iCs w:val="1"/>
          <w:color w:val="auto"/>
        </w:rPr>
        <w:t>registre des actions</w:t>
      </w:r>
      <w:r>
        <w:rPr>
          <w:rFonts w:ascii="Arial" w:cs="Arial" w:eastAsia="Arial" w:hAnsi="Arial"/>
          <w:sz w:val="18"/>
          <w:szCs w:val="18"/>
          <w:color w:val="auto"/>
        </w:rPr>
        <w:t xml:space="preserve">) with his or her name and address (in the case of legal entities, the registered office) as a shareholder with voting rights. Our articles contain provisions that prevent investors from acquiring voting rights exceeding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of the outstanding share capital. Specifically, no individual or legal entity may, directly or indirectly, control voting rights with respect to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or more of the registered share capital recorded in the Commercial Register except if such individual or legal entity has submitted a tender offer to all shareholders. In the event that a shareholder should exceed the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ownership threshold, the registered shares exceeding the limit of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shall be entered in our share registered as shares without voting rights. Additional voting caps apply to shareholders acquiring shares for other persons (nominees).</w:t>
      </w:r>
    </w:p>
    <w:p>
      <w:pPr>
        <w:spacing w:after="0" w:line="3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Swiss Law and Delaware Law—Inspection of Books and Records.”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Special Investigation</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a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Compulsory Acquisitions; Appraisal Rights</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Business combinations and other transactions that are governed by the Swiss Merger Act (i.e. mergers, demergers, transformations and certain asset transfers) are binding on all shareholders. A statutory merger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demerger requires approval of two-thirds of the shares represented at a general meeting of shareholders and the absolute majority of the nominal value of the shares represented.</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a transaction under the Swiss Merger Act receives all of the necessary consents, there are no appraisal rights and all shareholders are compelled to participate in such transaction.</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Swiss corporations may be acquired by an acquirer through the direct acquisition of the share capital of the Swiss corporation. The Swiss Merger Act provides for the possibility of a so-called “cash-out” or “squeeze-out” merger if the acquirer controls 90% of the outstanding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w:t>
      </w:r>
    </w:p>
    <w:p>
      <w:pPr>
        <w:spacing w:after="0" w:line="18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addition, under Swiss law, the sale of “all or substantially all of our assets” by us may require the approval of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87"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 core part of our business is sold without which it is economically impracticable or unreasonable to continue to operate the remaining business;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assets, after the divestment, are not invested in accordance with our statutory business purpose; and</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70"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A shareholder of a Swiss corporation participating in certain major corporate transactions may, under certain circumstances, be entitled to appraisal rights. As a result, such shareholder may, in addition to the consideration (be it in shares or in cash) receive an additional amount to ensure that the shareholder receives the fair value of the shares held by the shareholder. Following a statutory merger or demerger, pursuant to the Swiss Merger Act, shareholders can file an appraisal action against the surviving company. If the consideration is deemed inadequate, the court will determine an adequate compensation payment.</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Powers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131"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ultimate direction of the business of the Company and issuing of the relevant directives;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laying down the organization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formulating accounting procedures, financial controls and financial planning;</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nominating and removing persons entrusted with the management and representation of the Company and regulating the power to sign for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ultimate supervision of those persons entrusted with management of the Company, with particular regard to adherence to law, our articles of association, and regulations and directives of the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issuing the annual report and the compensation report, and preparing for the general meeting of shareholders and carrying out its resolutions;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informing the court in case of over-indebtedness.</w:t>
      </w:r>
    </w:p>
    <w:p>
      <w:pPr>
        <w:spacing w:after="0" w:line="225"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 Swiss law and Article 25 of our articles of association, details of the delegation and other procedural rules such as quorum requirements must be set in the organizational rules issued by the board of directors.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 of Executive Management and Directors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66"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have entered or will enter into indemnification agreements with each of the members of our board of directors and executive management. See “Related Party Transactions—Indemnification Agreements.”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 of Interest, Management Transactions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Swiss law does not have a general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7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Upon the closing of this offering, our board of directors will adopt a Code of Business Conduct and Ethics that will cover a broad range of matters, including the handling of conflicts of interest.</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the Compensation of the Board of Directors and the Executive Management</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Pursuant to Swiss law, beginning at our first annual meeting as a public company in 2016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loans and other forms of indebtedness granted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by the Company, directly or indirectly, to current or former members of the board of directors and executive management to the extent related to their former role within the Company or not on customary market terms.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disclosure concerning compensation, loans and other forms of indebtedness must include the aggregate amount for the board of directors and the executive management, as well as the particular amount for each member of the board of directors and executive officer, specifying the name and function of each person.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131" w:lineRule="exact"/>
        <w:rPr>
          <w:sz w:val="20"/>
          <w:szCs w:val="20"/>
          <w:color w:val="auto"/>
        </w:rPr>
      </w:pPr>
    </w:p>
    <w:p>
      <w:pPr>
        <w:ind w:left="900" w:right="340" w:hanging="446"/>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the Company or by companies being, directly or indirectly, controlled by the us;</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Beginning in 2016, the general meeting of shareholders will annually vote on the proposals of the board of directors with respect to:</w:t>
      </w:r>
    </w:p>
    <w:p>
      <w:pPr>
        <w:spacing w:after="0" w:line="131" w:lineRule="exact"/>
        <w:rPr>
          <w:sz w:val="20"/>
          <w:szCs w:val="20"/>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board of directors for the subsequent term of office;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executive management for the subsequent financial year.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board of directors may submit for approval at the general meeting of shareholders deviating or additional proposals relating to the same or different periods.</w:t>
      </w:r>
    </w:p>
    <w:p>
      <w:pPr>
        <w:spacing w:after="0" w:line="17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the event that, at the general meeting of shareholders, the shareholders do not approve a proposal of the board of directors, the board of directors must form a new proposal for the maximum aggregate compensation and the particular compensation for each individual, taking into account all relevant factors, and submit the new proposal for approval by the same general meeting of shareholders, at a subsequent extraordinary general meeting or the next ordinary general meeting of shareholders.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to fixed compensation, members of the board of directors and executive management may be paid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188"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Compensation may be paid or granted in the form of cash, shares, financial instruments, in kind, or in the form of other types of benefits. The board of directors or, where delegated to it, the compensation committee shall determine grant, vesting, exercise and forfeiture conditions.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Repurchases of Shares and Purchases of Own Shares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We currently do not have any transfer restriction in our articles of association. If we own shares that exceed the threshold of 10 percent of our share capital, the excess must be sold or cancelled by means of a capital reduction within two years.</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Shares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Notification and Disclosure of Substantial Share Interests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disclosure obligations generally applicable to shareholders of Swiss corporations under the Swiss Act on Stock Exchanges and Securities Trading do not apply to us since our shares are not listed on a Swiss exchange.</w:t>
      </w:r>
    </w:p>
    <w:p>
      <w:pPr>
        <w:spacing w:after="0" w:line="170"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have been approved for listing on the NASDAQ Global Market under the symbol “ACIU.”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Depository Trust Company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Initial settlement of the common shares issued in this offering will take place on the consummation date of this offering through The Depository Trust Company, or DTC, in accordance with its customary settlement procedures for equity securities. Each person owning common shares held through DTC must rely on the procedures thereof and on institutions that have accounts therewith to exercise any rights of a holder of the shares.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share register will initially be kept by Computershare Trust Company, N.A., which acts as transfer agent and registrar. The share register reflects only record owners of our shares. Swiss law does not recognize fractional share interests.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80"/>
          </w:cols>
          <w:pgMar w:left="240" w:top="460" w:right="2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SWISS LAW AND DELAWARE LAW</w:t>
      </w:r>
    </w:p>
    <w:p>
      <w:pPr>
        <w:spacing w:after="0" w:line="229"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Arial" w:cs="Arial" w:eastAsia="Arial" w:hAnsi="Arial"/>
          <w:sz w:val="17"/>
          <w:szCs w:val="17"/>
          <w:i w:val="1"/>
          <w:iCs w:val="1"/>
          <w:color w:val="auto"/>
        </w:rPr>
        <w:t>Code des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Suisse</w:t>
      </w:r>
      <w:r>
        <w:rPr>
          <w:rFonts w:ascii="Arial" w:cs="Arial" w:eastAsia="Arial" w:hAnsi="Arial"/>
          <w:sz w:val="17"/>
          <w:szCs w:val="17"/>
          <w:color w:val="auto"/>
        </w:rPr>
        <w:t>) and the Swiss Ordinance against excessive compensation in listed stock corporations applicable to our Company, as implemented by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201"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Mergers and similar arrangements</w:t>
      </w:r>
    </w:p>
    <w:p>
      <w:pPr>
        <w:sectPr>
          <w:pgSz w:w="11900" w:h="16838" w:orient="portrait"/>
          <w:cols w:equalWidth="0" w:num="1">
            <w:col w:w="11380"/>
          </w:cols>
          <w:pgMar w:left="240" w:top="459" w:right="279" w:bottom="1440" w:gutter="0" w:footer="0" w:header="0"/>
        </w:sectPr>
      </w:pP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Arial" w:cs="Arial" w:eastAsia="Arial" w:hAnsi="Arial"/>
          <w:sz w:val="16"/>
          <w:szCs w:val="16"/>
          <w:i w:val="1"/>
          <w:iCs w:val="1"/>
          <w:color w:val="auto"/>
        </w:rPr>
        <w:t>Loi</w:t>
      </w:r>
      <w:r>
        <w:rPr>
          <w:rFonts w:ascii="Arial" w:cs="Arial" w:eastAsia="Arial" w:hAnsi="Arial"/>
          <w:sz w:val="16"/>
          <w:szCs w:val="16"/>
          <w:color w:val="auto"/>
        </w:rPr>
        <w:t xml:space="preserve"> </w:t>
      </w:r>
      <w:r>
        <w:rPr>
          <w:rFonts w:ascii="Arial" w:cs="Arial" w:eastAsia="Arial" w:hAnsi="Arial"/>
          <w:sz w:val="16"/>
          <w:szCs w:val="16"/>
          <w:i w:val="1"/>
          <w:iCs w:val="1"/>
          <w:color w:val="auto"/>
        </w:rPr>
        <w:t>sur la fusion</w:t>
      </w:r>
      <w:r>
        <w:rPr>
          <w:rFonts w:ascii="Arial" w:cs="Arial" w:eastAsia="Arial" w:hAnsi="Arial"/>
          <w:sz w:val="16"/>
          <w:szCs w:val="16"/>
          <w:color w:val="auto"/>
        </w:rPr>
        <w:t>) can file a lawsuit against the surviving company. If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90.0% of all members in the transferring legal entity, who are entitled to vote, shall approve the merger agreement.</w:t>
      </w:r>
    </w:p>
    <w:p>
      <w:pPr>
        <w:spacing w:after="0" w:line="184" w:lineRule="exact"/>
        <w:rPr>
          <w:sz w:val="20"/>
          <w:szCs w:val="20"/>
          <w:color w:val="auto"/>
        </w:rPr>
      </w:pPr>
    </w:p>
    <w:p>
      <w:pPr>
        <w:sectPr>
          <w:pgSz w:w="11900" w:h="16838" w:orient="portrait"/>
          <w:cols w:equalWidth="0" w:num="2">
            <w:col w:w="5720" w:space="340"/>
            <w:col w:w="5320"/>
          </w:cols>
          <w:pgMar w:left="240" w:top="459"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Shareholders’ suits</w:t>
      </w:r>
    </w:p>
    <w:p>
      <w:pPr>
        <w:sectPr>
          <w:pgSz w:w="11900" w:h="16838" w:orient="portrait"/>
          <w:cols w:equalWidth="0" w:num="1">
            <w:col w:w="11380"/>
          </w:cols>
          <w:pgMar w:left="240" w:top="459" w:right="279" w:bottom="1440" w:gutter="0" w:footer="0" w:header="0"/>
          <w:type w:val="continuous"/>
        </w:sectPr>
      </w:pPr>
    </w:p>
    <w:p>
      <w:pPr>
        <w:spacing w:after="0" w:line="14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to the individual shareholder and creditors. Likewise, an appraisal lawsuit won by a shareholder will may indirectly compensate all shareholders. In addition, to the extent that US laws and regulations provide a basis for liability and US courts have jurisdiction, a class action may be available.</w:t>
      </w:r>
    </w:p>
    <w:p>
      <w:pPr>
        <w:spacing w:after="0" w:line="2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Swiss law, the winning party is generally entitled to recover or to partially recover attorneys’</w:t>
      </w:r>
    </w:p>
    <w:p>
      <w:pPr>
        <w:sectPr>
          <w:pgSz w:w="11900" w:h="16838" w:orient="portrait"/>
          <w:cols w:equalWidth="0" w:num="2">
            <w:col w:w="5840" w:space="220"/>
            <w:col w:w="5320"/>
          </w:cols>
          <w:pgMar w:left="240" w:top="459" w:right="279" w:bottom="1440" w:gutter="0" w:footer="0" w:header="0"/>
          <w:type w:val="continuous"/>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 xml:space="preserve">fees incurred in connection with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court has broad discretion to permit the shareholder whose claim has been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dismissed to recover attorneys’ fees incurred to the extent he or she acted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good faith.</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Shareholder vote on board and management compensation</w:t>
      </w:r>
    </w:p>
    <w:p>
      <w:pPr>
        <w:sectPr>
          <w:pgSz w:w="11900" w:h="16838" w:orient="portrait"/>
          <w:cols w:equalWidth="0" w:num="1">
            <w:col w:w="11400"/>
          </w:cols>
          <w:pgMar w:left="240" w:top="460" w:right="259" w:bottom="1440" w:gutter="0" w:footer="0" w:header="0"/>
        </w:sectPr>
      </w:pP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Pursuant to the Swiss Ordinance against excessive compensation in listed stock corporations (</w:t>
      </w:r>
      <w:r>
        <w:rPr>
          <w:rFonts w:ascii="Arial" w:cs="Arial" w:eastAsia="Arial" w:hAnsi="Arial"/>
          <w:sz w:val="16"/>
          <w:szCs w:val="16"/>
          <w:i w:val="1"/>
          <w:iCs w:val="1"/>
          <w:color w:val="auto"/>
        </w:rPr>
        <w:t>Ordonnance contre les rémunérations abusives dans</w:t>
      </w:r>
      <w:r>
        <w:rPr>
          <w:rFonts w:ascii="Arial" w:cs="Arial" w:eastAsia="Arial" w:hAnsi="Arial"/>
          <w:sz w:val="16"/>
          <w:szCs w:val="16"/>
          <w:color w:val="auto"/>
        </w:rPr>
        <w:t xml:space="preserve"> </w:t>
      </w:r>
      <w:r>
        <w:rPr>
          <w:rFonts w:ascii="Arial" w:cs="Arial" w:eastAsia="Arial" w:hAnsi="Arial"/>
          <w:sz w:val="16"/>
          <w:szCs w:val="16"/>
          <w:i w:val="1"/>
          <w:iCs w:val="1"/>
          <w:color w:val="auto"/>
        </w:rPr>
        <w:t>les sociétés anonymes cotées en bourse</w:t>
      </w:r>
      <w:r>
        <w:rPr>
          <w:rFonts w:ascii="Arial" w:cs="Arial" w:eastAsia="Arial" w:hAnsi="Arial"/>
          <w:sz w:val="16"/>
          <w:szCs w:val="16"/>
          <w:color w:val="auto"/>
        </w:rPr>
        <w:t>), the general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has the non-transferable right, amongst others, to vote on the fixed and on the variable compensation of the members of the board of directors, of the executive management and of the advisory boards.</w:t>
      </w:r>
    </w:p>
    <w:p>
      <w:pPr>
        <w:spacing w:after="0" w:line="165" w:lineRule="exact"/>
        <w:rPr>
          <w:sz w:val="20"/>
          <w:szCs w:val="20"/>
          <w:color w:val="auto"/>
        </w:rPr>
      </w:pPr>
    </w:p>
    <w:p>
      <w:pPr>
        <w:sectPr>
          <w:pgSz w:w="11900" w:h="16838" w:orient="portrait"/>
          <w:cols w:equalWidth="0" w:num="2">
            <w:col w:w="5760" w:space="300"/>
            <w:col w:w="5340"/>
          </w:cols>
          <w:pgMar w:left="240" w:top="46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Annual vote on board renewal</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general meeting of shareholders elects annually (i.e. term of office until the end of the following general meeting of shareholders) the members of the board of directors and the members of the compensation committee individually for a term of office of one year. Re-election is possible.</w:t>
      </w:r>
    </w:p>
    <w:p>
      <w:pPr>
        <w:spacing w:after="0" w:line="200" w:lineRule="exact"/>
        <w:rPr>
          <w:sz w:val="20"/>
          <w:szCs w:val="20"/>
          <w:color w:val="auto"/>
        </w:rPr>
      </w:pPr>
    </w:p>
    <w:p>
      <w:pPr>
        <w:sectPr>
          <w:pgSz w:w="11900" w:h="16838" w:orient="portrait"/>
          <w:cols w:equalWidth="0" w:num="2">
            <w:col w:w="5820" w:space="240"/>
            <w:col w:w="5340"/>
          </w:cols>
          <w:pgMar w:left="240" w:top="460" w:right="25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Indemnification of directors and executive management and limitation of liability</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99" w:lineRule="exact"/>
        <w:rPr>
          <w:sz w:val="20"/>
          <w:szCs w:val="20"/>
          <w:color w:val="auto"/>
        </w:rPr>
      </w:pPr>
    </w:p>
    <w:p>
      <w:pPr>
        <w:ind w:left="720" w:right="400" w:hanging="352"/>
        <w:spacing w:after="0" w:line="277" w:lineRule="auto"/>
        <w:tabs>
          <w:tab w:leader="none" w:pos="7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75" w:lineRule="exact"/>
        <w:rPr>
          <w:rFonts w:ascii="Arial" w:cs="Arial" w:eastAsia="Arial" w:hAnsi="Arial"/>
          <w:sz w:val="18"/>
          <w:szCs w:val="18"/>
          <w:color w:val="auto"/>
        </w:rPr>
      </w:pPr>
    </w:p>
    <w:p>
      <w:pPr>
        <w:ind w:left="720" w:right="520" w:hanging="352"/>
        <w:spacing w:after="0" w:line="277" w:lineRule="auto"/>
        <w:tabs>
          <w:tab w:leader="none" w:pos="7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75" w:lineRule="exact"/>
        <w:rPr>
          <w:rFonts w:ascii="Arial" w:cs="Arial" w:eastAsia="Arial" w:hAnsi="Arial"/>
          <w:sz w:val="18"/>
          <w:szCs w:val="18"/>
          <w:color w:val="auto"/>
        </w:rPr>
      </w:pPr>
    </w:p>
    <w:p>
      <w:pPr>
        <w:ind w:left="720" w:right="420" w:hanging="352"/>
        <w:spacing w:after="0" w:line="277" w:lineRule="auto"/>
        <w:tabs>
          <w:tab w:leader="none" w:pos="7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stock purchase or redemption; or</w:t>
      </w:r>
    </w:p>
    <w:p>
      <w:pPr>
        <w:spacing w:after="0" w:line="75" w:lineRule="exact"/>
        <w:rPr>
          <w:rFonts w:ascii="Arial" w:cs="Arial" w:eastAsia="Arial" w:hAnsi="Arial"/>
          <w:sz w:val="18"/>
          <w:szCs w:val="18"/>
          <w:color w:val="auto"/>
        </w:rPr>
      </w:pPr>
    </w:p>
    <w:p>
      <w:pPr>
        <w:ind w:left="720" w:right="80" w:hanging="352"/>
        <w:spacing w:after="0" w:line="277" w:lineRule="auto"/>
        <w:tabs>
          <w:tab w:leader="none" w:pos="7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w:t>
      </w:r>
    </w:p>
    <w:p>
      <w:pPr>
        <w:spacing w:after="0" w:line="468" w:lineRule="exact"/>
        <w:rPr>
          <w:sz w:val="20"/>
          <w:szCs w:val="20"/>
          <w:color w:val="auto"/>
        </w:rPr>
      </w:pPr>
    </w:p>
    <w:p>
      <w:pPr>
        <w:sectPr>
          <w:pgSz w:w="11900" w:h="16838" w:orient="portrait"/>
          <w:cols w:equalWidth="0" w:num="2">
            <w:col w:w="5820" w:space="240"/>
            <w:col w:w="5340"/>
          </w:cols>
          <w:pgMar w:left="240" w:top="460" w:right="259" w:bottom="1440" w:gutter="0" w:footer="0" w:header="0"/>
          <w:type w:val="continuous"/>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1400"/>
          </w:cols>
          <w:pgMar w:left="240" w:top="460" w:right="259" w:bottom="1440" w:gutter="0" w:footer="0" w:header="0"/>
          <w:type w:val="continuous"/>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8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20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87" w:lineRule="exact"/>
        <w:rPr>
          <w:sz w:val="20"/>
          <w:szCs w:val="20"/>
          <w:color w:val="auto"/>
        </w:rPr>
      </w:pPr>
    </w:p>
    <w:p>
      <w:pPr>
        <w:ind w:left="720" w:right="700" w:hanging="352"/>
        <w:spacing w:after="0" w:line="277" w:lineRule="auto"/>
        <w:tabs>
          <w:tab w:leader="none" w:pos="73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spacing w:after="0" w:line="75" w:lineRule="exact"/>
        <w:rPr>
          <w:rFonts w:ascii="Arial" w:cs="Arial" w:eastAsia="Arial" w:hAnsi="Arial"/>
          <w:sz w:val="18"/>
          <w:szCs w:val="18"/>
          <w:color w:val="auto"/>
        </w:rPr>
      </w:pPr>
    </w:p>
    <w:p>
      <w:pPr>
        <w:ind w:left="720" w:right="400" w:hanging="352"/>
        <w:spacing w:after="0" w:line="277" w:lineRule="auto"/>
        <w:tabs>
          <w:tab w:leader="none" w:pos="73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spacing w:after="0" w:line="75" w:lineRule="exact"/>
        <w:rPr>
          <w:rFonts w:ascii="Arial" w:cs="Arial" w:eastAsia="Arial" w:hAnsi="Arial"/>
          <w:sz w:val="18"/>
          <w:szCs w:val="18"/>
          <w:color w:val="auto"/>
        </w:rPr>
      </w:pPr>
    </w:p>
    <w:p>
      <w:pPr>
        <w:ind w:left="720" w:right="420" w:hanging="352"/>
        <w:spacing w:after="0" w:line="308" w:lineRule="auto"/>
        <w:tabs>
          <w:tab w:leader="none" w:pos="73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by independent legal counsel in a written opinion if there are no eligible directors, or if the eligible directors so direct; or</w:t>
      </w:r>
    </w:p>
    <w:p>
      <w:pPr>
        <w:spacing w:after="0" w:line="51" w:lineRule="exact"/>
        <w:rPr>
          <w:rFonts w:ascii="Arial" w:cs="Arial" w:eastAsia="Arial" w:hAnsi="Arial"/>
          <w:sz w:val="17"/>
          <w:szCs w:val="17"/>
          <w:color w:val="auto"/>
        </w:rPr>
      </w:pPr>
    </w:p>
    <w:p>
      <w:pPr>
        <w:ind w:left="740" w:hanging="372"/>
        <w:spacing w:after="0"/>
        <w:tabs>
          <w:tab w:leader="none" w:pos="7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corporate law, including shareholders of the corporation.</w:t>
      </w:r>
    </w:p>
    <w:p>
      <w:pPr>
        <w:spacing w:after="0" w:line="25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Also, a corporation may enter into and pay for directors’ and officers’ liability insurance which may cover negligent acts as well.</w:t>
      </w:r>
    </w:p>
    <w:p>
      <w:pPr>
        <w:spacing w:after="0" w:line="2741" w:lineRule="exact"/>
        <w:rPr>
          <w:sz w:val="20"/>
          <w:szCs w:val="20"/>
          <w:color w:val="auto"/>
        </w:rPr>
      </w:pPr>
    </w:p>
    <w:p>
      <w:pPr>
        <w:sectPr>
          <w:pgSz w:w="11900" w:h="16838" w:orient="portrait"/>
          <w:cols w:equalWidth="0" w:num="2">
            <w:col w:w="5760" w:space="300"/>
            <w:col w:w="5340"/>
          </w:cols>
          <w:pgMar w:left="240" w:top="459" w:right="259" w:bottom="1440" w:gutter="0" w:footer="0" w:header="0"/>
        </w:sectPr>
      </w:pPr>
    </w:p>
    <w:p>
      <w:pPr>
        <w:spacing w:after="0" w:line="52" w:lineRule="exact"/>
        <w:rPr>
          <w:sz w:val="20"/>
          <w:szCs w:val="20"/>
          <w:color w:val="auto"/>
        </w:rPr>
      </w:pPr>
    </w:p>
    <w:p>
      <w:pPr>
        <w:ind w:right="5620"/>
        <w:spacing w:after="0" w:line="273" w:lineRule="auto"/>
        <w:rPr>
          <w:sz w:val="20"/>
          <w:szCs w:val="20"/>
          <w:color w:val="auto"/>
        </w:rPr>
      </w:pPr>
      <w:r>
        <w:rPr>
          <w:rFonts w:ascii="Arial" w:cs="Arial" w:eastAsia="Arial" w:hAnsi="Arial"/>
          <w:sz w:val="17"/>
          <w:szCs w:val="17"/>
          <w:color w:val="auto"/>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Directors’ fiduciary duties</w:t>
      </w:r>
    </w:p>
    <w:p>
      <w:pPr>
        <w:sectPr>
          <w:pgSz w:w="11900" w:h="16838" w:orient="portrait"/>
          <w:cols w:equalWidth="0" w:num="1">
            <w:col w:w="11400"/>
          </w:cols>
          <w:pgMar w:left="240" w:top="459" w:right="259" w:bottom="1440" w:gutter="0" w:footer="0" w:header="0"/>
          <w:type w:val="continuous"/>
        </w:sectPr>
      </w:pPr>
    </w:p>
    <w:p>
      <w:pPr>
        <w:spacing w:after="0" w:line="1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w:t>
      </w:r>
    </w:p>
    <w:p>
      <w:pPr>
        <w:spacing w:after="0" w:line="76" w:lineRule="exact"/>
        <w:rPr>
          <w:sz w:val="20"/>
          <w:szCs w:val="20"/>
          <w:color w:val="auto"/>
        </w:rPr>
      </w:pPr>
    </w:p>
    <w:p>
      <w:pPr>
        <w:ind w:left="740" w:hanging="372"/>
        <w:spacing w:after="0"/>
        <w:tabs>
          <w:tab w:leader="none" w:pos="7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duty of care; and</w:t>
      </w:r>
    </w:p>
    <w:p>
      <w:pPr>
        <w:spacing w:after="0" w:line="130" w:lineRule="exact"/>
        <w:rPr>
          <w:rFonts w:ascii="Arial" w:cs="Arial" w:eastAsia="Arial" w:hAnsi="Arial"/>
          <w:sz w:val="18"/>
          <w:szCs w:val="18"/>
          <w:color w:val="auto"/>
        </w:rPr>
      </w:pPr>
    </w:p>
    <w:p>
      <w:pPr>
        <w:ind w:left="740" w:hanging="372"/>
        <w:spacing w:after="0"/>
        <w:tabs>
          <w:tab w:leader="none" w:pos="7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25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duty of care requires that a director act in good faith, with the care that an ordinarily prudent person would exercise under similar circumstances. Under this duty, a director must inform himself or herself of, and</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board of directors of a Swiss corporation manages the business of the corporation, unless responsibility for such management has not been delegated to the executive management (for example by organizational rules and comparable bylaws). However, there are several non-transferable duties of the board of directors:</w:t>
      </w:r>
    </w:p>
    <w:p>
      <w:pPr>
        <w:spacing w:after="0" w:line="78" w:lineRule="exact"/>
        <w:rPr>
          <w:sz w:val="20"/>
          <w:szCs w:val="20"/>
          <w:color w:val="auto"/>
        </w:rPr>
      </w:pPr>
    </w:p>
    <w:p>
      <w:pPr>
        <w:ind w:left="720" w:hanging="361"/>
        <w:spacing w:after="0" w:line="277" w:lineRule="auto"/>
        <w:tabs>
          <w:tab w:leader="none" w:pos="73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overall management of the corporation and the issuing of all necessary directives;</w:t>
      </w:r>
    </w:p>
    <w:p>
      <w:pPr>
        <w:sectPr>
          <w:pgSz w:w="11900" w:h="16838" w:orient="portrait"/>
          <w:cols w:equalWidth="0" w:num="2">
            <w:col w:w="5840" w:space="220"/>
            <w:col w:w="5340"/>
          </w:cols>
          <w:pgMar w:left="240" w:top="459" w:right="259" w:bottom="1440" w:gutter="0" w:footer="0" w:header="0"/>
          <w:type w:val="continuous"/>
        </w:sectPr>
      </w:pPr>
    </w:p>
    <w:bookmarkStart w:id="172" w:name="page173"/>
    <w:bookmarkEnd w:id="1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328"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disclose to shareholders, all material information reasonably available regarding a significant transaction.</w:t>
      </w:r>
    </w:p>
    <w:p>
      <w:pPr>
        <w:spacing w:after="0" w:line="1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 w:lineRule="exact"/>
        <w:rPr>
          <w:sz w:val="20"/>
          <w:szCs w:val="20"/>
          <w:color w:val="auto"/>
        </w:rPr>
      </w:pPr>
    </w:p>
    <w:p>
      <w:pPr>
        <w:ind w:left="740" w:hanging="381"/>
        <w:spacing w:after="0"/>
        <w:tabs>
          <w:tab w:leader="none" w:pos="7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determination of the corporation’s organization;</w:t>
      </w:r>
    </w:p>
    <w:p>
      <w:pPr>
        <w:spacing w:after="0" w:line="128" w:lineRule="exact"/>
        <w:rPr>
          <w:rFonts w:ascii="Arial" w:cs="Arial" w:eastAsia="Arial" w:hAnsi="Arial"/>
          <w:sz w:val="18"/>
          <w:szCs w:val="18"/>
          <w:color w:val="auto"/>
        </w:rPr>
      </w:pPr>
    </w:p>
    <w:p>
      <w:pPr>
        <w:ind w:left="720" w:right="200" w:hanging="361"/>
        <w:spacing w:after="0" w:line="264" w:lineRule="auto"/>
        <w:tabs>
          <w:tab w:leader="none" w:pos="73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organization of the accounting, financial control and financial planning systems as required for management of the corporation;</w:t>
      </w:r>
    </w:p>
    <w:p>
      <w:pPr>
        <w:spacing w:after="0" w:line="86" w:lineRule="exact"/>
        <w:rPr>
          <w:rFonts w:ascii="Arial" w:cs="Arial" w:eastAsia="Arial" w:hAnsi="Arial"/>
          <w:sz w:val="18"/>
          <w:szCs w:val="18"/>
          <w:color w:val="auto"/>
        </w:rPr>
      </w:pPr>
    </w:p>
    <w:p>
      <w:pPr>
        <w:ind w:left="720" w:right="580" w:hanging="361"/>
        <w:spacing w:after="0" w:line="308" w:lineRule="auto"/>
        <w:tabs>
          <w:tab w:leader="none" w:pos="73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appointment and dismissal of persons entrusted with managing and representing the corporation;</w:t>
      </w:r>
    </w:p>
    <w:p>
      <w:pPr>
        <w:spacing w:after="0" w:line="51" w:lineRule="exact"/>
        <w:rPr>
          <w:rFonts w:ascii="Arial" w:cs="Arial" w:eastAsia="Arial" w:hAnsi="Arial"/>
          <w:sz w:val="17"/>
          <w:szCs w:val="17"/>
          <w:color w:val="auto"/>
        </w:rPr>
      </w:pPr>
    </w:p>
    <w:p>
      <w:pPr>
        <w:ind w:left="720" w:right="100" w:hanging="361"/>
        <w:spacing w:after="0" w:line="259" w:lineRule="auto"/>
        <w:tabs>
          <w:tab w:leader="none" w:pos="73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overall supervision of the persons entrusted with managing the corporation, in particular with regard to compliance with the law, articles of association, operational regulations and directives;</w:t>
      </w:r>
    </w:p>
    <w:p>
      <w:pPr>
        <w:spacing w:after="0" w:line="92" w:lineRule="exact"/>
        <w:rPr>
          <w:rFonts w:ascii="Arial" w:cs="Arial" w:eastAsia="Arial" w:hAnsi="Arial"/>
          <w:sz w:val="18"/>
          <w:szCs w:val="18"/>
          <w:color w:val="auto"/>
        </w:rPr>
      </w:pPr>
    </w:p>
    <w:p>
      <w:pPr>
        <w:jc w:val="both"/>
        <w:ind w:left="720" w:right="300" w:hanging="361"/>
        <w:spacing w:after="0" w:line="264" w:lineRule="auto"/>
        <w:tabs>
          <w:tab w:leader="none" w:pos="73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compilation of the annual report, preparation for the general meeting, the compensation report and implementation of its resolutions; and</w:t>
      </w:r>
    </w:p>
    <w:p>
      <w:pPr>
        <w:spacing w:after="0" w:line="86" w:lineRule="exact"/>
        <w:rPr>
          <w:rFonts w:ascii="Arial" w:cs="Arial" w:eastAsia="Arial" w:hAnsi="Arial"/>
          <w:sz w:val="18"/>
          <w:szCs w:val="18"/>
          <w:color w:val="auto"/>
        </w:rPr>
      </w:pPr>
    </w:p>
    <w:p>
      <w:pPr>
        <w:ind w:left="720" w:right="580" w:hanging="361"/>
        <w:spacing w:after="0" w:line="277" w:lineRule="auto"/>
        <w:tabs>
          <w:tab w:leader="none" w:pos="73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notification of the court in the event that the company is overindebted.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board of directors must perform their duties with 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due diligence and safeguard the interests of the corporation in good faith.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They must afford the shareholders equal treatment in equal circumstances.</w:t>
      </w:r>
    </w:p>
    <w:p>
      <w:pPr>
        <w:spacing w:after="0" w:line="26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burden of proof for a violation of these duties is with the corporation or with the shareholder bringing a suit against the director.</w:t>
      </w:r>
    </w:p>
    <w:p>
      <w:pPr>
        <w:spacing w:after="0" w:line="160" w:lineRule="exact"/>
        <w:rPr>
          <w:sz w:val="20"/>
          <w:szCs w:val="20"/>
          <w:color w:val="auto"/>
        </w:rPr>
      </w:pPr>
    </w:p>
    <w:p>
      <w:pPr>
        <w:sectPr>
          <w:pgSz w:w="11900" w:h="16838" w:orient="portrait"/>
          <w:cols w:equalWidth="0" w:num="2">
            <w:col w:w="5800" w:space="26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action by written consent</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158" w:lineRule="exact"/>
        <w:rPr>
          <w:sz w:val="20"/>
          <w:szCs w:val="20"/>
          <w:color w:val="auto"/>
        </w:rPr>
      </w:pPr>
    </w:p>
    <w:p>
      <w:pPr>
        <w:sectPr>
          <w:pgSz w:w="11900" w:h="16838" w:orient="portrait"/>
          <w:cols w:equalWidth="0" w:num="2">
            <w:col w:w="5540" w:space="5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proposals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At any general meeting of shareholders any shareholder may put proposals to the meeting if the proposal is part of an agenda item. No resolution may be made on proposals relating to the agenda items that were not duly notified. Unless the articles of</w:t>
      </w:r>
    </w:p>
    <w:p>
      <w:pPr>
        <w:spacing w:after="0" w:line="104" w:lineRule="exact"/>
        <w:rPr>
          <w:sz w:val="20"/>
          <w:szCs w:val="20"/>
          <w:color w:val="auto"/>
        </w:rPr>
      </w:pPr>
    </w:p>
    <w:p>
      <w:pPr>
        <w:sectPr>
          <w:pgSz w:w="11900" w:h="16838" w:orient="portrait"/>
          <w:cols w:equalWidth="0" w:num="2">
            <w:col w:w="5820" w:space="24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170</w:t>
      </w:r>
    </w:p>
    <w:p>
      <w:pPr>
        <w:sectPr>
          <w:pgSz w:w="11900" w:h="16838" w:orient="portrait"/>
          <w:cols w:equalWidth="0" w:num="1">
            <w:col w:w="11420"/>
          </w:cols>
          <w:pgMar w:left="240" w:top="460" w:right="239" w:bottom="1440" w:gutter="0" w:footer="0" w:header="0"/>
          <w:type w:val="continuous"/>
        </w:sectPr>
      </w:pPr>
    </w:p>
    <w:bookmarkStart w:id="173" w:name="page174"/>
    <w:bookmarkEnd w:id="1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328" w:lineRule="exact"/>
        <w:rPr>
          <w:sz w:val="20"/>
          <w:szCs w:val="20"/>
          <w:color w:val="auto"/>
        </w:rPr>
      </w:pPr>
    </w:p>
    <w:p>
      <w:pPr>
        <w:jc w:val="center"/>
        <w:ind w:left="20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association provide for a lower threshold or for additional shareholders’ rights:</w:t>
      </w:r>
    </w:p>
    <w:p>
      <w:pPr>
        <w:spacing w:after="0" w:line="77" w:lineRule="exact"/>
        <w:rPr>
          <w:sz w:val="20"/>
          <w:szCs w:val="20"/>
          <w:color w:val="auto"/>
        </w:rPr>
      </w:pPr>
    </w:p>
    <w:p>
      <w:pPr>
        <w:ind w:left="720" w:right="180" w:hanging="361"/>
        <w:spacing w:after="0" w:line="312" w:lineRule="auto"/>
        <w:tabs>
          <w:tab w:leader="none" w:pos="73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shareholders together representing at least 10% of the share capital may demand that a general meeting of shareholders be called for specific agenda items and specific proposals; and</w:t>
      </w:r>
    </w:p>
    <w:p>
      <w:pPr>
        <w:spacing w:after="0" w:line="52" w:lineRule="exact"/>
        <w:rPr>
          <w:rFonts w:ascii="Arial" w:cs="Arial" w:eastAsia="Arial" w:hAnsi="Arial"/>
          <w:sz w:val="16"/>
          <w:szCs w:val="16"/>
          <w:color w:val="auto"/>
        </w:rPr>
      </w:pPr>
    </w:p>
    <w:p>
      <w:pPr>
        <w:ind w:left="720" w:right="140" w:hanging="361"/>
        <w:spacing w:after="0" w:line="297" w:lineRule="auto"/>
        <w:tabs>
          <w:tab w:leader="none" w:pos="73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shareholders together representing at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85" w:lineRule="exact"/>
        <w:rPr>
          <w:sz w:val="20"/>
          <w:szCs w:val="20"/>
          <w:color w:val="auto"/>
        </w:rPr>
      </w:pPr>
    </w:p>
    <w:p>
      <w:pPr>
        <w:sectPr>
          <w:pgSz w:w="11900" w:h="16838" w:orient="portrait"/>
          <w:cols w:equalWidth="0" w:num="2">
            <w:col w:w="5640" w:space="420"/>
            <w:col w:w="5360"/>
          </w:cols>
          <w:pgMar w:left="240" w:top="460" w:right="23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Any shareholder can propose candidates for election as directors without</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prior written notice.</w:t>
      </w:r>
    </w:p>
    <w:p>
      <w:pPr>
        <w:spacing w:after="0" w:line="2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addition, any shareholder is entitled, at a general meeting of</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shareholders and without advance notice, to (i) request information from</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Board on the affairs of the company (note, however, that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obtain such information is limited), (ii) request information from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auditors on the methods and results of their audit, (iii) request to convene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 extraordinary general meeting or (iv) to carry out a special audit and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appoint an auditor at the request of a shareholder.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Cumulative voting</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compensation for the members of the board of directors and the executive committee as well as for the members of the advisory board, if applicable, is mandatory for listed companies. Re-election is permitted.</w:t>
      </w:r>
    </w:p>
    <w:p>
      <w:pPr>
        <w:spacing w:after="0" w:line="169" w:lineRule="exact"/>
        <w:rPr>
          <w:sz w:val="20"/>
          <w:szCs w:val="20"/>
          <w:color w:val="auto"/>
        </w:rPr>
      </w:pPr>
    </w:p>
    <w:p>
      <w:pPr>
        <w:sectPr>
          <w:pgSz w:w="11900" w:h="16838" w:orient="portrait"/>
          <w:cols w:equalWidth="0" w:num="2">
            <w:col w:w="5740" w:space="3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Removal of directors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 Swiss corporation may remove, with or without cause, any director at any time with a resolution passed by a simple majority of the shares represented at a general meeting of shareholders concerned. The</w:t>
      </w:r>
    </w:p>
    <w:p>
      <w:pPr>
        <w:spacing w:after="0" w:line="79" w:lineRule="exact"/>
        <w:rPr>
          <w:sz w:val="20"/>
          <w:szCs w:val="20"/>
          <w:color w:val="auto"/>
        </w:rPr>
      </w:pPr>
    </w:p>
    <w:p>
      <w:pPr>
        <w:sectPr>
          <w:pgSz w:w="11900" w:h="16838" w:orient="portrait"/>
          <w:cols w:equalWidth="0" w:num="2">
            <w:col w:w="5740" w:space="3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171</w:t>
      </w:r>
    </w:p>
    <w:p>
      <w:pPr>
        <w:sectPr>
          <w:pgSz w:w="11900" w:h="16838" w:orient="portrait"/>
          <w:cols w:equalWidth="0" w:num="1">
            <w:col w:w="11420"/>
          </w:cols>
          <w:pgMar w:left="240" w:top="460" w:right="239" w:bottom="1440" w:gutter="0" w:footer="0" w:header="0"/>
          <w:type w:val="continuous"/>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articles of association may require the approval by a qualified majority of</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shares represented at a meeting for the removal of a director.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Transactions with interested shareholders</w:t>
      </w:r>
    </w:p>
    <w:p>
      <w:pPr>
        <w:spacing w:after="0" w:line="11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The Delaware General Corporation Law generally prohibits a Delaware</w:t>
      </w:r>
      <w:r>
        <w:rPr>
          <w:sz w:val="20"/>
          <w:szCs w:val="20"/>
          <w:color w:val="auto"/>
        </w:rPr>
        <w:tab/>
      </w:r>
      <w:r>
        <w:rPr>
          <w:rFonts w:ascii="Arial" w:cs="Arial" w:eastAsia="Arial" w:hAnsi="Arial"/>
          <w:sz w:val="16"/>
          <w:szCs w:val="16"/>
          <w:color w:val="auto"/>
        </w:rPr>
        <w:t>No such rule applies to a Swiss corporation.</w:t>
      </w:r>
    </w:p>
    <w:p>
      <w:pPr>
        <w:spacing w:after="0" w:line="23" w:lineRule="exact"/>
        <w:rPr>
          <w:sz w:val="20"/>
          <w:szCs w:val="20"/>
          <w:color w:val="auto"/>
        </w:rPr>
      </w:pPr>
    </w:p>
    <w:p>
      <w:pPr>
        <w:ind w:right="5660"/>
        <w:spacing w:after="0" w:line="271" w:lineRule="auto"/>
        <w:rPr>
          <w:sz w:val="20"/>
          <w:szCs w:val="20"/>
          <w:color w:val="auto"/>
        </w:rPr>
      </w:pPr>
      <w:r>
        <w:rPr>
          <w:rFonts w:ascii="Arial" w:cs="Arial" w:eastAsia="Arial" w:hAnsi="Arial"/>
          <w:sz w:val="17"/>
          <w:szCs w:val="17"/>
          <w:color w:val="auto"/>
        </w:rPr>
        <w:t>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Dissolution; Winding up</w:t>
      </w:r>
    </w:p>
    <w:p>
      <w:pPr>
        <w:sectPr>
          <w:pgSz w:w="11900" w:h="16838" w:orient="portrait"/>
          <w:cols w:equalWidth="0" w:num="1">
            <w:col w:w="11400"/>
          </w:cols>
          <w:pgMar w:left="240" w:top="460" w:right="259" w:bottom="1440" w:gutter="0" w:footer="0" w:header="0"/>
        </w:sectPr>
      </w:pP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578" w:lineRule="exact"/>
        <w:rPr>
          <w:sz w:val="20"/>
          <w:szCs w:val="20"/>
          <w:color w:val="auto"/>
        </w:rPr>
      </w:pPr>
    </w:p>
    <w:p>
      <w:pPr>
        <w:sectPr>
          <w:pgSz w:w="11900" w:h="16838" w:orient="portrait"/>
          <w:cols w:equalWidth="0" w:num="2">
            <w:col w:w="5820" w:space="240"/>
            <w:col w:w="5340"/>
          </w:cols>
          <w:pgMar w:left="240" w:top="46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Variation of rights of shares</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general shareholder meeting of a Swiss corporation may resolve that preference shares be issued or that existing shares be converted into preference shares with a resolution passed by a simple majority of the shares represented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Shares with preferential voting rights are not regarded a special class for these purposes.</w:t>
      </w:r>
    </w:p>
    <w:p>
      <w:pPr>
        <w:spacing w:after="0" w:line="184" w:lineRule="exact"/>
        <w:rPr>
          <w:sz w:val="20"/>
          <w:szCs w:val="20"/>
          <w:color w:val="auto"/>
        </w:rPr>
      </w:pPr>
    </w:p>
    <w:p>
      <w:pPr>
        <w:sectPr>
          <w:pgSz w:w="11900" w:h="16838" w:orient="portrait"/>
          <w:cols w:equalWidth="0" w:num="2">
            <w:col w:w="5340" w:space="720"/>
            <w:col w:w="5340"/>
          </w:cols>
          <w:pgMar w:left="240" w:top="46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Amendment of governing documents</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articles of association of a Swiss corporation may be amended with a resolution passed by a simple majority of the shares represented at such meeting, unless otherwise provided in the articles of association. There are a number of resolutions, such</w:t>
      </w:r>
    </w:p>
    <w:p>
      <w:pPr>
        <w:spacing w:after="0" w:line="104" w:lineRule="exact"/>
        <w:rPr>
          <w:sz w:val="20"/>
          <w:szCs w:val="20"/>
          <w:color w:val="auto"/>
        </w:rPr>
      </w:pPr>
    </w:p>
    <w:p>
      <w:pPr>
        <w:sectPr>
          <w:pgSz w:w="11900" w:h="16838" w:orient="portrait"/>
          <w:cols w:equalWidth="0" w:num="2">
            <w:col w:w="5380" w:space="680"/>
            <w:col w:w="5340"/>
          </w:cols>
          <w:pgMar w:left="240" w:top="460"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1400"/>
          </w:cols>
          <w:pgMar w:left="240" w:top="460" w:right="259" w:bottom="1440" w:gutter="0" w:footer="0" w:header="0"/>
          <w:type w:val="continuous"/>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as an amendment of the stated purpose of the corporation, the introduction</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of authorized and conditional capital and the introduction of shares with</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preferential voting rights that require the approval by two-thirds of the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votes and an absolute majority of the nominal value of the shares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represented at a shareholders’ meeting. The articles of association may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increase the voting thresholds.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Inspection of Books and Records</w:t>
      </w:r>
    </w:p>
    <w:p>
      <w:pPr>
        <w:sectPr>
          <w:pgSz w:w="11900" w:h="16838" w:orient="portrait"/>
          <w:cols w:equalWidth="0" w:num="1">
            <w:col w:w="11420"/>
          </w:cols>
          <w:pgMar w:left="240" w:top="459" w:right="239" w:bottom="1440" w:gutter="0" w:footer="0" w:header="0"/>
        </w:sectPr>
      </w:pP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182" w:lineRule="exact"/>
        <w:rPr>
          <w:sz w:val="20"/>
          <w:szCs w:val="20"/>
          <w:color w:val="auto"/>
        </w:rPr>
      </w:pPr>
    </w:p>
    <w:p>
      <w:pPr>
        <w:sectPr>
          <w:pgSz w:w="11900" w:h="16838" w:orient="portrait"/>
          <w:cols w:equalWidth="0" w:num="2">
            <w:col w:w="5780" w:space="28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Payment of dividends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52" w:lineRule="exact"/>
        <w:rPr>
          <w:sz w:val="20"/>
          <w:szCs w:val="20"/>
          <w:color w:val="auto"/>
        </w:rPr>
      </w:pPr>
    </w:p>
    <w:p>
      <w:pPr>
        <w:ind w:left="740" w:hanging="372"/>
        <w:spacing w:after="0"/>
        <w:tabs>
          <w:tab w:leader="none" w:pos="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130" w:lineRule="exact"/>
        <w:rPr>
          <w:rFonts w:ascii="Arial" w:cs="Arial" w:eastAsia="Arial" w:hAnsi="Arial"/>
          <w:sz w:val="18"/>
          <w:szCs w:val="18"/>
          <w:color w:val="auto"/>
        </w:rPr>
      </w:pPr>
    </w:p>
    <w:p>
      <w:pPr>
        <w:ind w:left="720" w:hanging="352"/>
        <w:spacing w:after="0" w:line="342" w:lineRule="auto"/>
        <w:tabs>
          <w:tab w:leader="none" w:pos="73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15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shall be paid but cannot itself authorize the distribution.</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180" w:lineRule="exact"/>
        <w:rPr>
          <w:sz w:val="20"/>
          <w:szCs w:val="20"/>
          <w:color w:val="auto"/>
        </w:rPr>
      </w:pPr>
    </w:p>
    <w:p>
      <w:pPr>
        <w:sectPr>
          <w:pgSz w:w="11900" w:h="16838" w:orient="portrait"/>
          <w:cols w:equalWidth="0" w:num="2">
            <w:col w:w="5800" w:space="260"/>
            <w:col w:w="536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Creation and issuance of new shares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creation of shares require a shareholders’ resolution. An authorized or contingent capital increase requires at least two-thirds of the voting rights represented at the general meeting of shareholders and an absolute majority of the nominal</w:t>
      </w:r>
    </w:p>
    <w:p>
      <w:pPr>
        <w:spacing w:after="0" w:line="119" w:lineRule="exact"/>
        <w:rPr>
          <w:sz w:val="20"/>
          <w:szCs w:val="20"/>
          <w:color w:val="auto"/>
        </w:rPr>
      </w:pPr>
    </w:p>
    <w:p>
      <w:pPr>
        <w:sectPr>
          <w:pgSz w:w="11900" w:h="16838" w:orient="portrait"/>
          <w:cols w:equalWidth="0" w:num="2">
            <w:col w:w="5620" w:space="44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173</w:t>
      </w:r>
    </w:p>
    <w:p>
      <w:pPr>
        <w:sectPr>
          <w:pgSz w:w="11900" w:h="16838" w:orient="portrait"/>
          <w:cols w:equalWidth="0" w:num="1">
            <w:col w:w="11420"/>
          </w:cols>
          <w:pgMar w:left="240" w:top="459" w:right="239" w:bottom="1440" w:gutter="0" w:footer="0" w:header="0"/>
          <w:type w:val="continuous"/>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value of shares represented. Authorized shares can be, once created by</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shareholder resolution, issued by the board of directors (subject to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fulfillment of the authorization). Conditional shares are created and issued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through the exercise of options and conversion rights related to debt</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instruments issued by the board of directors or such rights issued to</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employees.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ELIGIBLE FOR FUTURE SALE</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Prior to this offering, there was no public market for our common shares. Future sales of substantial amounts of our common shares in the public market could adversely affect market prices prevailing from time to time. Furthermore, because only a limited number of common shares will be available for sale shortly after this offering due to existing contractual and legal restrictions on resale as described below, there may be sales of substantial amounts of our common shares in the public market after such restrictions lapse. This may adversely affect the prevailing market price and our ability to raise equity capital in the future.</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Upon completion of this offering, we will have 55,396,042 common shares outstanding. Of these shares, 6,000,000 common shares, or 6,900,000 common shares if the underwriters exercise their option in full to purchase additional common shares, will be freely transferable without restriction or registration under the Securities Act, except for any common shares purchased by one of our existing “affiliates,” as that term is defined in Rule 144 under the Securities Act. The remaining 49,396,042 common shares outstanding are “restricted shares” as defined in Rule 144. Restricted shares may be sold in the public market only if registered or if they qualify for an exemption from registration under Rules 144 or 701 of the Securities Act. After the expiration of the contractual 180-day lock-up period described below, these common shares may be sold in the public market only if registered or pursuant to an exemption under Rules 144 or 701, which are summarized below.</w:t>
      </w:r>
    </w:p>
    <w:p>
      <w:pPr>
        <w:spacing w:after="0" w:line="189"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Additionally, of the options to purchase 2,196,250 common shares outstanding as of August 31, 2016 and assuming no outstanding options are exercised and no exercise of the underwriters’ option to purchase additional shares, options exercisable for 1,597,750 common shares will be vested and eligible for sale 180 days after the date of this prospectus.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In general, a person who has beneficially owned our common shares that are restricted shares for at least six months would be entitled to sell such securities, provided that (i) such person is not deemed to have been one of our affiliates at the time of, or at any time during the 90 days preceding, the sale and (ii) we are subject to, and in compliance with certain of, the Exchange Act periodic reporting requirements for at least 90 days before the sale. If such person has beneficially owned such common shares for at least one year, then the requirement in clause (ii) will not apply to the sale.</w:t>
      </w:r>
    </w:p>
    <w:p>
      <w:pPr>
        <w:spacing w:after="0" w:line="154"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Persons who have beneficially owned our common shares that are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420"/>
          </w:cols>
          <w:pgMar w:left="240" w:top="460" w:right="239" w:bottom="1440" w:gutter="0" w:footer="0" w:header="0"/>
        </w:sectPr>
      </w:pPr>
    </w:p>
    <w:p>
      <w:pPr>
        <w:spacing w:after="0" w:line="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1% of the number of our common shares then outstanding, which will equal approximately offering, assuming no exercise of the underwriters’ over-allotment option; or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common shares immediately after this</w:t>
      </w:r>
    </w:p>
    <w:p>
      <w:pPr>
        <w:spacing w:after="0" w:line="369" w:lineRule="exact"/>
        <w:rPr>
          <w:sz w:val="20"/>
          <w:szCs w:val="20"/>
          <w:color w:val="auto"/>
        </w:rPr>
      </w:pPr>
    </w:p>
    <w:p>
      <w:pPr>
        <w:sectPr>
          <w:pgSz w:w="11900" w:h="16838" w:orient="portrait"/>
          <w:cols w:equalWidth="0" w:num="3">
            <w:col w:w="520" w:space="380"/>
            <w:col w:w="6560" w:space="620"/>
            <w:col w:w="3340"/>
          </w:cols>
          <w:pgMar w:left="240" w:top="460" w:right="239" w:bottom="1440" w:gutter="0" w:footer="0" w:header="0"/>
          <w:type w:val="continuous"/>
        </w:sectPr>
      </w:pPr>
    </w:p>
    <w:p>
      <w:pPr>
        <w:ind w:left="900" w:right="300" w:hanging="446"/>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the NASDAQ during the four calendar weeks preceding the filing of a notice on Form 144 with respect to the sale;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in each case, that we are subject to, and in compliance with certain of, the Exchange Act periodic reporting requirements for at least 90 days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Such sales must also comply with the manner of sale and notice provisions of Rule 144.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share or option plan or other written agreement before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type w:val="continuous"/>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effective date of this offering is entitled to resell such shares 90 days after the effective date of this offering in reliance on Rule 144, without having to comply with the holding period requirements or other restrictions contained in Rule 701.</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below, beginning 90 days after the date of this prospectus, may be sold by persons other than “affiliates,” as defined in Rule 144, subject only to the manner of sale provisions of Rule 144 and by “affiliates” under Rule 144 without compliance with the one-year minimum holding period requirement.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common shares issued or issuable pursuant to the exercise of outstanding options and reserved for issuance under our new omnibus equity incentive plan. We expect to file the registration statements, which will become effective immediately upon filing, shortly after the date of this prospectus. Shares covered by these registration statements will then be eligible for sale in the public markets, subject to vesting restrictions and any applicable holding periods, any applicable lock-up agreements described below and Rule 144 limitations applicable to affiliates.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entered into a registration rights agreement in connection with the Series E Private Placement with certain investors in the Series E Private Placement pursuant to which we agreed under certain circumstances to file a registration statement to register the resale of the shares held by certain of our existing shareholders, as well as to cooperate in certain public offerings of such shares. Registration of these shares under the Securities Act would result in these shares becoming freely tradable without restriction under the Securities Act immediately upon the effectiveness of the registration, except for shares purchased by affiliates. See “Related Party Transactions—Registration Rights Agreement.”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All of our directors and executive officers and the holders of substantially all of our capital stock have agreed, subject to limited exceptions, not to offer, pledge, announce the intention to sell, sell, contract to sell, sell any option or contract to purchase, purchase any option or contract to sell, grant any option, right or warrant to purchase or otherwise dispose of, directly or indirectly, or enter into any swap or other agreement that transfers, in whole or in part, any of the economic consequences of ownership of the common shares or such other securities for a period of 180 days after the date of this prospectus without the prior written consent of Credit Suisse Securities (USA) LLC. See “Underwriting.”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i w:val="1"/>
          <w:iCs w:val="1"/>
          <w:color w:val="auto"/>
        </w:rPr>
        <w:t>The following discussion is based on the tax laws, regulations and regulatory practices of Switzerland and the U.S. as in effect on the date hereof, which are subject to change (or subject to changes in interpretation), possibly with retroactive effect.</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Current and prospective shareholders are advised to consult their own tax advisers in light of their particular circumstances as to the Swiss or U.S. tax laws, regulations and regulatory practices that could be relevant for them in connection with this offering, the acquiring, owning and selling or otherwise disposing of our common shares (such shares for purposes of this “Taxation” section, “Shares”) and receiving dividends and similar cash or in-kind distributions on Shares (including dividends on liquidation proceeds and stock dividends) or distributions on Shares based upon a capital reduction (remboursements liés à la réduction de la valeur nominale des actions) or reserves paid out of capital contributions (apports de capital) and the consequences thereof under the tax laws, regulations and regulatory practices of Switzerland or the United States.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Tax Considerations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the opinion of Vischer Ltd., the following are the material Swiss income tax consequences of owning and disposing our common shares.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cantonal and communal individual income tax and corporate income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Shareholders who are not resident in Switzerland for tax purposes, and who, during the relevant taxation year, have not engaged in a trade or business carried on through a permanent establishment or fixed place of business situated in Switzerland for tax purposes (all such shareholders for purposes of this section, “Non-Resident Shareholders”), will not be subject to any Swiss federal, cantonal and communal income tax on dividends and similar cash or in-kind distributions on Shares (including dividends on liquidation proceeds and stock dividends) (such dividends for the purposes of this,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w:t>
      </w:r>
      <w:r>
        <w:rPr>
          <w:rFonts w:ascii="Arial" w:cs="Arial" w:eastAsia="Arial" w:hAnsi="Arial"/>
          <w:sz w:val="17"/>
          <w:szCs w:val="17"/>
          <w:color w:val="auto"/>
        </w:rPr>
        <w:t xml:space="preserve"> </w:t>
      </w:r>
      <w:r>
        <w:rPr>
          <w:rFonts w:ascii="Arial" w:cs="Arial" w:eastAsia="Arial" w:hAnsi="Arial"/>
          <w:sz w:val="17"/>
          <w:szCs w:val="17"/>
          <w:i w:val="1"/>
          <w:iCs w:val="1"/>
          <w:color w:val="auto"/>
        </w:rPr>
        <w:t>de capital</w:t>
      </w:r>
      <w:r>
        <w:rPr>
          <w:rFonts w:ascii="Arial" w:cs="Arial" w:eastAsia="Arial" w:hAnsi="Arial"/>
          <w:sz w:val="17"/>
          <w:szCs w:val="17"/>
          <w:color w:val="auto"/>
        </w:rPr>
        <w:t>) on Shares, or capital gains realized on the sale or other disposition of Shares (see, however, “—S</w:t>
      </w:r>
      <w:r>
        <w:rPr>
          <w:rFonts w:ascii="Arial" w:cs="Arial" w:eastAsia="Arial" w:hAnsi="Arial"/>
          <w:sz w:val="17"/>
          <w:szCs w:val="17"/>
          <w:i w:val="1"/>
          <w:iCs w:val="1"/>
          <w:color w:val="auto"/>
        </w:rPr>
        <w:t xml:space="preserve">wiss Federal Withholding Tax” </w:t>
      </w:r>
      <w:r>
        <w:rPr>
          <w:rFonts w:ascii="Arial" w:cs="Arial" w:eastAsia="Arial" w:hAnsi="Arial"/>
          <w:sz w:val="17"/>
          <w:szCs w:val="17"/>
          <w:color w:val="auto"/>
        </w:rPr>
        <w:t>below for a</w:t>
      </w:r>
      <w:r>
        <w:rPr>
          <w:rFonts w:ascii="Arial" w:cs="Arial" w:eastAsia="Arial" w:hAnsi="Arial"/>
          <w:sz w:val="17"/>
          <w:szCs w:val="17"/>
          <w:i w:val="1"/>
          <w:iCs w:val="1"/>
          <w:color w:val="auto"/>
        </w:rPr>
        <w:t xml:space="preserve"> </w:t>
      </w:r>
      <w:r>
        <w:rPr>
          <w:rFonts w:ascii="Arial" w:cs="Arial" w:eastAsia="Arial" w:hAnsi="Arial"/>
          <w:sz w:val="17"/>
          <w:szCs w:val="17"/>
          <w:color w:val="auto"/>
        </w:rPr>
        <w:t>summary of Swiss federal withholding tax on Dividends, and “—</w:t>
      </w:r>
      <w:r>
        <w:rPr>
          <w:rFonts w:ascii="Arial" w:cs="Arial" w:eastAsia="Arial" w:hAnsi="Arial"/>
          <w:sz w:val="17"/>
          <w:szCs w:val="17"/>
          <w:i w:val="1"/>
          <w:iCs w:val="1"/>
          <w:color w:val="auto"/>
        </w:rPr>
        <w:t>Foreign final withholding tax”</w:t>
      </w:r>
      <w:r>
        <w:rPr>
          <w:rFonts w:ascii="Arial" w:cs="Arial" w:eastAsia="Arial" w:hAnsi="Arial"/>
          <w:sz w:val="17"/>
          <w:szCs w:val="17"/>
          <w:color w:val="auto"/>
        </w:rPr>
        <w:t xml:space="preserve"> below for a summary on final withholding taxes in respect of Shares held in Swiss accounts by Non-Resident Shareholders).</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Swiss resident individuals who hold their Shares as private assets are required to include Dividends, but not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in their personal income tax return and are subject to Swiss federal, cantonal and communal income tax on any net taxable income for the relevant taxation period, including the Dividends, but not the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Capital gains resulting from the sale or other disposition of Shares are not subject to Swiss federal, cantonal and communal income tax, and conversely, capital losses are not tax-deductible for Resident Private Shareholders (the shareholders referred to in this paragraph for the purposes of this section, “Resident Private Shareholders”). See “—</w:t>
      </w:r>
      <w:r>
        <w:rPr>
          <w:rFonts w:ascii="Arial" w:cs="Arial" w:eastAsia="Arial" w:hAnsi="Arial"/>
          <w:sz w:val="16"/>
          <w:szCs w:val="16"/>
          <w:i w:val="1"/>
          <w:iCs w:val="1"/>
          <w:color w:val="auto"/>
        </w:rPr>
        <w:t>Domestic Commercial Shareholders</w:t>
      </w:r>
      <w:r>
        <w:rPr>
          <w:rFonts w:ascii="Arial" w:cs="Arial" w:eastAsia="Arial" w:hAnsi="Arial"/>
          <w:sz w:val="16"/>
          <w:szCs w:val="16"/>
          <w:color w:val="auto"/>
        </w:rPr>
        <w:t>” below for a summary of the taxation treatment applicable to Swiss resident individuals, who, for income tax purposes, are classified as “professional securities dealers”.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Domestic Commercial Shareholders</w:t>
      </w:r>
    </w:p>
    <w:p>
      <w:pPr>
        <w:spacing w:after="0" w:line="11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Corporate and individual shareholders who are resident in Switzerland for tax purposes, and corporate and individual shareholders who are not resident in Switzerland, and who, in each case, hold their Shares as part of a 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xml:space="preserve">) received on Shares and capital gains or losses realized on the sale or other disposition of Shares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Arial" w:cs="Arial" w:eastAsia="Arial" w:hAnsi="Arial"/>
          <w:sz w:val="16"/>
          <w:szCs w:val="16"/>
          <w:i w:val="1"/>
          <w:iCs w:val="1"/>
          <w:color w:val="auto"/>
        </w:rPr>
        <w:t>inter alia</w:t>
      </w:r>
      <w:r>
        <w:rPr>
          <w:rFonts w:ascii="Arial" w:cs="Arial" w:eastAsia="Arial" w:hAnsi="Arial"/>
          <w:sz w:val="16"/>
          <w:szCs w:val="16"/>
          <w:color w:val="auto"/>
        </w:rPr>
        <w:t>, frequent dealing, or leveraged investments, in shares and other securities (the shareholders referred to in this paragraph for purposes of this section, “Domestic Commercial Shareholders”). Domestic Commercial Shareholders who are corporate taxpayers may be eligible for dividend relief (</w:t>
      </w:r>
      <w:r>
        <w:rPr>
          <w:rFonts w:ascii="Arial" w:cs="Arial" w:eastAsia="Arial" w:hAnsi="Arial"/>
          <w:sz w:val="16"/>
          <w:szCs w:val="16"/>
          <w:i w:val="1"/>
          <w:iCs w:val="1"/>
          <w:color w:val="auto"/>
        </w:rPr>
        <w:t>réduction pour participations</w:t>
      </w:r>
      <w:r>
        <w:rPr>
          <w:rFonts w:ascii="Arial" w:cs="Arial" w:eastAsia="Arial" w:hAnsi="Arial"/>
          <w:sz w:val="16"/>
          <w:szCs w:val="16"/>
          <w:color w:val="auto"/>
        </w:rPr>
        <w:t>) in respect of Dividends and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w:t>
      </w:r>
      <w:r>
        <w:rPr>
          <w:rFonts w:ascii="Arial" w:cs="Arial" w:eastAsia="Arial" w:hAnsi="Arial"/>
          <w:sz w:val="16"/>
          <w:szCs w:val="16"/>
          <w:color w:val="auto"/>
        </w:rPr>
        <w:t xml:space="preserve"> </w:t>
      </w:r>
      <w:r>
        <w:rPr>
          <w:rFonts w:ascii="Arial" w:cs="Arial" w:eastAsia="Arial" w:hAnsi="Arial"/>
          <w:sz w:val="16"/>
          <w:szCs w:val="16"/>
          <w:i w:val="1"/>
          <w:iCs w:val="1"/>
          <w:color w:val="auto"/>
        </w:rPr>
        <w:t>capital</w:t>
      </w:r>
      <w:r>
        <w:rPr>
          <w:rFonts w:ascii="Arial" w:cs="Arial" w:eastAsia="Arial" w:hAnsi="Arial"/>
          <w:sz w:val="16"/>
          <w:szCs w:val="16"/>
          <w:color w:val="auto"/>
        </w:rPr>
        <w:t>) if the Shares held by them as part of a Swiss business have an aggregate market value of at least CHF 1 million.</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cantonal and communal private wealth tax and capital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Non-Resident Shareholders are not subject to Swiss cantonal and communal private wealth tax or capital tax.</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 and Domestic Commercial Shareholders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Resident Private Shareholders and Domestic Commercial Shareholders who are individuals are required to report their Shares as part of private wealth or their Swiss business assets, as the case may be, and will be subject to Swiss cantonal and communal private wealth tax on any net taxable wealth (including Shares), in the case of Domestic Commercial Shareholders to the extent the aggregate taxable wealth is allocable to Switzerland. Domestic Commercial Shareholders who are corporate taxpayers are subject to Swiss cantonal and communal capital tax on taxable capital to the extent the aggregate taxable capital is allocable to Switzerland.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Withholding Tax</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Dividends that the Company pays on the Shares are subject to Swiss Federal withholding tax </w:t>
      </w:r>
      <w:r>
        <w:rPr>
          <w:rFonts w:ascii="Arial" w:cs="Arial" w:eastAsia="Arial" w:hAnsi="Arial"/>
          <w:sz w:val="18"/>
          <w:szCs w:val="18"/>
          <w:i w:val="1"/>
          <w:iCs w:val="1"/>
          <w:color w:val="auto"/>
        </w:rPr>
        <w:t>(impôt anticipé)</w:t>
      </w:r>
      <w:r>
        <w:rPr>
          <w:rFonts w:ascii="Arial" w:cs="Arial" w:eastAsia="Arial" w:hAnsi="Arial"/>
          <w:sz w:val="18"/>
          <w:szCs w:val="18"/>
          <w:color w:val="auto"/>
        </w:rPr>
        <w:t xml:space="preserve"> at a rate of 35% on the gross amount of the Dividend. The Company is required to withhold the Swiss federal withholding tax from the Dividend and remit it to the Swiss Federal Tax Administration. Distributions based upon a capital reduction (</w:t>
      </w:r>
      <w:r>
        <w:rPr>
          <w:rFonts w:ascii="Arial" w:cs="Arial" w:eastAsia="Arial" w:hAnsi="Arial"/>
          <w:sz w:val="18"/>
          <w:szCs w:val="18"/>
          <w:i w:val="1"/>
          <w:iCs w:val="1"/>
          <w:color w:val="auto"/>
        </w:rPr>
        <w:t>remboursements liés à la réduction de la valeur nominale des actions</w:t>
      </w:r>
      <w:r>
        <w:rPr>
          <w:rFonts w:ascii="Arial" w:cs="Arial" w:eastAsia="Arial" w:hAnsi="Arial"/>
          <w:sz w:val="18"/>
          <w:szCs w:val="18"/>
          <w:color w:val="auto"/>
        </w:rPr>
        <w:t>) and reserves paid out of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are not subject to Swiss federal withholding tax.</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The Swiss federal withholding tax on a Dividend will be refundable in full to a Resident Private Shareholder and to a Domestic Commercial Shareholder, who, in each case,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as a condition to a refund, duly reports the Dividend in his individual income tax return as income or recognizes the Dividend in his income statement as earnings, as applicable.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Non-Resident Shareholder may be entitled to a partial refund of the Swiss federal withholding tax on a Dividend if the country of his or her residence for tax purposes has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 For example, a shareholder who is a resident of the U.S. for the purposes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bilateral tax treaty between the U.S. and Switzerland is eligible for a partial refund of the amount of the withholding tax in excess of the 15% treaty 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provided such shareholder: (i) qualifies for benefits under this treaty and qualifies as beneficial owner of the Dividends; (ii) holds, directly or indirectly, less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than 10% of the voting stock of the Company; (iii) does not qualify as a pension scheme or retirement arrangement for the purpose of the bilateral treaty; and</w:t>
      </w:r>
    </w:p>
    <w:p>
      <w:pPr>
        <w:spacing w:after="0" w:line="32" w:lineRule="exact"/>
        <w:rPr>
          <w:sz w:val="20"/>
          <w:szCs w:val="20"/>
          <w:color w:val="auto"/>
        </w:rPr>
      </w:pPr>
    </w:p>
    <w:p>
      <w:pPr>
        <w:ind w:right="40" w:firstLine="8"/>
        <w:spacing w:after="0" w:line="254" w:lineRule="auto"/>
        <w:tabs>
          <w:tab w:leader="none" w:pos="3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does not conduct business through a permanent establishment or fixed base in Switzerland to which the Shares are attributable. Such an eligible U.S. shareholder may apply for a refund of the amount of the withholding tax in excess of the 15% treaty rate. The applicable refund request form may be filed with the Swiss Federal Tax Administration following receipt of the Dividend and the relevant deduction certificate, however no later than 31 December of the third year following the calendar year in which the Dividend was payable.</w:t>
      </w:r>
    </w:p>
    <w:p>
      <w:pPr>
        <w:spacing w:after="0" w:line="298"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Swiss Federal Stamp Taxes</w:t>
      </w:r>
    </w:p>
    <w:p>
      <w:pPr>
        <w:spacing w:after="0" w:line="11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Company will be subject to and pay to the Swiss Federal Tax Administration a 1% Swiss federal issuance stamp tax (</w:t>
      </w:r>
      <w:r>
        <w:rPr>
          <w:rFonts w:ascii="Arial" w:cs="Arial" w:eastAsia="Arial" w:hAnsi="Arial"/>
          <w:sz w:val="17"/>
          <w:szCs w:val="17"/>
          <w:i w:val="1"/>
          <w:iCs w:val="1"/>
          <w:color w:val="auto"/>
        </w:rPr>
        <w:t>taxe sur les émissions</w:t>
      </w:r>
      <w:r>
        <w:rPr>
          <w:rFonts w:ascii="Arial" w:cs="Arial" w:eastAsia="Arial" w:hAnsi="Arial"/>
          <w:sz w:val="17"/>
          <w:szCs w:val="17"/>
          <w:color w:val="auto"/>
        </w:rPr>
        <w:t>) on the consideration received by it for the issuance of the Shares less certain costs incurred in connection with the issuance. The issuance of the Shares to the initial shareholders at the offering price is not subject to Swiss federal securities turnover tax (</w:t>
      </w:r>
      <w:r>
        <w:rPr>
          <w:rFonts w:ascii="Arial" w:cs="Arial" w:eastAsia="Arial" w:hAnsi="Arial"/>
          <w:sz w:val="17"/>
          <w:szCs w:val="17"/>
          <w:i w:val="1"/>
          <w:iCs w:val="1"/>
          <w:color w:val="auto"/>
        </w:rPr>
        <w:t>droit de timbre de négociation</w:t>
      </w:r>
      <w:r>
        <w:rPr>
          <w:rFonts w:ascii="Arial" w:cs="Arial" w:eastAsia="Arial" w:hAnsi="Arial"/>
          <w:sz w:val="17"/>
          <w:szCs w:val="17"/>
          <w:color w:val="auto"/>
        </w:rPr>
        <w:t>).</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Any subsequent dealings in the Shares, where a bank or another securities dealer in Switzerland, as defined in the Swiss Federal Stamp Tax Act, acts as an intermediary, or is a party, to the transaction, are, subject to certain exemptions provided for in the Swiss Federal Stamp Tax Act, subject to Swiss securities turnover tax at an aggregate tax rate of up to 0.15% of the consideration paid for such Shares.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Foreign Final Withholding Tax</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January 1, 2013, treaties on final withholding taxes of Switzerland with the United Kingdom and Austria entered into force (each, a “Contracting State”). The treaties require a Swiss paying agent, as defined in the treaties, to levy a flat-rate final withholding tax (</w:t>
      </w:r>
      <w:r>
        <w:rPr>
          <w:rFonts w:ascii="Arial" w:cs="Arial" w:eastAsia="Arial" w:hAnsi="Arial"/>
          <w:sz w:val="17"/>
          <w:szCs w:val="17"/>
          <w:i w:val="1"/>
          <w:iCs w:val="1"/>
          <w:color w:val="auto"/>
        </w:rPr>
        <w:t>impôt libératoire</w:t>
      </w:r>
      <w:r>
        <w:rPr>
          <w:rFonts w:ascii="Arial" w:cs="Arial" w:eastAsia="Arial" w:hAnsi="Arial"/>
          <w:sz w:val="17"/>
          <w:szCs w:val="17"/>
          <w:color w:val="auto"/>
        </w:rPr>
        <w:t>) at rates specified in the treaties on certain capital gains and income items (interest, dividends, other income items, all as defined in the treaties), deriving from assets, including the Shares, held in accounts or deposits with a Swiss paying agent by (i) an individual resident in a Contracting State or, (ii) if certain requirements are met, by a domiciliary company (</w:t>
      </w:r>
      <w:r>
        <w:rPr>
          <w:rFonts w:ascii="Arial" w:cs="Arial" w:eastAsia="Arial" w:hAnsi="Arial"/>
          <w:sz w:val="17"/>
          <w:szCs w:val="17"/>
          <w:i w:val="1"/>
          <w:iCs w:val="1"/>
          <w:color w:val="auto"/>
        </w:rPr>
        <w:t>société de domicile</w:t>
      </w:r>
      <w:r>
        <w:rPr>
          <w:rFonts w:ascii="Arial" w:cs="Arial" w:eastAsia="Arial" w:hAnsi="Arial"/>
          <w:sz w:val="17"/>
          <w:szCs w:val="17"/>
          <w:color w:val="auto"/>
        </w:rPr>
        <w:t>), an insurance company in connection with a so-called insurance wrapper (</w:t>
      </w:r>
      <w:r>
        <w:rPr>
          <w:rFonts w:ascii="Arial" w:cs="Arial" w:eastAsia="Arial" w:hAnsi="Arial"/>
          <w:sz w:val="17"/>
          <w:szCs w:val="17"/>
          <w:i w:val="1"/>
          <w:iCs w:val="1"/>
          <w:color w:val="auto"/>
        </w:rPr>
        <w:t>contrat d’assurance vie utilisé comme</w:t>
      </w:r>
      <w:r>
        <w:rPr>
          <w:rFonts w:ascii="Arial" w:cs="Arial" w:eastAsia="Arial" w:hAnsi="Arial"/>
          <w:sz w:val="17"/>
          <w:szCs w:val="17"/>
          <w:color w:val="auto"/>
        </w:rPr>
        <w:t xml:space="preserve"> </w:t>
      </w:r>
      <w:r>
        <w:rPr>
          <w:rFonts w:ascii="Arial" w:cs="Arial" w:eastAsia="Arial" w:hAnsi="Arial"/>
          <w:sz w:val="17"/>
          <w:szCs w:val="17"/>
          <w:i w:val="1"/>
          <w:iCs w:val="1"/>
          <w:color w:val="auto"/>
        </w:rPr>
        <w:t>enveloppe</w:t>
      </w:r>
      <w:r>
        <w:rPr>
          <w:rFonts w:ascii="Arial" w:cs="Arial" w:eastAsia="Arial" w:hAnsi="Arial"/>
          <w:sz w:val="17"/>
          <w:szCs w:val="17"/>
          <w:color w:val="auto"/>
        </w:rPr>
        <w:t>) or other individuals if the beneficial owner is an individual resident in a Contracting State. The flat-rate tax withheld substitutes the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on the respective capital gains and income items in the Contracting State where the individual is tax resident. In order to avoid the withholding of the flat-rate tax by the Swiss paying agent, such individuals may opt for a disclosure of the respective capital gains and income items to the tax authorities of the Contracting State where they are tax residents. If Swiss federal withholding tax of 35% has been withheld on dividends, the Swiss paying agent will—to the extent provided in the applicable bilateral treaty for the avoidance of double taxation between Switzerland and the Contracting State—in its own name and on behalf of the relevant shareholder file with the Swiss tax authorities a request for the partial refund of the Swiss federal withholding tax. The Swiss federal withholding tax, which is not refundable according to the bilateral tax treaty (residual tax), is credited against the flat-rate final withholding tax. Switzerland may conclude similar treaties with other European countries.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the opinion of Davis Polk &amp; Wardwell LLP, the following are the material U.S. federal income tax consequences to U.S. Holders, as defined below, of owning and disposing our common shares. It does not describe all tax considerations that may be relevant to a particular person’s decision to acquire common shares.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 the potential application of the provisions of the Code known as the Medicare contribution tax and tax consequences applicable to U.S. Holders subject to special rules, such as:</w:t>
      </w:r>
    </w:p>
    <w:p>
      <w:pPr>
        <w:spacing w:after="0" w:line="92" w:lineRule="exact"/>
        <w:rPr>
          <w:sz w:val="20"/>
          <w:szCs w:val="20"/>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U.S. Holder whose functional currency for U.S. federal income tax purposes is not the U.S. dollar;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voting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persons holding common shares in connection with a trade or business conducted outside of the United States.</w:t>
      </w:r>
    </w:p>
    <w:p>
      <w:pPr>
        <w:spacing w:after="0" w:line="225"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Switzerland and the United States (the “Treaty”) all as of the date hereof, any of which is subject to change or differing interpretations, possibly with retroactive effect.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Treaty and who is:</w:t>
      </w:r>
    </w:p>
    <w:p>
      <w:pPr>
        <w:spacing w:after="0" w:line="116"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common shares in their particular circumstances.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discussed above under “Dividend Policy,” we do not currently expect to make distributions on our common shares. In the event that we do make distributions of cash or other property, subject to the passive foreign investment company rules described below, distributions paid on common shares, other than certain pro rata distributions of common shares, will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will be reported to U.S. Holders as dividends. For so long as our common shares are listed on NASDAQ or we are eligible for benefits under the Treaty, dividends paid to certain non-corporate U.S. Holders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300"/>
          </w:cols>
          <w:pgMar w:left="240" w:top="460" w:right="3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will be eligible for taxation as “qualified dividend income” and therefore, subject to applicable limitations, will be taxable at rates not in excess of the long-term capital gain rate applicable to such U.S. Holder. U.S. Holders should consult their tax advisers regarding the availability of the reduced tax rate on dividends in their particular circumstances. The amount of a dividend will include any amounts withheld by us in respect of Swiss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6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Swiss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Swiss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Disposition of Common Shares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Subject to the passive foreign investment company rules described below, gain or loss realized on the sale or other disposition of common shares will be capital gain or loss, and will be long-term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Subject to certain exceptions, this gain or loss will be U.S.-source gain or loss for foreign tax credit purposes. The deductibility of capital losses is subject to various limitations.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interest, dividends, rents, certain non-active royalties and capital gains. Based on our business plan and certain estimates and projections, including as to the relative values of our assets, we do not believe that we were a PFIC for our 2015 taxable year and do not expect to be a PFIC in the immediately foreseeable future. However, there can be no assurance that the IRS will agree with our conclusion. In addition, whether we will be a PFIC in 2016 or any future 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 If we are a PFIC for any year during which a U.S. Holder holds common shares, we generally would continue to be treated as a PFIC with respect to that U.S. Holder for all succeeding years during which the U.S. Holder holds common shares, even if we ceased to meet the threshold requirements for PFIC status.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380"/>
          </w:cols>
          <w:pgMar w:left="240" w:top="459" w:right="2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If we were a PFIC for any taxable year during which a U.S. Holder held common shares (assuming such U.S. Holder has not made a timely mark-to-market election, as described below), gain recognized by a U.S. 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 shares received during the preceding three years or the U.S. Holder’s holding period, whichever is shorter, that distribution would be subject to taxation in the same manner as gain, described immediately above.</w:t>
      </w:r>
    </w:p>
    <w:p>
      <w:pPr>
        <w:spacing w:after="0" w:line="17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holder’s tax basis in the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w:t>
      </w:r>
    </w:p>
    <w:p>
      <w:pPr>
        <w:spacing w:after="0" w:line="18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in order to avoid the application of the foregoing rules, a United States person that owns stock in a PFIC for U.S. federal income tax purposes may make a “qualified electing fund” election (a “QEF Election”) with respect to such PFIC if the PFIC provides the information necessary for such election to be made.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We do not intend to provide information necessary for U.S. Holders to make qualified electing fund elections.</w:t>
      </w:r>
    </w:p>
    <w:p>
      <w:pPr>
        <w:spacing w:after="0" w:line="193"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In addition,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24"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If a U.S. Holder owns common shares during any year in which we are a PFIC, the holder must file annual reports containing such information as the U.S. Treasury may require on IRS Form 8621 (or any successor form) with respect to us, with the holder’s federal income tax return for that year.</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Holders should consult their tax advisers concerning our potential PFIC status and the potential application of the PFIC rules.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are subject to certain information reporting requirements, and may be subject to backup withholding, unless (i) the U.S. Holder is a corporation or other exempt recipient or</w:t>
      </w:r>
    </w:p>
    <w:p>
      <w:pPr>
        <w:ind w:right="740" w:firstLine="8"/>
        <w:spacing w:after="0" w:line="261" w:lineRule="auto"/>
        <w:tabs>
          <w:tab w:leader="none" w:pos="26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case of backup withholding, the U.S. Holder provides a correct taxpayer identification number and certifies that it is not subject to backup withholding.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common shares, subject to certain exceptions (including an exception for common shares held in accounts maintained by certain U.S. financial institutions). U.S. Holders should consult their tax advisers regarding the effect, if any, of this legislation on their ownership and disposition of the common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Under the terms and subject to the conditions contained in an underwriting agreement dated the date of pricing of this offering, we have agreed to sell to the underwriters named below the following number of common shares: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Underwriters</w:t>
            </w:r>
          </w:p>
        </w:tc>
        <w:tc>
          <w:tcPr>
            <w:tcW w:w="8700" w:type="dxa"/>
            <w:vAlign w:val="bottom"/>
            <w:vMerge w:val="restart"/>
          </w:tcPr>
          <w:p>
            <w:pPr>
              <w:spacing w:after="0"/>
              <w:rPr>
                <w:sz w:val="14"/>
                <w:szCs w:val="14"/>
                <w:color w:val="auto"/>
              </w:rPr>
            </w:pPr>
          </w:p>
        </w:tc>
        <w:tc>
          <w:tcPr>
            <w:tcW w:w="960" w:type="dxa"/>
            <w:vAlign w:val="bottom"/>
            <w:gridSpan w:val="3"/>
          </w:tcPr>
          <w:p>
            <w:pPr>
              <w:ind w:left="18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vMerge w:val="continue"/>
          </w:tcPr>
          <w:p>
            <w:pPr>
              <w:spacing w:after="0"/>
              <w:rPr>
                <w:sz w:val="14"/>
                <w:szCs w:val="14"/>
                <w:color w:val="auto"/>
              </w:rPr>
            </w:pPr>
          </w:p>
        </w:tc>
        <w:tc>
          <w:tcPr>
            <w:tcW w:w="870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of Shares</w:t>
            </w:r>
          </w:p>
        </w:tc>
        <w:tc>
          <w:tcPr>
            <w:tcW w:w="10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2,400,000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880" w:type="dxa"/>
            <w:vAlign w:val="bottom"/>
            <w:gridSpan w:val="2"/>
          </w:tcPr>
          <w:p>
            <w:pPr>
              <w:ind w:left="140"/>
              <w:spacing w:after="0"/>
              <w:rPr>
                <w:sz w:val="20"/>
                <w:szCs w:val="20"/>
                <w:color w:val="auto"/>
              </w:rPr>
            </w:pPr>
            <w:r>
              <w:rPr>
                <w:rFonts w:ascii="Arial" w:cs="Arial" w:eastAsia="Arial" w:hAnsi="Arial"/>
                <w:sz w:val="18"/>
                <w:szCs w:val="18"/>
                <w:color w:val="auto"/>
                <w:w w:val="89"/>
              </w:rPr>
              <w:t>1,800,000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Leerink Partners LLC</w:t>
            </w: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9"/>
              </w:rPr>
              <w:t>1,800,000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7"/>
              </w:rPr>
              <w:t>6,000,000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underwriting agreement provides that the underwriters are obligated to purchase all the common shares in this offering if any are purchased, other than those shares covered by the over-allotment option described below.</w:t>
      </w:r>
    </w:p>
    <w:p>
      <w:pPr>
        <w:spacing w:after="0" w:line="170"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We have granted to the underwriters a 30-day over-allotment option to purchase up to 900,000 additional common shares from us at the initial public offering price less the underwriting discounts and commissions. The option may be exercised only to cover any over-allotments of common shares.</w:t>
      </w:r>
    </w:p>
    <w:p>
      <w:pPr>
        <w:spacing w:after="0" w:line="12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underwriters proposed to offer the common shares initially at the public offering price on the cover page of this prospectus and to selling group members at that price less a selling concession not in excess of $0.4620 per share. The underwriters and selling group members may allow a discount of $0.1540 per share on sales to other broker/dealers. After the initial public offering the underwriters may change the initial public offering price and concession and discount to broker/dealers.</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Certain of our existing shareholders have agreed to purchase an aggregate of 1.9 million of the common shares being offered in this offering at the initial public offering price. The underwriters will receive the same underwriting discount on any common shares purchased by these investors as they will on any other common shares sold to the public in this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53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20" w:type="dxa"/>
            <w:vAlign w:val="bottom"/>
            <w:tcBorders>
              <w:top w:val="single" w:sz="8" w:color="auto"/>
            </w:tcBorders>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Without</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58"/>
              <w:spacing w:after="0" w:line="119" w:lineRule="exact"/>
              <w:rPr>
                <w:sz w:val="20"/>
                <w:szCs w:val="20"/>
                <w:color w:val="auto"/>
              </w:rPr>
            </w:pPr>
            <w:r>
              <w:rPr>
                <w:rFonts w:ascii="Arial" w:cs="Arial" w:eastAsia="Arial" w:hAnsi="Arial"/>
                <w:sz w:val="13"/>
                <w:szCs w:val="13"/>
                <w:b w:val="1"/>
                <w:bCs w:val="1"/>
                <w:color w:val="auto"/>
              </w:rPr>
              <w:t>With</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Without</w:t>
            </w: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20"/>
              <w:spacing w:after="0" w:line="119" w:lineRule="exact"/>
              <w:rPr>
                <w:sz w:val="20"/>
                <w:szCs w:val="20"/>
                <w:color w:val="auto"/>
              </w:rPr>
            </w:pPr>
            <w:r>
              <w:rPr>
                <w:rFonts w:ascii="Arial" w:cs="Arial" w:eastAsia="Arial" w:hAnsi="Arial"/>
                <w:sz w:val="13"/>
                <w:szCs w:val="13"/>
                <w:b w:val="1"/>
                <w:bCs w:val="1"/>
                <w:color w:val="auto"/>
              </w:rPr>
              <w:t>With</w:t>
            </w:r>
          </w:p>
        </w:tc>
        <w:tc>
          <w:tcPr>
            <w:tcW w:w="60" w:type="dxa"/>
            <w:vAlign w:val="bottom"/>
          </w:tcPr>
          <w:p>
            <w:pPr>
              <w:spacing w:after="0"/>
              <w:rPr>
                <w:sz w:val="10"/>
                <w:szCs w:val="10"/>
                <w:color w:val="auto"/>
              </w:rPr>
            </w:pPr>
          </w:p>
        </w:tc>
      </w:tr>
      <w:tr>
        <w:trPr>
          <w:trHeight w:val="149"/>
        </w:trPr>
        <w:tc>
          <w:tcPr>
            <w:tcW w:w="5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Over-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Over-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Over-</w:t>
            </w: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Over-</w:t>
            </w:r>
          </w:p>
        </w:tc>
      </w:tr>
      <w:tr>
        <w:trPr>
          <w:trHeight w:val="171"/>
        </w:trPr>
        <w:tc>
          <w:tcPr>
            <w:tcW w:w="5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allotment</w:t>
            </w:r>
          </w:p>
        </w:tc>
        <w:tc>
          <w:tcPr>
            <w:tcW w:w="1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allotment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allotment</w:t>
            </w: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1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66,000,000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75,900,000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Underwriting discounts and commissions payable by us</w:t>
            </w:r>
          </w:p>
        </w:tc>
        <w:tc>
          <w:tcPr>
            <w:tcW w:w="1420" w:type="dxa"/>
            <w:vAlign w:val="bottom"/>
            <w:gridSpan w:val="2"/>
          </w:tcPr>
          <w:p>
            <w:pPr>
              <w:ind w:left="132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0.77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0.77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4,620,000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5,313,000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4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61,380,000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70,587,000</w:t>
            </w:r>
          </w:p>
        </w:tc>
      </w:tr>
    </w:tbl>
    <w:p>
      <w:pPr>
        <w:spacing w:after="0" w:line="202"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We estimate the expenses paid or payable by us in connection with this offering, other than the underwriting discounts and commissions referred to above, will be approximately $3.6 million. We have also agreed to reimburse the underwriters for certain expenses, including an amount not to exceed $30,000 in connection with the clearance of this offering with the Financial Industry Regulatory Authority, as set forth in the underwriting agreement.</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underwriters have informed us that they do not expect sales to accounts over which they have discretionary authority to exceed 5% of the common shares being offered.</w:t>
      </w:r>
    </w:p>
    <w:p>
      <w:pPr>
        <w:spacing w:after="0" w:line="17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We have agreed that we will not offer, sell, contract to sell, pledge or otherwise dispose of, directly or indirectly, or file with the Securities and Exchange Commission a registration statement under the Securities Act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380"/>
          </w:cols>
          <w:pgMar w:left="240" w:top="459" w:right="2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of 1933, the Securities Act, relating to, any common shares or securities convertible into or exchangeable or exercisable for any common shares, or publicly disclose the intention to make any offer, sale, pledge, disposition or filing, without the prior written consent of Credit Suisse Securities (USA) LLC for a period of 180 days after the date of this prospectus, except issuances pursuant to the exercise of employee stock options outstanding on the date hereof or pursuant to our dividend reinvestment plan and in certain other limited circumstances.</w:t>
      </w:r>
    </w:p>
    <w:p>
      <w:pPr>
        <w:spacing w:after="0" w:line="1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officers and directors and the holders of substantially all of our capital stock have agreed that they will not offer, sell, contract to sell, pledge or otherwise dispose of, directly or indirectly, any common shares or securities convertible into or exchangeable or exercisable for any common shares, enter into a transaction which would have the same effect, or enter into any swap, hedge or other arrangement that transfers, in whole or in part, any of the economic consequences of ownership of the common shares, whether any such aforementioned transaction is to be settled by delivery of the common shares or such other securities, in cash or otherwise, or publicly disclose the intention to make any such offer, sale, pledge or disposition, or to enter into any such transaction, swap, hedge or other arrangement, without, in each case, the prior written consent of Credit Suisse Securities (USA) LLC. In addition, each such person has agreed that, without the prior written consent of Credit Suisse Securities (USA) LLC, it will not, during the 180-day lock-up period, make any demand for or exercise any right with respect to, the registration of any common shares or any security convertible into or exercisable or exchangeable for the common shares. Any common shares received upon exercise of options granted to each such person will also be subject to the lock-up agreement.</w:t>
      </w:r>
    </w:p>
    <w:p>
      <w:pPr>
        <w:spacing w:after="0" w:line="167"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However, notwithstanding the immediately preceding paragraph, the restrictions described in the lock-up agreement will not apply in certain circumstances, including to:</w:t>
      </w:r>
    </w:p>
    <w:p>
      <w:pPr>
        <w:spacing w:after="0" w:line="76" w:lineRule="exact"/>
        <w:rPr>
          <w:sz w:val="20"/>
          <w:szCs w:val="20"/>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transactions relating to common shares or other securities acquired by such person in this offering or in open market transactions;</w:t>
      </w:r>
    </w:p>
    <w:p>
      <w:pPr>
        <w:spacing w:after="0" w:line="130" w:lineRule="exact"/>
        <w:rPr>
          <w:rFonts w:ascii="Arial" w:cs="Arial" w:eastAsia="Arial" w:hAnsi="Arial"/>
          <w:sz w:val="18"/>
          <w:szCs w:val="18"/>
          <w:color w:val="auto"/>
        </w:rPr>
      </w:pPr>
    </w:p>
    <w:p>
      <w:pPr>
        <w:ind w:left="900" w:hanging="325"/>
        <w:spacing w:after="0" w:line="290" w:lineRule="auto"/>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(i) the exercise of stock options or other similar awards granted pursuant to our equity incentive plans or the vesting or settlement of awards granted pursuant to our equity incentive plans (including the delivery and receipt of common shares, other awards or any securities convertible into or exercisable or exchangeable for common shares in connection with such vesting or settlement);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this clause (i), the foregoing restrictions shall apply to any of such person’s common shares issued upon such exercise, vesting or settlement; or (ii) the transfer of common shares or any securities convertible into or exercisable or exchangeable for common shares from such person to us (or the purchase and cancellation of same by us) upon a vesting event of our securities or upon the exercise of options to purchase common shares by such person, in each case on a “cashless” or “net exercise” basis, or to cover income or withholding and other tax obligations of such person in connection with such vesting or exercise in 2015 and 2016 of options for our common shares, whether by means of a “net settlement” or otherwise;</w:t>
      </w:r>
    </w:p>
    <w:p>
      <w:pPr>
        <w:spacing w:after="0" w:line="71" w:lineRule="exact"/>
        <w:rPr>
          <w:rFonts w:ascii="Arial" w:cs="Arial" w:eastAsia="Arial" w:hAnsi="Arial"/>
          <w:sz w:val="16"/>
          <w:szCs w:val="16"/>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transfers of common shares or any security convertible into or exercisable or exchangeable for common shares:</w:t>
      </w:r>
    </w:p>
    <w:p>
      <w:pPr>
        <w:spacing w:after="0" w:line="130" w:lineRule="exact"/>
        <w:rPr>
          <w:rFonts w:ascii="Arial" w:cs="Arial" w:eastAsia="Arial" w:hAnsi="Arial"/>
          <w:sz w:val="18"/>
          <w:szCs w:val="18"/>
          <w:color w:val="auto"/>
        </w:rPr>
      </w:pPr>
    </w:p>
    <w:p>
      <w:pPr>
        <w:ind w:left="1480" w:right="380" w:hanging="446"/>
        <w:spacing w:after="0" w:line="277" w:lineRule="auto"/>
        <w:tabs>
          <w:tab w:leader="none" w:pos="14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as a bona fide gift or gifts, including as a result of the operation of law or estate or intestate succession, or pursuant to a will or other testamentary document;</w:t>
      </w:r>
    </w:p>
    <w:p>
      <w:pPr>
        <w:spacing w:after="0" w:line="75" w:lineRule="exact"/>
        <w:rPr>
          <w:rFonts w:ascii="Arial" w:cs="Arial" w:eastAsia="Arial" w:hAnsi="Arial"/>
          <w:sz w:val="18"/>
          <w:szCs w:val="18"/>
          <w:color w:val="auto"/>
        </w:rPr>
      </w:pPr>
    </w:p>
    <w:p>
      <w:pPr>
        <w:ind w:left="1480" w:right="340" w:hanging="446"/>
        <w:spacing w:after="0" w:line="264" w:lineRule="auto"/>
        <w:tabs>
          <w:tab w:leader="none" w:pos="14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such is a natural person, to a member of the immediate family of such person (for purposes of the lock-up agreement, “immediate family” shall mean any relationship by blood, marriage, domestic partnership or adoption no more remote than first cousin, and shall include any former spouse);</w:t>
      </w:r>
    </w:p>
    <w:p>
      <w:pPr>
        <w:spacing w:after="0" w:line="86" w:lineRule="exact"/>
        <w:rPr>
          <w:rFonts w:ascii="Arial" w:cs="Arial" w:eastAsia="Arial" w:hAnsi="Arial"/>
          <w:sz w:val="18"/>
          <w:szCs w:val="18"/>
          <w:color w:val="auto"/>
        </w:rPr>
      </w:pPr>
    </w:p>
    <w:p>
      <w:pPr>
        <w:ind w:left="1480" w:right="60" w:hanging="446"/>
        <w:spacing w:after="0" w:line="277" w:lineRule="auto"/>
        <w:tabs>
          <w:tab w:leader="none" w:pos="14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such person is a natural person, to any trust or other like entity for the direct or indirect benefit of such person or the immediate family of such person;</w:t>
      </w:r>
    </w:p>
    <w:p>
      <w:pPr>
        <w:spacing w:after="0" w:line="75" w:lineRule="exact"/>
        <w:rPr>
          <w:rFonts w:ascii="Arial" w:cs="Arial" w:eastAsia="Arial" w:hAnsi="Arial"/>
          <w:sz w:val="18"/>
          <w:szCs w:val="18"/>
          <w:color w:val="auto"/>
        </w:rPr>
      </w:pPr>
    </w:p>
    <w:p>
      <w:pPr>
        <w:ind w:left="1480" w:right="240" w:hanging="446"/>
        <w:spacing w:after="0" w:line="277" w:lineRule="auto"/>
        <w:tabs>
          <w:tab w:leader="none" w:pos="14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such person is a natural person, by operation of law or by order of a court of competent jurisdiction pursuant to a qualified domestic order or in connection with a divorce settlement;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380"/>
          </w:cols>
          <w:pgMar w:left="240" w:top="460" w:right="2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40" w:hanging="446"/>
        <w:spacing w:after="0" w:line="264" w:lineRule="auto"/>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such person is a natural person, to a corporation, partnership, limited liability company or other entity of which such person and the immediate family of such person are the direct or indirect legal and beneficial owners of all the outstanding equity securities or similar interests of such corporation, partnership, limited liability company or other entity;</w:t>
      </w:r>
    </w:p>
    <w:p>
      <w:pPr>
        <w:spacing w:after="0" w:line="86" w:lineRule="exact"/>
        <w:rPr>
          <w:rFonts w:ascii="Arial" w:cs="Arial" w:eastAsia="Arial" w:hAnsi="Arial"/>
          <w:sz w:val="18"/>
          <w:szCs w:val="18"/>
          <w:color w:val="auto"/>
        </w:rPr>
      </w:pPr>
    </w:p>
    <w:p>
      <w:pPr>
        <w:ind w:left="1480" w:right="460" w:hanging="446"/>
        <w:spacing w:after="0" w:line="342" w:lineRule="auto"/>
        <w:tabs>
          <w:tab w:leader="none" w:pos="148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if such person is a corporation, partnership, limited liability company or other entity, to any trust or other like entity for the direct or indirect benefit of such person or any affiliate, wholly-owned subsidiary, limited partner, member or stockholder of such person;</w:t>
      </w:r>
    </w:p>
    <w:p>
      <w:pPr>
        <w:spacing w:after="0" w:line="29" w:lineRule="exact"/>
        <w:rPr>
          <w:rFonts w:ascii="Arial" w:cs="Arial" w:eastAsia="Arial" w:hAnsi="Arial"/>
          <w:sz w:val="16"/>
          <w:szCs w:val="16"/>
          <w:color w:val="auto"/>
        </w:rPr>
      </w:pPr>
    </w:p>
    <w:p>
      <w:pPr>
        <w:ind w:left="1480" w:hanging="446"/>
        <w:spacing w:after="0"/>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affiliate thereof;</w:t>
      </w:r>
    </w:p>
    <w:p>
      <w:pPr>
        <w:spacing w:after="0" w:line="130"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investment fund or other entity controlled or managed by such person; or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as a distribution to any affiliate, wholly-owned subsidiary, limited partner, member or stockholder of such person;</w:t>
      </w:r>
    </w:p>
    <w:p>
      <w:pPr>
        <w:spacing w:after="0" w:line="117" w:lineRule="exact"/>
        <w:rPr>
          <w:rFonts w:ascii="Arial" w:cs="Arial" w:eastAsia="Arial" w:hAnsi="Arial"/>
          <w:sz w:val="18"/>
          <w:szCs w:val="18"/>
          <w:color w:val="auto"/>
        </w:rPr>
      </w:pPr>
    </w:p>
    <w:p>
      <w:pPr>
        <w:ind w:left="1500" w:right="10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the sub-bullets above of this third bullet, each donee, distributee or</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transferee agrees to be bound in writing by the terms of the lock-up agreement prior to such transfer, such transfer shall not involve a disposition for value and no filing by any party (donor, donee, transferor or transferee) under the Exchange Act shall be required or shall be voluntarily made in connection with such transfer;</w:t>
      </w:r>
    </w:p>
    <w:p>
      <w:pPr>
        <w:spacing w:after="0" w:line="92" w:lineRule="exact"/>
        <w:rPr>
          <w:rFonts w:ascii="Arial" w:cs="Arial" w:eastAsia="Arial" w:hAnsi="Arial"/>
          <w:sz w:val="18"/>
          <w:szCs w:val="18"/>
          <w:color w:val="auto"/>
        </w:rPr>
      </w:pPr>
    </w:p>
    <w:p>
      <w:pPr>
        <w:ind w:left="900" w:right="220" w:hanging="325"/>
        <w:spacing w:after="0" w:line="255"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the establishment or modification of any contract, instruction or trading plan intended to comply with Rule 10b5-1 under the Exchange Act for the transfer of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plan does not provide for the transfer of Securities during the 180-day lock-up period, (ii) the establishment of such plan shall not be voluntarily publicly announced or filed under the Exchange Act and (iii) to the extent a public announcement or filing under the Exchange Act, if any, is required by or on behalf of the undersigned or us regarding the establishment or modification of such plan, such announcement or filing shall include a statement to the effect that no transfer of common shares may be made under such plan during the 180-day lock-up period;</w:t>
      </w:r>
    </w:p>
    <w:p>
      <w:pPr>
        <w:spacing w:after="0" w:line="98"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transfer of common shares or any security convertible into or exercisable or exchangeable for common shares to us, pursuant to agreements or rights in existence on the date of this prospectus under which we have the option to repurchase such shares or a right of first refusal with respect to transfers of such shares or in connection with the termination of such person’s employment with us;</w:t>
      </w:r>
    </w:p>
    <w:p>
      <w:pPr>
        <w:spacing w:after="0" w:line="70" w:lineRule="exact"/>
        <w:rPr>
          <w:rFonts w:ascii="Arial" w:cs="Arial" w:eastAsia="Arial" w:hAnsi="Arial"/>
          <w:sz w:val="17"/>
          <w:szCs w:val="17"/>
          <w:color w:val="auto"/>
        </w:rPr>
      </w:pPr>
    </w:p>
    <w:p>
      <w:pPr>
        <w:ind w:left="900" w:right="38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transfer of common shares or any security convertible into or exercisable or exchangeable for common shares that occurs by any order or settlement resulting from any legal proceeding;</w:t>
      </w:r>
    </w:p>
    <w:p>
      <w:pPr>
        <w:spacing w:after="0" w:line="75" w:lineRule="exact"/>
        <w:rPr>
          <w:rFonts w:ascii="Arial" w:cs="Arial" w:eastAsia="Arial" w:hAnsi="Arial"/>
          <w:sz w:val="18"/>
          <w:szCs w:val="18"/>
          <w:color w:val="auto"/>
        </w:rPr>
      </w:pPr>
    </w:p>
    <w:p>
      <w:pPr>
        <w:ind w:left="900" w:right="60" w:hanging="325"/>
        <w:spacing w:after="0" w:line="302" w:lineRule="auto"/>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the transfer of common shares or any security convertible into or exercisable or exchangeable for common shares pursuant to a bona fide third-party tender offer, merger, amalgamation, consolidation or other similar transaction made to all holders of the common shares involving a change of control of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tender offer, merger, amalgamation, consolidation or other such transaction is not completed, the common shares owned by such person shall remain subject to the restrictions contained in the lock-up agreement; or</w:t>
      </w:r>
    </w:p>
    <w:p>
      <w:pPr>
        <w:spacing w:after="0" w:line="59"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the exercise of any right with respect to, or the taking of any other action in preparation for, a registration by us of common shares or any securities convertible into or exercisable or exchangeable for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transfer of such person’s common shares proposed to be registered pursuant to the exercise of such rights under this bullet shall occur, and no registration statement shall be filed, during the 180-day lock-up period.</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addition to the above exceptions, dievini Hopp BioTech holding GmbH &amp; Co KG and its representatives who hold our common shares will be allowed a one-time sale of any or all of the common shares held by them. Any such sale must be a private sale pursuant to an exemption from the Securities Act and the purchaser must agree to be bound in writing by the terms of the lock-up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have agreed to indemnify the underwriters against liabilities under the Securities Act, or contribute to payments that the underwriters may be required to make in that respect.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have been approved for listing on the NASDAQ Global Market under the symbol “ACIU.”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penalty bids and passive market making in accordance with Regulation M under the Exchange Act.</w:t>
      </w:r>
    </w:p>
    <w:p>
      <w:pPr>
        <w:spacing w:after="0" w:line="76"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42" w:lineRule="exact"/>
        <w:rPr>
          <w:rFonts w:ascii="Arial" w:cs="Arial" w:eastAsia="Arial" w:hAnsi="Arial"/>
          <w:sz w:val="17"/>
          <w:szCs w:val="17"/>
          <w:color w:val="auto"/>
        </w:rPr>
      </w:pPr>
    </w:p>
    <w:p>
      <w:pPr>
        <w:ind w:left="900" w:right="60" w:hanging="446"/>
        <w:spacing w:after="0" w:line="255"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98"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this offering.</w:t>
      </w:r>
    </w:p>
    <w:p>
      <w:pPr>
        <w:spacing w:after="0" w:line="94" w:lineRule="exact"/>
        <w:rPr>
          <w:rFonts w:ascii="Arial" w:cs="Arial" w:eastAsia="Arial" w:hAnsi="Arial"/>
          <w:sz w:val="18"/>
          <w:szCs w:val="18"/>
          <w:color w:val="auto"/>
        </w:rPr>
      </w:pPr>
    </w:p>
    <w:p>
      <w:pPr>
        <w:ind w:left="900" w:right="220" w:hanging="446"/>
        <w:spacing w:after="0" w:line="308" w:lineRule="auto"/>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Penalty bids permit the representative to reclaim a selling concession from a syndicate member when the common shares originally sold by the syndicate member are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900" w:right="28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passive market making, a market maker in the common shares who is an underwriter or prospective underwriter may, subject to limitations, make bids for or purchases of our common shares until the time, if any, at which a stabilizing bid is made.</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These stabilizing transactions, syndicate covering transactions and penalty bids may have the effect of raising or maintaining the market price of our common shares or preventing or retarding a decline in the market price of the common shares. As a result the price of our common shares may be higher than the price that might otherwise exist in the open market. These transactions may be effected on the NASDAQ and, if commenced, may be discontinued at any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 prospectus in electronic format will be made available on the web sites maintained by the underwriters, or selling group members, if any, participating in this offering. Internet distributions will be allocated by the underwriters and selling group members that will make internet distributions on the same basis as other allocations.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European Economic Area</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the underwriters represent and agree that with effect from and including the date on which the Prospectus Directive is implemented in that Relevant Member State, or the Relevant Implementation Date, they have not made and will not make an offer of our common shares to the public in that Relevant Member State prior to the publication of a prospectus in relation to our common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they may, with effect from and including the Relevant Implementation Date, make an offer of our common shares to the public in that Relevant Member State at any time:</w:t>
      </w:r>
    </w:p>
    <w:p>
      <w:pPr>
        <w:spacing w:after="0" w:line="83"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jc w:val="both"/>
        <w:ind w:left="900" w:right="140" w:hanging="446"/>
        <w:spacing w:after="0" w:line="264"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PD Amending Directive, 150, natural or legal persons (other than qualified investors as defined in the Prospectus Directive) subject to obtaining the prior consent of the manager for any such offer; or</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our common shares shall require the publication by the issuer or the underwriters of a prospectus pursuant to Article 3 of the Prospectus Directive.</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of our common shares in any Relevant Member State means the communication in any form and by any means of sufficient information on the terms of the offer and our common shares to be offered so as to enable an investor to decide to purchase or subscribe our common shares, as the same may be varied in that Relevant Member State by any measure implementing the Prospectus Directive in that Member State and the expression Prospectus Directive means Directive 2003/71/EC and (and amendments thereto, including Directive 2010/73/EU, to the extent implemented in each Relevant Member State) includes any relevant implementing measure in each Relevant Member State.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w:t>
      </w:r>
    </w:p>
    <w:p>
      <w:pPr>
        <w:spacing w:after="0" w:line="131" w:lineRule="exact"/>
        <w:rPr>
          <w:sz w:val="20"/>
          <w:szCs w:val="20"/>
          <w:color w:val="auto"/>
        </w:rPr>
      </w:pPr>
    </w:p>
    <w:p>
      <w:pPr>
        <w:jc w:val="both"/>
        <w:ind w:left="900" w:hanging="446"/>
        <w:spacing w:after="0" w:line="312"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have only communicated or caused to be communicated and will only communicate or cause to be communicated any invitation or inducement to engage in investment activity within the meaning of section 21 of the Financial Services and Markets Act 2000, or FSMA, in connection with the sale or issue of the common shares in circumstances in which section 21 of FSMA does not apply to the underwriters; and</w:t>
      </w:r>
    </w:p>
    <w:p>
      <w:pPr>
        <w:spacing w:after="0" w:line="52"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have complied with, and will comply with all applicable provisions of FSMA with respect to anything done by them in relation to the common shares in, from or otherwise involving the United Kingdom.</w:t>
      </w:r>
    </w:p>
    <w:p>
      <w:pPr>
        <w:spacing w:after="0" w:line="170"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This prospectus is directed solely at persons who (i) are outside the United Kingdom, (ii) have professional experience in matters relating to investments or (iii) are persons falling within Article 49(2)(a) to (d) of The Financial Services and Markets Act (Financial Promotion) Order 2005 (all such persons together being referred to as Relevant Persons). This prospectus must not be acted on or relied on by persons who are not Relevant Persons. Any investment or investment activity to which this prospectus relates is available only to relevant persons and will be engaged in with Relevant Persons only.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shares will not be listed on the SIX Swiss Exchange, or SIX, or on any other stock exchange or regulated trading facility in Switzerland. This document has been prepared without regard to the disclosure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standards for listing prospectuses under art. 27 ff. of the SIX Listing Rules or the listing rules of any other stock exchange or regulated trading facility in Switzerland.</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this offering, the Company, or the shares have been or will be filed with or approved by any Swiss regulatory authority. In particular, this document will not be filed with, and the offer of shares will not be supervised by, the Swiss Financial Market Supervisory Authority, and the offer of shares has not been and will not be authorized under the Swiss Federal Act on Collective Investment Schemes, or the CISA. The investor protection afforded to acquirers of interests in collective investment schemes under the CISA does not extend to acquirers of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the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common shares have not been offered or sold and will not be offered or sold in Hong Kong, by means of any document, other than (a) to “professional investors” as defined in the Securities and Futures Ordinance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common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Non-CIS Securities may not be circulated or distributed, nor may the Non-CIS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Where the Non-CIS Securities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Non-CIS Securities pursuant to an offer made under Section 275 of the SFA except:</w:t>
      </w:r>
    </w:p>
    <w:p>
      <w:pPr>
        <w:spacing w:after="0" w:line="70" w:lineRule="exact"/>
        <w:rPr>
          <w:sz w:val="20"/>
          <w:szCs w:val="20"/>
          <w:color w:val="auto"/>
        </w:rPr>
      </w:pPr>
    </w:p>
    <w:p>
      <w:pPr>
        <w:ind w:left="900" w:right="48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Canadian Residents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distribution of the common shares in Canada is being made only in the provinces of Ontario, Quebec, Alberta and British Columbia on a private placement basis exempt from the requirement that we prepare and file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prospectus with the securities regulatory authorities in each province where trades of these securities are made. Any resale of the common shares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By purchasing the common shares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900" w:right="120" w:hanging="446"/>
        <w:spacing w:after="0" w:line="342"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the purchaser is entitled under applicable provincial securities laws to purchase the common shares without the benefit of a prospectus qualified under those securities laws as it is an “accredited investor” as defined under National Instrument 45-106 – </w:t>
      </w:r>
      <w:r>
        <w:rPr>
          <w:rFonts w:ascii="Arial" w:cs="Arial" w:eastAsia="Arial" w:hAnsi="Arial"/>
          <w:sz w:val="16"/>
          <w:szCs w:val="16"/>
          <w:i w:val="1"/>
          <w:iCs w:val="1"/>
          <w:color w:val="auto"/>
        </w:rPr>
        <w:t>Prospectus Exemptions</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900" w:right="10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the purchaser is a “permitted client” as defined in National Instrument 31-103 - </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 xml:space="preserve">Canadian purchasers are hereby notified that the underwriters are relying on the exemption set out in section 3A.3 or 3A.4, if applicable, of National Instrument 33-105 –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from having to provide certain conflict of interest disclosure in this document.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Canadian purchasers of the ordinary shares offered in this offering should consult their own legal and tax advisors with respect to the tax consequences of an investment in the ordinary shares in their particular circumstances and about the eligibility of the ordinary shares for investment by the purchaser under relevant Canadian legislation.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In the ordinary course of their various business activities, the underwriters and certain of their affiliates may make or hold a broad array of investments and actively trade debt and equity securities (or related derivative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380"/>
          </w:cols>
          <w:pgMar w:left="240" w:top="460" w:right="2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its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common shares offered hereby. Any such credit default swaps or short positions could adversely affect future trading prices of the common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300"/>
          </w:cols>
          <w:pgMar w:left="240" w:top="460" w:right="3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EXPENSES OF THE OFFERING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expenses in connection with this offering, other than underwriting discounts and commissions, will be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Expenses</w:t>
            </w:r>
          </w:p>
        </w:tc>
        <w:tc>
          <w:tcPr>
            <w:tcW w:w="7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r>
      <w:tr>
        <w:trPr>
          <w:trHeight w:val="210"/>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Securities and Exchange Commission registration fee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120" w:type="dxa"/>
            <w:vAlign w:val="bottom"/>
            <w:shd w:val="clear" w:color="auto" w:fill="CCEEFF"/>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NASDAQ listing fee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8"/>
                <w:szCs w:val="18"/>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13,955</w:t>
            </w:r>
          </w:p>
        </w:tc>
        <w:tc>
          <w:tcPr>
            <w:tcW w:w="120" w:type="dxa"/>
            <w:vAlign w:val="bottom"/>
            <w:shd w:val="clear" w:color="auto" w:fill="CCEEFF"/>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18"/>
                <w:szCs w:val="18"/>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1,685,000</w:t>
            </w:r>
          </w:p>
        </w:tc>
        <w:tc>
          <w:tcPr>
            <w:tcW w:w="120" w:type="dxa"/>
            <w:vAlign w:val="bottom"/>
            <w:shd w:val="clear" w:color="auto" w:fill="CCEEFF"/>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1,105,177</w:t>
            </w:r>
          </w:p>
        </w:tc>
        <w:tc>
          <w:tcPr>
            <w:tcW w:w="120" w:type="dxa"/>
            <w:vAlign w:val="bottom"/>
          </w:tcPr>
          <w:p>
            <w:pPr>
              <w:spacing w:after="0"/>
              <w:rPr>
                <w:sz w:val="18"/>
                <w:szCs w:val="18"/>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costs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285,000</w:t>
            </w:r>
          </w:p>
        </w:tc>
        <w:tc>
          <w:tcPr>
            <w:tcW w:w="120" w:type="dxa"/>
            <w:vAlign w:val="bottom"/>
            <w:shd w:val="clear" w:color="auto" w:fill="CCEEFF"/>
          </w:tcPr>
          <w:p>
            <w:pPr>
              <w:spacing w:after="0"/>
              <w:rPr>
                <w:sz w:val="18"/>
                <w:szCs w:val="18"/>
                <w:color w:val="auto"/>
              </w:rPr>
            </w:pPr>
          </w:p>
        </w:tc>
      </w:tr>
      <w:tr>
        <w:trPr>
          <w:trHeight w:val="223"/>
        </w:trPr>
        <w:tc>
          <w:tcPr>
            <w:tcW w:w="77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3,573,165</w:t>
            </w: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To be provided by amendment.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amounts in the table are estimates except the U.S. Securities and Exchange Commission registration fee, the NASDAQ listing fee and the FINRA filing fee. The Company will pay all of the expenses of this offering.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240" w:top="460" w:right="4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validity of the common shares and certain other matters of Swiss law will be passed upon for us by Vischer AG, Zurich, Switzerland. Certain matters of U.S. federal and New York State law will be passed upon for us by Davis Polk &amp; Wardwell LLP, New York, New York, and for the underwriters by Goodwin Procter LLP, Boston, Massachusetts.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financial statements of AC Immune SA for the years ended December 31, 2015 and 2014 and for each of the years in the two-year period ended December 31, 2015, have been included herein in reliance upon the report of Ernst &amp; Young AG, independent registered public accounting firm, appearing elsewhere herein, and upon the authority of said firm as experts in accounting and auditing.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ENFORCEMENT OF JUDGMENTS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would be incompatible with Swiss public policy. Also, mandatory provisions of Swiss law may be applicable regardless of any other law that would otherwise apply.</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92"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340"/>
          </w:cols>
          <w:pgMar w:left="240" w:top="460" w:right="3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have filed with the U.S. Securities and Exchange Commission,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You may review a copy of the registration statement, including exhibits and any schedule filed therewith, and obtain copies of such materials at the SEC’s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Upon completion of this offering, we will become subject to the informational requirements of the Exchange Act. Accordingly, we will be required to file reports and other information with the SEC, including annual reports on Form 20-F and reports on Form 6-K. Those reports may be inspected without charge at the locations described above.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although we intend to report our results of operations voluntarily on a quarterly basis.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380"/>
          </w:cols>
          <w:pgMar w:left="240" w:top="460" w:right="27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07"/>
        </w:trPr>
        <w:tc>
          <w:tcPr>
            <w:tcW w:w="9740" w:type="dxa"/>
            <w:vAlign w:val="bottom"/>
            <w:gridSpan w:val="1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5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300" w:type="dxa"/>
            <w:vAlign w:val="bottom"/>
          </w:tcPr>
          <w:p>
            <w:pPr>
              <w:spacing w:after="0"/>
              <w:rPr>
                <w:sz w:val="24"/>
                <w:szCs w:val="24"/>
                <w:color w:val="auto"/>
              </w:rPr>
            </w:pPr>
          </w:p>
        </w:tc>
        <w:tc>
          <w:tcPr>
            <w:tcW w:w="6080" w:type="dxa"/>
            <w:vAlign w:val="bottom"/>
            <w:gridSpan w:val="10"/>
          </w:tcPr>
          <w:p>
            <w:pPr>
              <w:jc w:val="center"/>
              <w:ind w:right="1960"/>
              <w:spacing w:after="0"/>
              <w:rPr>
                <w:sz w:val="20"/>
                <w:szCs w:val="20"/>
                <w:color w:val="auto"/>
              </w:rPr>
            </w:pPr>
            <w:r>
              <w:rPr>
                <w:rFonts w:ascii="Arial" w:cs="Arial" w:eastAsia="Arial" w:hAnsi="Arial"/>
                <w:sz w:val="18"/>
                <w:szCs w:val="18"/>
                <w:b w:val="1"/>
                <w:bCs w:val="1"/>
                <w:color w:val="auto"/>
              </w:rPr>
              <w:t>INDEX TO FINANCIAL STATEMENTS</w:t>
            </w:r>
          </w:p>
        </w:tc>
        <w:tc>
          <w:tcPr>
            <w:tcW w:w="1580" w:type="dxa"/>
            <w:vAlign w:val="bottom"/>
          </w:tcPr>
          <w:p>
            <w:pPr>
              <w:spacing w:after="0"/>
              <w:rPr>
                <w:sz w:val="24"/>
                <w:szCs w:val="24"/>
                <w:color w:val="auto"/>
              </w:rPr>
            </w:pPr>
          </w:p>
        </w:tc>
      </w:tr>
      <w:tr>
        <w:trPr>
          <w:trHeight w:val="445"/>
        </w:trPr>
        <w:tc>
          <w:tcPr>
            <w:tcW w:w="9740" w:type="dxa"/>
            <w:vAlign w:val="bottom"/>
            <w:gridSpan w:val="12"/>
          </w:tcPr>
          <w:p>
            <w:pPr>
              <w:spacing w:after="0"/>
              <w:rPr>
                <w:sz w:val="20"/>
                <w:szCs w:val="20"/>
                <w:color w:val="auto"/>
              </w:rPr>
            </w:pPr>
            <w:r>
              <w:rPr>
                <w:rFonts w:ascii="Arial" w:cs="Arial" w:eastAsia="Arial" w:hAnsi="Arial"/>
                <w:sz w:val="18"/>
                <w:szCs w:val="18"/>
                <w:b w:val="1"/>
                <w:bCs w:val="1"/>
                <w:color w:val="auto"/>
              </w:rPr>
              <w:t>Unaudited Interim Condensed Financial Statements</w:t>
            </w:r>
          </w:p>
        </w:tc>
        <w:tc>
          <w:tcPr>
            <w:tcW w:w="1580" w:type="dxa"/>
            <w:vAlign w:val="bottom"/>
          </w:tcPr>
          <w:p>
            <w:pPr>
              <w:spacing w:after="0"/>
              <w:rPr>
                <w:sz w:val="24"/>
                <w:szCs w:val="24"/>
                <w:color w:val="auto"/>
              </w:rPr>
            </w:pPr>
          </w:p>
        </w:tc>
      </w:tr>
      <w:tr>
        <w:trPr>
          <w:trHeight w:val="190"/>
        </w:trPr>
        <w:tc>
          <w:tcPr>
            <w:tcW w:w="9740" w:type="dxa"/>
            <w:vAlign w:val="bottom"/>
            <w:gridSpan w:val="12"/>
          </w:tcPr>
          <w:p>
            <w:pPr>
              <w:spacing w:after="0" w:line="190" w:lineRule="exact"/>
              <w:rPr>
                <w:rFonts w:ascii="Arial" w:cs="Arial" w:eastAsia="Arial" w:hAnsi="Arial"/>
                <w:sz w:val="18"/>
                <w:szCs w:val="18"/>
                <w:color w:val="0000EE"/>
              </w:rPr>
            </w:pPr>
            <w:hyperlink w:anchor="page201">
              <w:r>
                <w:rPr>
                  <w:rFonts w:ascii="Arial" w:cs="Arial" w:eastAsia="Arial" w:hAnsi="Arial"/>
                  <w:sz w:val="18"/>
                  <w:szCs w:val="18"/>
                  <w:color w:val="0000EE"/>
                </w:rPr>
                <w:t>Balance Sheets as at June 30, 2016 and December 31, 2015</w:t>
              </w:r>
            </w:hyperlink>
          </w:p>
        </w:tc>
        <w:tc>
          <w:tcPr>
            <w:tcW w:w="158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66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740" w:type="dxa"/>
            <w:vAlign w:val="bottom"/>
            <w:gridSpan w:val="12"/>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Income Statements and Statements of Comprehensive Income for the Six Months Ended June 30, 2016 and 2015</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60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203">
              <w:r>
                <w:rPr>
                  <w:rFonts w:ascii="Arial" w:cs="Arial" w:eastAsia="Arial" w:hAnsi="Arial"/>
                  <w:sz w:val="18"/>
                  <w:szCs w:val="18"/>
                  <w:color w:val="0000EE"/>
                  <w:w w:val="90"/>
                </w:rPr>
                <w:t>Statements of Changes in Equity for the Six Months Ended June 30, 2016 and 2015</w:t>
              </w:r>
            </w:hyperlink>
          </w:p>
        </w:tc>
        <w:tc>
          <w:tcPr>
            <w:tcW w:w="2060" w:type="dxa"/>
            <w:vAlign w:val="bottom"/>
            <w:tcBorders>
              <w:top w:val="single" w:sz="8" w:color="0000EE"/>
            </w:tcBorders>
            <w:gridSpan w:val="4"/>
          </w:tcPr>
          <w:p>
            <w:pPr>
              <w:spacing w:after="0"/>
              <w:rPr>
                <w:sz w:val="17"/>
                <w:szCs w:val="17"/>
                <w:color w:val="auto"/>
              </w:rPr>
            </w:pPr>
          </w:p>
        </w:tc>
        <w:tc>
          <w:tcPr>
            <w:tcW w:w="1600" w:type="dxa"/>
            <w:vAlign w:val="bottom"/>
            <w:gridSpan w:val="2"/>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56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04">
              <w:r>
                <w:rPr>
                  <w:rFonts w:ascii="Arial" w:cs="Arial" w:eastAsia="Arial" w:hAnsi="Arial"/>
                  <w:sz w:val="18"/>
                  <w:szCs w:val="18"/>
                  <w:color w:val="0000EE"/>
                  <w:w w:val="90"/>
                </w:rPr>
                <w:t>Statements of Cash Flows for the Six Months Ended June 30, 2016 and 2015</w:t>
              </w:r>
            </w:hyperlink>
          </w:p>
        </w:tc>
        <w:tc>
          <w:tcPr>
            <w:tcW w:w="4140" w:type="dxa"/>
            <w:vAlign w:val="bottom"/>
            <w:gridSpan w:val="8"/>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75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05">
              <w:r>
                <w:rPr>
                  <w:rFonts w:ascii="Arial" w:cs="Arial" w:eastAsia="Arial" w:hAnsi="Arial"/>
                  <w:sz w:val="18"/>
                  <w:szCs w:val="18"/>
                  <w:color w:val="0000EE"/>
                  <w:w w:val="89"/>
                </w:rPr>
                <w:t>Notes to the Interim Condensed Financial Statements for the Six Months Ended June 30, 2016 and 2015</w:t>
              </w:r>
            </w:hyperlink>
          </w:p>
        </w:tc>
        <w:tc>
          <w:tcPr>
            <w:tcW w:w="2220" w:type="dxa"/>
            <w:vAlign w:val="bottom"/>
            <w:gridSpan w:val="3"/>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290"/>
        </w:trPr>
        <w:tc>
          <w:tcPr>
            <w:tcW w:w="9740" w:type="dxa"/>
            <w:vAlign w:val="bottom"/>
            <w:gridSpan w:val="12"/>
          </w:tcPr>
          <w:p>
            <w:pPr>
              <w:spacing w:after="0"/>
              <w:rPr>
                <w:sz w:val="20"/>
                <w:szCs w:val="20"/>
                <w:color w:val="auto"/>
              </w:rPr>
            </w:pPr>
            <w:r>
              <w:rPr>
                <w:rFonts w:ascii="Arial" w:cs="Arial" w:eastAsia="Arial" w:hAnsi="Arial"/>
                <w:sz w:val="18"/>
                <w:szCs w:val="18"/>
                <w:b w:val="1"/>
                <w:bCs w:val="1"/>
                <w:color w:val="auto"/>
              </w:rPr>
              <w:t>Audited Financial Statements</w:t>
            </w:r>
          </w:p>
        </w:tc>
        <w:tc>
          <w:tcPr>
            <w:tcW w:w="1580" w:type="dxa"/>
            <w:vAlign w:val="bottom"/>
          </w:tcPr>
          <w:p>
            <w:pPr>
              <w:spacing w:after="0"/>
              <w:rPr>
                <w:sz w:val="24"/>
                <w:szCs w:val="24"/>
                <w:color w:val="auto"/>
              </w:rPr>
            </w:pPr>
          </w:p>
        </w:tc>
      </w:tr>
      <w:tr>
        <w:trPr>
          <w:trHeight w:val="190"/>
        </w:trPr>
        <w:tc>
          <w:tcPr>
            <w:tcW w:w="9740" w:type="dxa"/>
            <w:vAlign w:val="bottom"/>
            <w:gridSpan w:val="12"/>
          </w:tcPr>
          <w:p>
            <w:pPr>
              <w:spacing w:after="0" w:line="190" w:lineRule="exact"/>
              <w:rPr>
                <w:rFonts w:ascii="Arial" w:cs="Arial" w:eastAsia="Arial" w:hAnsi="Arial"/>
                <w:sz w:val="18"/>
                <w:szCs w:val="18"/>
                <w:color w:val="0000EE"/>
              </w:rPr>
            </w:pPr>
            <w:hyperlink w:anchor="page211">
              <w:r>
                <w:rPr>
                  <w:rFonts w:ascii="Arial" w:cs="Arial" w:eastAsia="Arial" w:hAnsi="Arial"/>
                  <w:sz w:val="18"/>
                  <w:szCs w:val="18"/>
                  <w:color w:val="0000EE"/>
                </w:rPr>
                <w:t>Report of Independent Registered Public Accounting Firm</w:t>
              </w:r>
            </w:hyperlink>
          </w:p>
        </w:tc>
        <w:tc>
          <w:tcPr>
            <w:tcW w:w="1580" w:type="dxa"/>
            <w:vAlign w:val="bottom"/>
          </w:tcPr>
          <w:p>
            <w:pPr>
              <w:jc w:val="right"/>
              <w:spacing w:after="0" w:line="190" w:lineRule="exact"/>
              <w:rPr>
                <w:sz w:val="20"/>
                <w:szCs w:val="20"/>
                <w:color w:val="auto"/>
              </w:rPr>
            </w:pPr>
            <w:r>
              <w:rPr>
                <w:rFonts w:ascii="Arial" w:cs="Arial" w:eastAsia="Arial" w:hAnsi="Arial"/>
                <w:sz w:val="18"/>
                <w:szCs w:val="18"/>
                <w:color w:val="auto"/>
              </w:rPr>
              <w:t>F-12</w:t>
            </w:r>
          </w:p>
        </w:tc>
      </w:tr>
      <w:tr>
        <w:trPr>
          <w:trHeight w:val="196"/>
        </w:trPr>
        <w:tc>
          <w:tcPr>
            <w:tcW w:w="42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Balance Sheets as of December 31, 2015 and 2014</w:t>
              </w:r>
            </w:hyperlink>
          </w:p>
        </w:tc>
        <w:tc>
          <w:tcPr>
            <w:tcW w:w="5460" w:type="dxa"/>
            <w:vAlign w:val="bottom"/>
            <w:gridSpan w:val="9"/>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20"/>
        </w:trPr>
        <w:tc>
          <w:tcPr>
            <w:tcW w:w="3660" w:type="dxa"/>
            <w:vAlign w:val="bottom"/>
            <w:gridSpan w:val="2"/>
            <w:shd w:val="clear" w:color="auto" w:fill="0000EE"/>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740" w:type="dxa"/>
            <w:vAlign w:val="bottom"/>
            <w:gridSpan w:val="12"/>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Income Statements and Statements of Comprehensive Income for the fiscal years ended December 31, 2015 and 2014</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196"/>
        </w:trPr>
        <w:tc>
          <w:tcPr>
            <w:tcW w:w="6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214">
              <w:r>
                <w:rPr>
                  <w:rFonts w:ascii="Arial" w:cs="Arial" w:eastAsia="Arial" w:hAnsi="Arial"/>
                  <w:sz w:val="18"/>
                  <w:szCs w:val="18"/>
                  <w:color w:val="0000EE"/>
                  <w:w w:val="90"/>
                </w:rPr>
                <w:t>Statements of Changes in Equity for the fiscal years ended December 31, 2015 and 2014</w:t>
              </w:r>
            </w:hyperlink>
          </w:p>
        </w:tc>
        <w:tc>
          <w:tcPr>
            <w:tcW w:w="2060" w:type="dxa"/>
            <w:vAlign w:val="bottom"/>
            <w:tcBorders>
              <w:top w:val="single" w:sz="8" w:color="0000EE"/>
            </w:tcBorders>
            <w:gridSpan w:val="4"/>
          </w:tcPr>
          <w:p>
            <w:pPr>
              <w:spacing w:after="0"/>
              <w:rPr>
                <w:sz w:val="17"/>
                <w:szCs w:val="17"/>
                <w:color w:val="auto"/>
              </w:rPr>
            </w:pPr>
          </w:p>
        </w:tc>
        <w:tc>
          <w:tcPr>
            <w:tcW w:w="124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F-15</w:t>
            </w:r>
          </w:p>
        </w:tc>
      </w:tr>
      <w:tr>
        <w:trPr>
          <w:trHeight w:val="196"/>
        </w:trPr>
        <w:tc>
          <w:tcPr>
            <w:tcW w:w="59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215">
              <w:r>
                <w:rPr>
                  <w:rFonts w:ascii="Arial" w:cs="Arial" w:eastAsia="Arial" w:hAnsi="Arial"/>
                  <w:sz w:val="18"/>
                  <w:szCs w:val="18"/>
                  <w:color w:val="0000EE"/>
                  <w:w w:val="90"/>
                </w:rPr>
                <w:t>Statements of Cash Flows for the fiscal years ended December 31, 2015 and 2014</w:t>
              </w:r>
            </w:hyperlink>
          </w:p>
        </w:tc>
        <w:tc>
          <w:tcPr>
            <w:tcW w:w="3780" w:type="dxa"/>
            <w:vAlign w:val="bottom"/>
            <w:gridSpan w:val="7"/>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F-16</w:t>
            </w:r>
          </w:p>
        </w:tc>
      </w:tr>
      <w:tr>
        <w:trPr>
          <w:trHeight w:val="196"/>
        </w:trPr>
        <w:tc>
          <w:tcPr>
            <w:tcW w:w="65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16">
              <w:r>
                <w:rPr>
                  <w:rFonts w:ascii="Arial" w:cs="Arial" w:eastAsia="Arial" w:hAnsi="Arial"/>
                  <w:sz w:val="18"/>
                  <w:szCs w:val="18"/>
                  <w:color w:val="0000EE"/>
                  <w:w w:val="90"/>
                </w:rPr>
                <w:t>Notes to the Financial Statements for the fiscal years ended December 31, 2015 and 2014</w:t>
              </w:r>
            </w:hyperlink>
          </w:p>
        </w:tc>
        <w:tc>
          <w:tcPr>
            <w:tcW w:w="3240" w:type="dxa"/>
            <w:vAlign w:val="bottom"/>
            <w:gridSpan w:val="4"/>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F-17</w:t>
            </w:r>
          </w:p>
        </w:tc>
      </w:tr>
      <w:tr>
        <w:trPr>
          <w:trHeight w:val="385"/>
        </w:trPr>
        <w:tc>
          <w:tcPr>
            <w:tcW w:w="1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60" w:type="dxa"/>
            <w:vAlign w:val="bottom"/>
            <w:gridSpan w:val="9"/>
          </w:tcPr>
          <w:p>
            <w:pPr>
              <w:jc w:val="center"/>
              <w:ind w:right="2600"/>
              <w:spacing w:after="0"/>
              <w:rPr>
                <w:sz w:val="20"/>
                <w:szCs w:val="20"/>
                <w:color w:val="auto"/>
              </w:rPr>
            </w:pPr>
            <w:r>
              <w:rPr>
                <w:rFonts w:ascii="Arial" w:cs="Arial" w:eastAsia="Arial" w:hAnsi="Arial"/>
                <w:sz w:val="18"/>
                <w:szCs w:val="18"/>
                <w:color w:val="auto"/>
                <w:w w:val="96"/>
              </w:rPr>
              <w:t>F-1</w:t>
            </w:r>
          </w:p>
        </w:tc>
        <w:tc>
          <w:tcPr>
            <w:tcW w:w="1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0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7"/>
              </w:rPr>
              <w:t>Notes</w:t>
            </w: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As at June 30,</w:t>
            </w:r>
          </w:p>
        </w:tc>
        <w:tc>
          <w:tcPr>
            <w:tcW w:w="1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As at December 31,</w:t>
            </w: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15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&amp; Intangible assets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668</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Financial assets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753</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585</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4,272</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Accrued income</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202</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10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15,678</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7</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82,377</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102,529</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79,346</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103,282</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988</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Share premium</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123,379</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110,496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(33,825)</w:t>
            </w: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(40,381)</w:t>
            </w: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90,542</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3,196</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3,196</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2,787</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other payables</w:t>
            </w:r>
          </w:p>
        </w:tc>
        <w:tc>
          <w:tcPr>
            <w:tcW w:w="10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2,625</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Accrued expenses</w:t>
            </w: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6</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4,719</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2,094</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liabilities</w:t>
            </w: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7</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9,544</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6,101</w:t>
            </w: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12,740</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103,282</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322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8200" w:type="dxa"/>
            <w:vAlign w:val="bottom"/>
            <w:gridSpan w:val="2"/>
            <w:vMerge w:val="continue"/>
          </w:tcPr>
          <w:p>
            <w:pPr>
              <w:spacing w:after="0"/>
              <w:rPr>
                <w:sz w:val="12"/>
                <w:szCs w:val="12"/>
                <w:color w:val="auto"/>
              </w:rPr>
            </w:pPr>
          </w:p>
        </w:tc>
        <w:tc>
          <w:tcPr>
            <w:tcW w:w="100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Notes</w:t>
            </w:r>
          </w:p>
        </w:tc>
        <w:tc>
          <w:tcPr>
            <w:tcW w:w="70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right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Contract revenue</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1240" w:type="dxa"/>
            <w:vAlign w:val="bottom"/>
            <w:gridSpan w:val="4"/>
          </w:tcPr>
          <w:p>
            <w:pPr>
              <w:jc w:val="right"/>
              <w:ind w:right="368"/>
              <w:spacing w:after="0"/>
              <w:rPr>
                <w:sz w:val="20"/>
                <w:szCs w:val="20"/>
                <w:color w:val="auto"/>
              </w:rPr>
            </w:pPr>
            <w:r>
              <w:rPr>
                <w:rFonts w:ascii="Arial" w:cs="Arial" w:eastAsia="Arial" w:hAnsi="Arial"/>
                <w:sz w:val="18"/>
                <w:szCs w:val="18"/>
                <w:color w:val="auto"/>
              </w:rPr>
              <w:t>20,451</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14,401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20,451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14,401</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color w:val="auto"/>
              </w:rPr>
              <w:t>(11,018)</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4"/>
          </w:tcPr>
          <w:p>
            <w:pPr>
              <w:jc w:val="right"/>
              <w:ind w:right="308"/>
              <w:spacing w:after="0"/>
              <w:rPr>
                <w:sz w:val="20"/>
                <w:szCs w:val="20"/>
                <w:color w:val="auto"/>
              </w:rPr>
            </w:pPr>
            <w:r>
              <w:rPr>
                <w:rFonts w:ascii="Arial" w:cs="Arial" w:eastAsia="Arial" w:hAnsi="Arial"/>
                <w:sz w:val="18"/>
                <w:szCs w:val="18"/>
                <w:color w:val="auto"/>
              </w:rPr>
              <w:t>(2,750)</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(13,768)</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(8,932)</w:t>
            </w:r>
          </w:p>
        </w:tc>
        <w:tc>
          <w:tcPr>
            <w:tcW w:w="0" w:type="dxa"/>
            <w:vAlign w:val="bottom"/>
          </w:tcPr>
          <w:p>
            <w:pPr>
              <w:spacing w:after="0"/>
              <w:rPr>
                <w:sz w:val="1"/>
                <w:szCs w:val="1"/>
                <w:color w:val="auto"/>
              </w:rPr>
            </w:pPr>
          </w:p>
        </w:tc>
      </w:tr>
      <w:tr>
        <w:trPr>
          <w:trHeight w:val="230"/>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6,683</w:t>
            </w:r>
          </w:p>
        </w:tc>
        <w:tc>
          <w:tcPr>
            <w:tcW w:w="44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5,469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color w:val="auto"/>
              </w:rPr>
              <w:t>207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4"/>
          </w:tcPr>
          <w:p>
            <w:pPr>
              <w:jc w:val="right"/>
              <w:ind w:right="448"/>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91</w:t>
            </w:r>
          </w:p>
        </w:tc>
        <w:tc>
          <w:tcPr>
            <w:tcW w:w="44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6,774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b w:val="1"/>
                <w:bCs w:val="1"/>
                <w:color w:val="auto"/>
              </w:rPr>
              <w:t>Income for the period</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gridSpan w:val="4"/>
          </w:tcPr>
          <w:p>
            <w:pPr>
              <w:jc w:val="right"/>
              <w:ind w:right="368"/>
              <w:spacing w:after="0"/>
              <w:rPr>
                <w:sz w:val="20"/>
                <w:szCs w:val="20"/>
                <w:color w:val="auto"/>
              </w:rPr>
            </w:pPr>
            <w:r>
              <w:rPr>
                <w:rFonts w:ascii="Arial" w:cs="Arial" w:eastAsia="Arial" w:hAnsi="Arial"/>
                <w:sz w:val="18"/>
                <w:szCs w:val="18"/>
                <w:b w:val="1"/>
                <w:bCs w:val="1"/>
                <w:color w:val="auto"/>
              </w:rPr>
              <w:t>6,774</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(EPS):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Basic, income for the period attributable to equity holders</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4"/>
          </w:tcPr>
          <w:p>
            <w:pPr>
              <w:jc w:val="right"/>
              <w:ind w:right="368"/>
              <w:spacing w:after="0"/>
              <w:rPr>
                <w:sz w:val="20"/>
                <w:szCs w:val="20"/>
                <w:color w:val="auto"/>
              </w:rPr>
            </w:pPr>
            <w:r>
              <w:rPr>
                <w:rFonts w:ascii="Arial" w:cs="Arial" w:eastAsia="Arial" w:hAnsi="Arial"/>
                <w:sz w:val="18"/>
                <w:szCs w:val="18"/>
                <w:color w:val="auto"/>
              </w:rPr>
              <w:t>0.14</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for the period attributable to equity holders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color w:val="auto"/>
              </w:rPr>
              <w:t>0.14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4"/>
          </w:tcPr>
          <w:p>
            <w:pPr>
              <w:jc w:val="right"/>
              <w:ind w:right="368"/>
              <w:spacing w:after="0"/>
              <w:rPr>
                <w:sz w:val="20"/>
                <w:szCs w:val="20"/>
                <w:color w:val="auto"/>
              </w:rPr>
            </w:pPr>
            <w:r>
              <w:rPr>
                <w:rFonts w:ascii="Arial" w:cs="Arial" w:eastAsia="Arial" w:hAnsi="Arial"/>
                <w:sz w:val="18"/>
                <w:szCs w:val="18"/>
                <w:color w:val="auto"/>
                <w:w w:val="86"/>
              </w:rPr>
              <w:t>47,209,976</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42,725,207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diluted</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color w:val="auto"/>
                <w:w w:val="86"/>
              </w:rPr>
              <w:t>49,101,623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45,845,283</w:t>
            </w:r>
          </w:p>
        </w:tc>
        <w:tc>
          <w:tcPr>
            <w:tcW w:w="0" w:type="dxa"/>
            <w:vAlign w:val="bottom"/>
          </w:tcPr>
          <w:p>
            <w:pPr>
              <w:spacing w:after="0"/>
              <w:rPr>
                <w:sz w:val="1"/>
                <w:szCs w:val="1"/>
                <w:color w:val="auto"/>
              </w:rPr>
            </w:pPr>
          </w:p>
        </w:tc>
      </w:tr>
      <w:tr>
        <w:trPr>
          <w:trHeight w:val="540"/>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2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8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82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for the period</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b w:val="1"/>
                <w:bCs w:val="1"/>
                <w:color w:val="auto"/>
                <w:w w:val="92"/>
              </w:rPr>
              <w:t>Other comprehensive income not to be reclassified to income or loss in subsequent periods (net of tax)</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losses on defined benefit plans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(368)</w:t>
            </w:r>
          </w:p>
        </w:tc>
        <w:tc>
          <w:tcPr>
            <w:tcW w:w="4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net of tax</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86"/>
              </w:rPr>
              <w:t>854</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83,068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(60,455)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23,467</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Income for the period</w:t>
            </w: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(502)</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income</w:t>
            </w: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5,121</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5,121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 net of transaction costs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9</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2015</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79"/>
              </w:rPr>
              <w:t>855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83,077</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(54,928)</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29,004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2016</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86"/>
              </w:rPr>
              <w:t>928</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110,496</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(40,381)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71,043</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Income for the period</w:t>
            </w: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income</w:t>
            </w: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6,406</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6,406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i w:val="1"/>
                <w:iCs w:val="1"/>
                <w:color w:val="auto"/>
              </w:rPr>
              <w:t>Issue of capital</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60</w:t>
            </w:r>
          </w:p>
        </w:tc>
        <w:tc>
          <w:tcPr>
            <w:tcW w:w="4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i w:val="1"/>
                <w:iCs w:val="1"/>
                <w:color w:val="auto"/>
              </w:rPr>
              <w:t>13,377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w w:val="98"/>
              </w:rPr>
              <w:t>13,437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E extension shares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13,178</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199</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(494)</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2016</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79"/>
              </w:rPr>
              <w:t>988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123,379</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(33,825)</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90,542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71"/>
        </w:trPr>
        <w:tc>
          <w:tcPr>
            <w:tcW w:w="9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7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9700" w:type="dxa"/>
            <w:vAlign w:val="bottom"/>
            <w:gridSpan w:val="2"/>
            <w:vMerge w:val="continue"/>
          </w:tcPr>
          <w:p>
            <w:pPr>
              <w:spacing w:after="0"/>
              <w:rPr>
                <w:sz w:val="12"/>
                <w:szCs w:val="12"/>
                <w:color w:val="auto"/>
              </w:rPr>
            </w:pPr>
          </w:p>
        </w:tc>
        <w:tc>
          <w:tcPr>
            <w:tcW w:w="64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Income for the period</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6,774</w:t>
            </w:r>
          </w:p>
        </w:tc>
        <w:tc>
          <w:tcPr>
            <w:tcW w:w="640" w:type="dxa"/>
            <w:vAlign w:val="bottom"/>
          </w:tcPr>
          <w:p>
            <w:pPr>
              <w:jc w:val="right"/>
              <w:spacing w:after="0"/>
              <w:rPr>
                <w:sz w:val="20"/>
                <w:szCs w:val="20"/>
                <w:color w:val="auto"/>
              </w:rPr>
            </w:pPr>
            <w:r>
              <w:rPr>
                <w:rFonts w:ascii="Arial" w:cs="Arial" w:eastAsia="Arial" w:hAnsi="Arial"/>
                <w:sz w:val="18"/>
                <w:szCs w:val="18"/>
                <w:color w:val="auto"/>
              </w:rPr>
              <w:t>5,623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income for the period to net cash flows :</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Depreciation of property, plant and equipment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139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150</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272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640" w:type="dxa"/>
            <w:vAlign w:val="bottom"/>
          </w:tcPr>
          <w:p>
            <w:pPr>
              <w:jc w:val="right"/>
              <w:spacing w:after="0"/>
              <w:rPr>
                <w:sz w:val="20"/>
                <w:szCs w:val="20"/>
                <w:color w:val="auto"/>
              </w:rPr>
            </w:pPr>
            <w:r>
              <w:rPr>
                <w:rFonts w:ascii="Arial" w:cs="Arial" w:eastAsia="Arial" w:hAnsi="Arial"/>
                <w:sz w:val="18"/>
                <w:szCs w:val="18"/>
                <w:color w:val="auto"/>
              </w:rPr>
              <w:t>906</w:t>
            </w:r>
          </w:p>
        </w:tc>
        <w:tc>
          <w:tcPr>
            <w:tcW w:w="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in) / provided by operating activities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(7,088)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Financial costs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Exchange differences-gain on payables / receivables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 provided by operating activities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(7,202)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16,063</w:t>
            </w:r>
          </w:p>
        </w:tc>
        <w:tc>
          <w:tcPr>
            <w:tcW w:w="0" w:type="dxa"/>
            <w:vAlign w:val="bottom"/>
          </w:tcPr>
          <w:p>
            <w:pPr>
              <w:spacing w:after="0"/>
              <w:rPr>
                <w:sz w:val="1"/>
                <w:szCs w:val="1"/>
                <w:color w:val="auto"/>
              </w:rPr>
            </w:pP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(307)</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preferred Series E shares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13,344</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 of issue of shares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199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on issue of shares-option plan</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common shares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106</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13,159</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5,650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15,952</w:t>
            </w:r>
          </w:p>
        </w:tc>
        <w:tc>
          <w:tcPr>
            <w:tcW w:w="0" w:type="dxa"/>
            <w:vAlign w:val="bottom"/>
          </w:tcPr>
          <w:p>
            <w:pPr>
              <w:spacing w:after="0"/>
              <w:rPr>
                <w:sz w:val="1"/>
                <w:szCs w:val="1"/>
                <w:color w:val="auto"/>
              </w:rPr>
            </w:pP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color w:val="auto"/>
              </w:rPr>
              <w:t>Cash and cash equivalents at January 1</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76,522</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Exchange gain / (loss) on cash and cash equivalents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Cash and cash equivalents at June 30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82,377</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5,650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131"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lead product candidate is crenezumab, a humanized, monoclonal, conformation-specific anti-Abeta antibody that the Company developed using our proprietary SupraAntigen platform. Phase 3 clinical studies for crenezumab were commenced in early 2016. The Company uses two unique proprietary platform technologies, SupraAntigen (conformation-specific biologics) and Morphomer (conformation-specific small molecules); to discover, design and develop medicines and diagnostics to target misfolded proteins.</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interim condensed financial statements of AC Immune SA for the six months period ended June 30, 2016 were authorized for issue in accordance with a resolution of the Board of Directors on August 25, 2016.</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315"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82.4 million as of June 30, 2016 which includes the $13.5 million (CHF 13.2 million) the Company raised in the Series E Extension financing in April 2016. The Company also received a clinical milestone payment of CHF 14 million in July 2016 related to the collaboration with Genentech on the anti-tau antibody program.</w:t>
      </w:r>
    </w:p>
    <w:p>
      <w:pPr>
        <w:spacing w:after="0" w:line="18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right="120" w:firstLine="8"/>
        <w:spacing w:after="0" w:line="323" w:lineRule="auto"/>
        <w:tabs>
          <w:tab w:leader="none" w:pos="21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establish and maintain a strong patent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interim condensed financial statements for the six-month period ended June 30, 2016, have been prepared in accordance with IAS 34 Interim Financial Reporting. The interim financial statements do not include all the information required in the annual financial statements, and should be read in conjunction with the Company’s annual financial statements as of December 31,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Company’s interim condensed financial statements in conformity with IAS 34 requires management to make judgments, estimates and assumptions that affect the amounts reported in the condensed interim financial statements and accompanying notes and the related application of accounting policies as it relates to the reported amounts of assets, liabilities, income and expenses.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share-based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disclosed in Note 5, 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accounting policies adopted in the preparation of the interim condensed financial statements are consistent with those followed in the preparation of the Company’s annual financial statements for the year ended December 31, 2015, except for the adoption of new standards and interpretations effective as of January 1, 2016. The Company has not early adopted any other standard, interpretation or amendment that has been issued but is not yet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nature and the effect of these changes are immaterial to the Company’s interim condensed financial statements.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3.</w:t>
            </w:r>
          </w:p>
        </w:tc>
        <w:tc>
          <w:tcPr>
            <w:tcW w:w="418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Revenues</w:t>
            </w:r>
          </w:p>
        </w:tc>
        <w:tc>
          <w:tcPr>
            <w:tcW w:w="3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(all figures in CHF ‘000)</w:t>
            </w:r>
          </w:p>
        </w:tc>
        <w:tc>
          <w:tcPr>
            <w:tcW w:w="3000" w:type="dxa"/>
            <w:vAlign w:val="bottom"/>
          </w:tcPr>
          <w:p>
            <w:pPr>
              <w:spacing w:after="0"/>
              <w:rPr>
                <w:sz w:val="24"/>
                <w:szCs w:val="24"/>
                <w:color w:val="auto"/>
              </w:rPr>
            </w:pPr>
          </w:p>
        </w:tc>
        <w:tc>
          <w:tcPr>
            <w:tcW w:w="3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560" w:type="dxa"/>
            <w:vAlign w:val="bottom"/>
            <w:tcBorders>
              <w:bottom w:val="single" w:sz="8" w:color="CCEEFF"/>
            </w:tcBorders>
            <w:vMerge w:val="continue"/>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2016</w:t>
            </w:r>
          </w:p>
        </w:tc>
        <w:tc>
          <w:tcPr>
            <w:tcW w:w="94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20,135</w:t>
            </w: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Grant revenue</w:t>
            </w:r>
          </w:p>
        </w:tc>
        <w:tc>
          <w:tcPr>
            <w:tcW w:w="4920" w:type="dxa"/>
            <w:vAlign w:val="bottom"/>
            <w:gridSpan w:val="3"/>
          </w:tcPr>
          <w:p>
            <w:pPr>
              <w:jc w:val="right"/>
              <w:ind w:right="940"/>
              <w:spacing w:after="0"/>
              <w:rPr>
                <w:sz w:val="20"/>
                <w:szCs w:val="20"/>
                <w:color w:val="auto"/>
              </w:rPr>
            </w:pPr>
            <w:r>
              <w:rPr>
                <w:rFonts w:ascii="Arial" w:cs="Arial" w:eastAsia="Arial" w:hAnsi="Arial"/>
                <w:sz w:val="18"/>
                <w:szCs w:val="18"/>
                <w:color w:val="auto"/>
              </w:rPr>
              <w:t>315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92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revenues</w:t>
            </w:r>
          </w:p>
        </w:tc>
        <w:tc>
          <w:tcPr>
            <w:tcW w:w="30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20,451</w:t>
            </w:r>
          </w:p>
        </w:tc>
        <w:tc>
          <w:tcPr>
            <w:tcW w:w="9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920" w:type="dxa"/>
            <w:vAlign w:val="bottom"/>
            <w:gridSpan w:val="3"/>
          </w:tcPr>
          <w:p>
            <w:pPr>
              <w:jc w:val="right"/>
              <w:ind w:right="3560"/>
              <w:spacing w:after="0"/>
              <w:rPr>
                <w:sz w:val="20"/>
                <w:szCs w:val="20"/>
                <w:color w:val="auto"/>
              </w:rPr>
            </w:pPr>
            <w:r>
              <w:rPr>
                <w:rFonts w:ascii="Arial" w:cs="Arial" w:eastAsia="Arial" w:hAnsi="Arial"/>
                <w:sz w:val="18"/>
                <w:szCs w:val="18"/>
                <w:color w:val="auto"/>
              </w:rPr>
              <w:t>F-7</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60" w:right="2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2" w:lineRule="exact"/>
        <w:rPr>
          <w:sz w:val="20"/>
          <w:szCs w:val="20"/>
          <w:color w:val="auto"/>
        </w:rPr>
      </w:pPr>
    </w:p>
    <w:p>
      <w:pPr>
        <w:ind w:right="7780" w:firstLine="8"/>
        <w:spacing w:after="0" w:line="453" w:lineRule="auto"/>
        <w:tabs>
          <w:tab w:leader="none" w:pos="446" w:val="left"/>
        </w:tabs>
        <w:numPr>
          <w:ilvl w:val="0"/>
          <w:numId w:val="128"/>
        </w:numPr>
        <w:rPr>
          <w:rFonts w:ascii="Arial" w:cs="Arial" w:eastAsia="Arial" w:hAnsi="Arial"/>
          <w:sz w:val="15"/>
          <w:szCs w:val="15"/>
          <w:b w:val="1"/>
          <w:bCs w:val="1"/>
          <w:color w:val="auto"/>
        </w:rPr>
      </w:pPr>
      <w:r>
        <w:rPr>
          <w:rFonts w:ascii="Arial" w:cs="Arial" w:eastAsia="Arial" w:hAnsi="Arial"/>
          <w:sz w:val="15"/>
          <w:szCs w:val="15"/>
          <w:b w:val="1"/>
          <w:bCs w:val="1"/>
          <w:color w:val="auto"/>
        </w:rPr>
        <w:t>Licensing and collaboration agreements 4.1 Research collaboration and license revenue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Tau-PET imaging agent in AD – Collaboration agreement of 2014 with Piramal Imaging</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May 2014, AC Immune SA and Piramal Imaging, a division of Piramal Enterprises Ltd., entered into an exclusive worldwide license agreement for the research, development and commercialization of AC Immune’s tau protein positron emission tomography (PET) tracers supporting the diagnosis and clinical management of AD and potential tau-related disorders.</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upfront payment of EUR 500 thousand received from this collaboration is deferred over a period of 12 months which is the Joint Research Collaboration period. As such, the residual balance in deferred revenue related to this collaboration at December 31, 2014, was recognized until May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Milestones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 Vaccine in AD – Collaboration agreement of 2014 with Janssen Pharmaceuticals</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December of 2014, the Company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The Company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agreement also allows for the collaboration to be expanded to a second indication based on the same anti-tau vaccine program and intellectual property related to this program.</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received an upfront payment of CHF 25.9 million which it recognized in 2014 and is eligible to receive development, regulatory and commercialization milestone payments for AD and a potential second indication outside of AD. Additionally, the Company will receive royalties on sales at a percentage rate ranging from the low double digits to mid-teens once product sales commence. The two companies have entered into a three-year joint research collaboration to further characterize and develop novel vaccine therapies for the treatment of tauopathies.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part of this agreement, AC Immune has committed to spend CHF 13.8 million in research and</w:t>
      </w:r>
    </w:p>
    <w:p>
      <w:pPr>
        <w:spacing w:after="0" w:line="23" w:lineRule="exact"/>
        <w:rPr>
          <w:sz w:val="20"/>
          <w:szCs w:val="20"/>
          <w:color w:val="auto"/>
        </w:rPr>
      </w:pPr>
    </w:p>
    <w:p>
      <w:pPr>
        <w:ind w:right="580"/>
        <w:spacing w:after="0" w:line="290" w:lineRule="auto"/>
        <w:rPr>
          <w:sz w:val="20"/>
          <w:szCs w:val="20"/>
          <w:color w:val="auto"/>
        </w:rPr>
      </w:pPr>
      <w:r>
        <w:rPr>
          <w:rFonts w:ascii="Arial" w:cs="Arial" w:eastAsia="Arial" w:hAnsi="Arial"/>
          <w:sz w:val="17"/>
          <w:szCs w:val="17"/>
          <w:color w:val="auto"/>
        </w:rPr>
        <w:t>development to the end of Phase 1b which is currently anticipated to be completed at the end of 2016. Under the terms of the agreement, Janssen may terminate the agreement at any time after completion of the Phase 1b clinical study by providing 90 days’ notice to the Company.</w:t>
      </w:r>
    </w:p>
    <w:p>
      <w:pPr>
        <w:spacing w:after="0" w:line="1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January 2016, the Company received payments of CHF 1.5 million for pre-payment of research and external research costs the Company expects to incur during 2016. Pursuant to the terms of the collaboration agreement, there is a performance obligation until the end of the year. As a result, the Company is recognizing the proceeds from this payment over a 12-month period on a straight-line basis. In June 2016, the Company received a CHF 4.9 million payment for reaching a clinical milestone in the Phase 1b study. As the Company met all performance obligations on reaching the milestone, it recognized this income as revenue.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459" w:right="2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in AD – Collaboration agreement of 2012 with Genentech</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June 2012, the Company entered into an exclusive global license agreement and research collaboration with Genentech, Inc. to commercialize its anti-tau antibodies for use as immunotherapeutics. The value of this exclusive, worldwide alliance is potentially greater than CHF 400 million and includes upfront and milestone payments. In addition to milestones, the Company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Until June 30, 2016, the Company has received payments totalling CHF 31 million including a CHF 14 million milestone payment received in 2015. In June 2016, Genentech informed the Company that the first patient had been injected with the anti-tau antibody making the Company eligible for a CHF 14 million milestone payment and which also triggered a small licensing fee payment from AC Immune to a third party. The Company received the proceeds from this milestone payment in July 2016. Pursuant to the exclusive global license agreement, there is no further performance obligation attached to this payment, therefore the Company recognized the full amount as collaboration and license revenue in the six month period ended June 30, 2016.</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Genentech may terminate the agreement at any time by providing three months’ notice to AC Immune. In such event all costs incurred are still refundable.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Anti-Abeta antibody in AD – Collaboration agreement of 2006 with Genentech</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Genentech commenced a Phase 3 clinical study in Q1 2016. If crenezumab receives regulatory approval, the Company will be entitled to receive royalties that are tied to annual sales volumes with different royalty rates applicable in the U.S. and Europe. These percentage rates range from the high single digits to the mid-teens.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Under the agreement with Genentech, the Company may become eligible to receive payments totaling up to approximately $340 million, excluding royalties.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date, the Company has received payments of $65 million (CHF 70.1 million).</w:t>
      </w:r>
    </w:p>
    <w:p>
      <w:pPr>
        <w:spacing w:after="0" w:line="355"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estimated tax expense for the six-month period ended June 30, 2016 is zero. The estimated tax expense is based on the best estimate of the weighted average annual income tax rate expected for the full financial year ended December 31, 2016. As the Company expects to incur a loss for the full year, it does not anticipate any income tax expense.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accordance with IAS 34 and consistent with prior years, the Company has not recognized any deferred tax assets relating to tax losses available but offset against future profits as the recognition criteria have not been met at the balance sheet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60" w:right="2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income tax expense in the interim condensed statement of income or loss are: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31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For the Six Months Ended June 30,</w:t>
            </w:r>
          </w:p>
        </w:tc>
      </w:tr>
      <w:tr>
        <w:trPr>
          <w:trHeight w:val="142"/>
        </w:trPr>
        <w:tc>
          <w:tcPr>
            <w:tcW w:w="64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Accounting income before income tax</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6,774</w:t>
            </w:r>
          </w:p>
        </w:tc>
        <w:tc>
          <w:tcPr>
            <w:tcW w:w="10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5,623</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Tax expense calculated at the statutory rate of 22.5%</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(1,524)</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(1,265)</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Effect of expected tax rate for full year (2016)</w:t>
            </w:r>
          </w:p>
        </w:tc>
        <w:tc>
          <w:tcPr>
            <w:tcW w:w="19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1,524</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Effect of unrecognized carry forward tax loss (2015)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Effective income tax rate benefit</w:t>
            </w:r>
          </w:p>
        </w:tc>
        <w:tc>
          <w:tcPr>
            <w:tcW w:w="19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b w:val="1"/>
                <w:bCs w:val="1"/>
                <w:color w:val="auto"/>
              </w:rPr>
              <w:t>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w:t>
            </w:r>
          </w:p>
        </w:tc>
      </w:tr>
      <w:tr>
        <w:trPr>
          <w:trHeight w:val="20"/>
        </w:trPr>
        <w:tc>
          <w:tcPr>
            <w:tcW w:w="6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Due to the fact that AC Immune is expected to report a loss for the full year 2016, no tax on income was payable in H1 2016. In H1 2015, no income tax was payable due to the fact that AC Immune could offset taxable income with tax loss carry forwards.</w:t>
      </w:r>
    </w:p>
    <w:p>
      <w:pPr>
        <w:spacing w:after="0" w:line="315"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the carrying amounts of financial assets and financial liabilities which are a reasonable approximation of the fair value of financial assets and financial liabilities: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80" w:type="dxa"/>
            <w:vAlign w:val="bottom"/>
            <w:gridSpan w:val="3"/>
          </w:tcPr>
          <w:p>
            <w:pPr>
              <w:ind w:left="520"/>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42"/>
        </w:trPr>
        <w:tc>
          <w:tcPr>
            <w:tcW w:w="4020" w:type="dxa"/>
            <w:vAlign w:val="bottom"/>
            <w:gridSpan w:val="4"/>
            <w:vMerge w:val="continue"/>
          </w:tcPr>
          <w:p>
            <w:pPr>
              <w:spacing w:after="0"/>
              <w:rPr>
                <w:sz w:val="12"/>
                <w:szCs w:val="12"/>
                <w:color w:val="auto"/>
              </w:rPr>
            </w:pPr>
          </w:p>
        </w:tc>
        <w:tc>
          <w:tcPr>
            <w:tcW w:w="154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30, 2016</w:t>
            </w:r>
          </w:p>
        </w:tc>
        <w:tc>
          <w:tcPr>
            <w:tcW w:w="21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15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82,377</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76,522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15,678</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Total financial assets</w:t>
            </w:r>
          </w:p>
        </w:tc>
        <w:tc>
          <w:tcPr>
            <w:tcW w:w="15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98,055</w:t>
            </w:r>
          </w:p>
        </w:tc>
        <w:tc>
          <w:tcPr>
            <w:tcW w:w="10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0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Financial liabilities</w:t>
            </w:r>
          </w:p>
        </w:tc>
        <w:tc>
          <w:tcPr>
            <w:tcW w:w="1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Trade payables and other payables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2,625</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Total financial liabilities</w:t>
            </w:r>
          </w:p>
        </w:tc>
        <w:tc>
          <w:tcPr>
            <w:tcW w:w="15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7,344</w:t>
            </w:r>
          </w:p>
        </w:tc>
        <w:tc>
          <w:tcPr>
            <w:tcW w:w="10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cash balance as at June 30, 2016 contains restricted cash totaling CHF 106 thousand related to the Credit Suisse AG, Zurich (“CS AG”) Share Issuance. This cash will remain restricted while CS AG holds shares of AC Immune pursuant to the CS AG Share Issuance agreement. The table above contains assets and liabilities held at amortization cost.</w:t>
      </w:r>
    </w:p>
    <w:p>
      <w:pPr>
        <w:spacing w:after="0" w:line="326"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liabilities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May 25, 2016, AC Immune entered into a subscription agreement, pursuant to which AC Immune issued 5,300,000 common shares, each with a nominal value of CHF 0.02 to CS AG at a price equal to the CHF 0.02 per share nominal value for an aggregate subscription amount of CHF 106,000 (the “CS AG Share Issuance”). CS AG will hold these shares as nominee in anticipation of the consummation of AC Immune’s IPO and CS AG has agreed not to exercise any voting rights in respect to these shares. While CS AG owns the shares, it cannot sell any of the shares without the prior consent of AC Immune and any proceeds CS AG receives above the CHF 0.02 nominal value per share, net of fees, is to be remitted to AC Immune. In connection with the CS AG Share Issuance, AC Immune gave CS AG an option to put all or part of the shares it acquired back to AC Immune at CHF 0.02 per share at any point in time, for any reason (the “Put Option”). Similarly, CS AG gave AC Immune a</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60"/>
          </w:cols>
          <w:pgMar w:left="240" w:top="460" w:right="2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call whereby AC Immune could acquire all or part of the shares it sold to CS AG at CHF 0.02 per share at any point in time, for any reason (the “Call Option”). The CS AG Share Issuance agreement has a termination date of June 30, 2017.</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Due to the existence of the Put Option, the CS AG Share Issuance has resulted in the creation a contingent liability. CS AG can exercise the Put Option for any reason at any point in time. If the Put Option is exercised, AC Immune will be required to acquire any common shares that CS AG has indicated it wants to sell under the Put Option, at CHF 0.02 per common share.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20"/>
          </w:cols>
          <w:pgMar w:left="240" w:top="460" w:right="3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AC Immune SA</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audited the accompanying balance sheets of AC Immune SA as of December 31, 2015 and 2014, and the related income statements, statements of other comprehensive income</w:t>
      </w:r>
      <w:r>
        <w:rPr>
          <w:rFonts w:ascii="Arial" w:cs="Arial" w:eastAsia="Arial" w:hAnsi="Arial"/>
          <w:sz w:val="18"/>
          <w:szCs w:val="18"/>
          <w:b w:val="1"/>
          <w:bCs w:val="1"/>
          <w:color w:val="auto"/>
        </w:rPr>
        <w:t>,</w:t>
      </w:r>
      <w:r>
        <w:rPr>
          <w:rFonts w:ascii="Arial" w:cs="Arial" w:eastAsia="Arial" w:hAnsi="Arial"/>
          <w:sz w:val="18"/>
          <w:szCs w:val="18"/>
          <w:color w:val="auto"/>
        </w:rPr>
        <w:t xml:space="preserve"> statements of changes in equity and statements of cash flows for each of the two years in the period ended December 31, 2015.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AC Immune SA at December 31, 2015 and 2014, and the results of its operations and its cash flows for each of the two years in the period ended December 31, 2015, in conformity with International Financial Reporting Standards as issued by the International Accounting Standards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Geneva,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21, 2016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in CHF thousands</w:t>
            </w:r>
          </w:p>
        </w:tc>
        <w:tc>
          <w:tcPr>
            <w:tcW w:w="9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2"/>
              </w:rPr>
              <w:t>Notes</w:t>
            </w:r>
          </w:p>
        </w:tc>
        <w:tc>
          <w:tcPr>
            <w:tcW w:w="2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Financial assets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585</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629</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Accrued income</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6</w:t>
            </w: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76,522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79,346</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29,667</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Share premium</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110,496</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(40,381)</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(60,455)</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71,043</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15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2,787</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2,410</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&amp; other payables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1,719</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Accrued expenses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4,337</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6,101</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8,888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6,829</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For the Years</w:t>
            </w:r>
          </w:p>
        </w:tc>
        <w:tc>
          <w:tcPr>
            <w:tcW w:w="0" w:type="dxa"/>
            <w:vAlign w:val="bottom"/>
          </w:tcPr>
          <w:p>
            <w:pPr>
              <w:spacing w:after="0"/>
              <w:rPr>
                <w:sz w:val="1"/>
                <w:szCs w:val="1"/>
                <w:color w:val="auto"/>
              </w:rPr>
            </w:pPr>
          </w:p>
        </w:tc>
      </w:tr>
      <w:tr>
        <w:trPr>
          <w:trHeight w:val="171"/>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2"/>
              </w:rPr>
              <w:t>Notes</w:t>
            </w:r>
          </w:p>
        </w:tc>
        <w:tc>
          <w:tcPr>
            <w:tcW w:w="23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42"/>
        </w:trPr>
        <w:tc>
          <w:tcPr>
            <w:tcW w:w="84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Contract revenue</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39,090</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39,090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30,269</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(17,049)</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340" w:type="dxa"/>
            <w:vAlign w:val="bottom"/>
            <w:gridSpan w:val="3"/>
          </w:tcPr>
          <w:p>
            <w:pPr>
              <w:jc w:val="right"/>
              <w:ind w:right="308"/>
              <w:spacing w:after="0"/>
              <w:rPr>
                <w:sz w:val="20"/>
                <w:szCs w:val="20"/>
                <w:color w:val="auto"/>
              </w:rPr>
            </w:pPr>
            <w:r>
              <w:rPr>
                <w:rFonts w:ascii="Arial" w:cs="Arial" w:eastAsia="Arial" w:hAnsi="Arial"/>
                <w:sz w:val="18"/>
                <w:szCs w:val="18"/>
                <w:color w:val="auto"/>
              </w:rPr>
              <w:t>(3,417)</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(20,466)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(19,552)</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18,624</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10,717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1,617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(26)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1,646</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20,270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10,744</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for the period</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20,270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10,744</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(EPS):</w:t>
            </w: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Basic, income for the period attributable to equity holders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0.47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Diluted, income for the period attributable to equity holders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0.44</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w w:val="97"/>
              </w:rPr>
              <w:t>43,412,250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0"/>
              </w:rPr>
              <w:t>42,684,750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w w:val="97"/>
              </w:rPr>
              <w:t>46,043,198</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45,552,500</w:t>
            </w:r>
          </w:p>
        </w:tc>
        <w:tc>
          <w:tcPr>
            <w:tcW w:w="0" w:type="dxa"/>
            <w:vAlign w:val="bottom"/>
          </w:tcPr>
          <w:p>
            <w:pPr>
              <w:spacing w:after="0"/>
              <w:rPr>
                <w:sz w:val="1"/>
                <w:szCs w:val="1"/>
                <w:color w:val="auto"/>
              </w:rPr>
            </w:pPr>
          </w:p>
        </w:tc>
      </w:tr>
      <w:tr>
        <w:trPr>
          <w:trHeight w:val="526"/>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9"/>
              </w:rPr>
              <w:t>For the Years Ended</w:t>
            </w:r>
          </w:p>
        </w:tc>
        <w:tc>
          <w:tcPr>
            <w:tcW w:w="0" w:type="dxa"/>
            <w:vAlign w:val="bottom"/>
          </w:tcPr>
          <w:p>
            <w:pPr>
              <w:spacing w:after="0"/>
              <w:rPr>
                <w:sz w:val="1"/>
                <w:szCs w:val="1"/>
                <w:color w:val="auto"/>
              </w:rPr>
            </w:pPr>
          </w:p>
        </w:tc>
      </w:tr>
      <w:tr>
        <w:trPr>
          <w:trHeight w:val="171"/>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4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for the period</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20,270</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w w:val="94"/>
              </w:rPr>
              <w:t>Other comprehensive income not to be reclassified to income or loss in subsequent periods (net of tax)</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losses on defined benefit plans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net of tax</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8"/>
                <w:szCs w:val="18"/>
                <w:b w:val="1"/>
                <w:bCs w:val="1"/>
                <w:color w:val="auto"/>
              </w:rPr>
              <w:t>19,534</w:t>
            </w: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1"/>
              </w:rPr>
              <w:t>Share capital</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93"/>
              </w:rPr>
              <w:t>812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73,211</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(70,092)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3,931</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Net Income for the period in 2014</w:t>
            </w: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income</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9,426</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9,426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9,857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D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9,854</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2014</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6"/>
              </w:rPr>
              <w:t>854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83,068</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(60,455)</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23,467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1"/>
              </w:rPr>
              <w:t>Share capital</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93"/>
              </w:rPr>
              <w:t>854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83,068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(60,455)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23,467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 for the period in 2015</w:t>
            </w: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20,270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loss</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19,534</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98"/>
              </w:rPr>
              <w:t>19,534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w:t>
            </w: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29,567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E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29,437</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130</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(2,139)</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2015</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6"/>
              </w:rPr>
              <w:t>928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110,496</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(40,381)</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71,043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9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7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70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20,270</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for the period to net cash flows :</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Depreciation of property, plant &amp; equipment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(1,646)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540</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(2,135)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25,666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600" w:type="dxa"/>
            <w:vAlign w:val="bottom"/>
          </w:tcPr>
          <w:p>
            <w:pPr>
              <w:jc w:val="right"/>
              <w:spacing w:after="0"/>
              <w:rPr>
                <w:sz w:val="20"/>
                <w:szCs w:val="20"/>
                <w:color w:val="auto"/>
              </w:rPr>
            </w:pPr>
            <w:r>
              <w:rPr>
                <w:rFonts w:ascii="Arial" w:cs="Arial" w:eastAsia="Arial" w:hAnsi="Arial"/>
                <w:sz w:val="18"/>
                <w:szCs w:val="18"/>
                <w:color w:val="auto"/>
              </w:rPr>
              <w:t>1,707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(141)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by/(used in) operating activities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44,035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costs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by/(used in) operating activities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44,084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(17,624)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(244)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preferred Series E / D shares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29,499</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 of issue of shares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(1,859)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on issue of shares-option plan</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27,778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71,618</w:t>
            </w:r>
          </w:p>
        </w:tc>
        <w:tc>
          <w:tcPr>
            <w:tcW w:w="3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January 1</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Exchange gains on cash and cash equivalents</w:t>
            </w:r>
          </w:p>
        </w:tc>
        <w:tc>
          <w:tcPr>
            <w:tcW w:w="600" w:type="dxa"/>
            <w:vAlign w:val="bottom"/>
          </w:tcPr>
          <w:p>
            <w:pPr>
              <w:jc w:val="right"/>
              <w:spacing w:after="0"/>
              <w:rPr>
                <w:sz w:val="20"/>
                <w:szCs w:val="20"/>
                <w:color w:val="auto"/>
              </w:rPr>
            </w:pPr>
            <w:r>
              <w:rPr>
                <w:rFonts w:ascii="Arial" w:cs="Arial" w:eastAsia="Arial" w:hAnsi="Arial"/>
                <w:sz w:val="18"/>
                <w:szCs w:val="18"/>
                <w:color w:val="auto"/>
              </w:rPr>
              <w:t>1,598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December 31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76,522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71,618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131"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lead product candidate is crenezumab, a humanized, monoclonal, conformation-specific anti-Abeta antibody that we developed using our proprietary SupraAntigen platform. Crenezumab is expected to enter Phase 3 clinical studies in early 2016 and we believe it has the potential to become a best-in-class disease-modifying treatment for AD. We use our two unique proprietary platform technologies, SupraAntigen (conformation-specific biologics) and Morphomer (conformation-specific small molecules), to discover, design and develop medicines and diagnostics to target misfolded proteins.</w:t>
      </w:r>
    </w:p>
    <w:p>
      <w:pPr>
        <w:spacing w:after="0" w:line="17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was initially incorporated as a limited liability company on February 13, 2003 in Basel and effective August 25, 2003 was transitioned into a stock company. The Company’s corporate headquarters are located at EPFL Innovation Park Building B, Ecublens/Lausanne, Vaud, Switzerland.</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315"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76.5 million as of December 31, 2015 which includes cash related to the Company’s Series E financing totaling CHF 28.9 million concluded in October 2015.</w:t>
      </w:r>
    </w:p>
    <w:p>
      <w:pPr>
        <w:spacing w:after="0" w:line="18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left="220" w:hanging="212"/>
        <w:spacing w:after="0"/>
        <w:tabs>
          <w:tab w:leader="none" w:pos="2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establish and maintain a strong patent position and protection, (ii) enter into collaborations with partners in the biotech and pharmaceutical industry,</w:t>
      </w:r>
    </w:p>
    <w:p>
      <w:pPr>
        <w:spacing w:after="0" w:line="20" w:lineRule="exact"/>
        <w:rPr>
          <w:rFonts w:ascii="Arial" w:cs="Arial" w:eastAsia="Arial" w:hAnsi="Arial"/>
          <w:sz w:val="17"/>
          <w:szCs w:val="17"/>
          <w:color w:val="auto"/>
        </w:rPr>
      </w:pPr>
    </w:p>
    <w:p>
      <w:pPr>
        <w:ind w:right="620" w:firstLine="8"/>
        <w:spacing w:after="0" w:line="261" w:lineRule="auto"/>
        <w:tabs>
          <w:tab w:leader="none" w:pos="31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successfully move its product candidates through clinical development, (iv) attract and retain key personnel, and (v) acquire capital to support its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financial statements have been prepared in accordance with International Financial Reporting Standards (IFRS) as issued by the International Accounting Standards Board (IASB). These financial statements have been approved for issue by the Board of Directors on March 12,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459" w:right="2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financial statements of the Company are presented in Swiss Francs (CHF), which is also the functional currency of the Company. All financial information presented in Swiss francs (except for share capital and earnings per share data) has been rounded to the nearest thousand CHF (CHF thousands), unless otherwise indicated. The Company also has transactions denominated in U.S. Dollars ($) and Euros (EUR) that are translated to CHF at the date of transaction or as of the balance sheet date.</w:t>
      </w:r>
    </w:p>
    <w:p>
      <w:pPr>
        <w:spacing w:after="0" w:line="331"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12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Company presents assets and liabilities in the balance sheet based on current/non-current classification. The Company classifies all amounts to be realized or settled within twelve months after the reporting period to be current and all other amounts to be non-current.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income statement in the period in which they arise.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 includes license fees, milestone payments as well as revenue from research agreements associated with collaborations with third parties and grants from public institutions and foundations.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Upfront fees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Revenue from non-refundable, upfront license fees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collaboration agreements on product candidates that are (i) in clinical development, (ii) where the upfront payment reflects a payment for past investments the Company has made in the development of the product candidate, access to the product candidate, the associated intellectual property and our knowledge, and, (iii) where there is no further performance commitment, pursuant to guidelines on revenue recognition as contained in IAS 18,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collaboration agreements, in addition to receiving upfront payments, the Company is also entitled to milestone and other contingent payments upon achieving pre-defined objectives.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Revenue from milestones, if they are non-refundable and deemed substantive, are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Given the stage of development of the Company’s products, all research expenditure is recognized as expense when incurred.</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external research contracts the “stage of completion” method is used to estimate the amount of accrued expense related to the research projects for its clinical studies. The Company estimates its accrued expenses as of the balance sheet date in the financial statement based on facts and circumstances known at the time.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Upfront payments relating to in-licensing agreements are recognized over an appropriate, project-specific duration.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Equipment is shown at historical acquisition cost, less accumulated depreciation and any accumulated impairment losses. Historical costs include expenditures that are directly attributable to the acquisition of the items. Depreciation is calculated using a straight-line method to write off the cost of each asset to its residual value over its estimated useful life as follows:</w:t>
      </w:r>
    </w:p>
    <w:p>
      <w:pPr>
        <w:sectPr>
          <w:pgSz w:w="11900" w:h="16838" w:orient="portrait"/>
          <w:cols w:equalWidth="0" w:num="1">
            <w:col w:w="11360"/>
          </w:cols>
          <w:pgMar w:left="240" w:top="460" w:right="299" w:bottom="1440" w:gutter="0" w:footer="0" w:header="0"/>
        </w:sectPr>
      </w:pPr>
    </w:p>
    <w:p>
      <w:pPr>
        <w:spacing w:after="0" w:line="20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IT equipment</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Laboratory equipment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Leaseholds improvements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8160" w:space="720"/>
            <w:col w:w="2480"/>
          </w:cols>
          <w:pgMar w:left="240" w:top="460" w:right="299" w:bottom="1440" w:gutter="0" w:footer="0" w:header="0"/>
          <w:type w:val="continuous"/>
        </w:sectPr>
      </w:pPr>
    </w:p>
    <w:p>
      <w:pPr>
        <w:spacing w:after="0" w:line="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immediately to its recoverable amount.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Profits and losses on disposals are determined by comparing the disposal proceeds with the carrying amount and are included in the income statement.</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60"/>
          </w:cols>
          <w:pgMar w:left="240" w:top="460" w:right="299" w:bottom="1440" w:gutter="0" w:footer="0" w:header="0"/>
          <w:type w:val="continuous"/>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Expenditure to acquire patents, trademarks and licenses is capitalized and amortized using the straight-line method over their useful lives of five years.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 at the balance sheet date are charged against the income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&amp;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are only comprised of receivables, cash and cash equivalents and trade payables.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maturities greater than 12 months after the balance sheet date. These are classified as long-term assets.</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Receivables are measured at amortized cost. Amortized cost is the amount at which the receivable is measured at initial recognition minus principal repayments, plus or minus the cumulative amortization using the effective interest method of any difference between that initial amount and the maturity amount.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Cash and cash equivalents at the bank comprise the cash on hand. All cash and cash equivalents are either in cash or in deposits with less than 3 months’ duration.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payables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recognized initially at fair value and subsequently measured at amortized cost using the effective interest method.</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assesses at each period whether there is objective evidence that those financial assets are impaired. Impairment losses are recognized in the income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Ordinary (Common) Shares as well as all Preferred Shares are classified as equity.</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Expenses directly attributable to the issue of new shares are shown in equity as a deduction, net of tax, from the proceeds. AC Immune has five classes (Class A, B, C, D and E) of Preferred Shares outstanding. The Preferred Shares are a class of shares that AC Immune SA issued in connection with five separate capital increases and convey voting rights and certain other rights to their holders.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holders of Preferred Shares own 80.1% of the total amount of shares outstanding (assuming conversion of the Preferred Shares into Common Shares on a one-for-one basis), have been the primary source of equity financing for the Company over the past 13 years and the Company’s Board of Directors consists predominantly of holders of Preferred Shares. The Preferred Shares do not have mandatory redemption features and the redemption of the Preferred Shares is within the control of the Company’s Board of Directors.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59" w:right="2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Shareholders’ Agreement allows for the conversion of Preferred Shares into Common Shares under certain circumstances, all of which are at the discretion of the Board or our Shareholders. The Preferred Shares have to be converted into Common Shares in the event of a change of control or an initial public offering or some other form of liquidity event.</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voting rights associated with Preferred Shares are the same as for Common Shares-each Preferred Share entitles the holder to one vote. No dividends have been paid on the Preferred Shares and the holders of Preferred Shares are not entitled to any dividends unless dividends are paid on the Common Shares.</w:t>
      </w:r>
    </w:p>
    <w:p>
      <w:pPr>
        <w:spacing w:after="0" w:line="12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Preferred Shares have a liquidation preference wherein, in the event of a change of control or a liquidation of the Company, the holders of Preferred Shares are entitled to receive, prior and in preference to the holders of Common Shares, the amount corresponding to the price paid for each Preferred Share. Thereafter, all holders of Preferred Shares will participate with the holders of Common Shares on an as-if-converted basis in any remaining proceeds.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23, 2015, AC Immune completed a 250-for-1 stock split. The split applies to all of AC Immune’s outstanding common shares, preferred shares (Series A, B, C, D and E) and vested and unvested options. The stock split has an impact on the earnings per share (“EPS”). To facilitate a comparison of EPS figures, the 2015 and 2014 reported EPS figures were adjusted to reflect the stock split. Footnotes 9 (share capital), 16 (share based compensation) and 18 (earnings per share) have all been prepared taking into consideration the 250-for-1 stock split.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Post-employment benefits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operates the mandatory pension schemes for its employees in Switzerland. The schemes are generally funded through payments to insurance companies or trustee-administered funds. The Company has a pension plan designed to pay pensions based on accumulated contributions on individual savings accounts. However, this plan is classified as a defined benefit plan under IAS 19.</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net pension liability is the present value of the defined benefit obligation at the balance sheet date minus the fair value of plan assets. The defined benefit obligation is in all material cases calculated annually by independent actuaries using the projected unit credit method, which reflects services rendered by employees to the date of valuation, incorporates assumptions concerning employees’ projected salaries, pension increases as well as discount rates of highly liquid corporate bonds which have terms to maturity approximating the terms of the related liability.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460" w:right="2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Stock options granted under the Company’s stock option plans A, B and C are valued using the Black-Scholes model (see Note 16). This valuation model as well as parameters such as expected volatility and expected term of the stock options was partially based on management’s estimates.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proceeds received net of any directly attributable transaction costs are credited to share capital (nominal value) and share premium when the options are exercised.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Current income tax assets and liabilities for the current period are measured at the amount expected to be recovered from or paid to the taxation authorities. The tax rates and tax laws used to compute the amount are those that are enacted or substantively enacted, at the reporting date in the country where the Company operates and generates taxable income. Taxation is provided for in accordance with the fiscal regulations of the respective country in which the Company operates. Deferred tax is provided using the liability method on temporary differences between the tax bases of assets and liabilities and their carrying amounts for financial reporting purposes at the reporting date.</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balance sheet date.</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key milestones, it has not recognized any deferred tax assets.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presents basic earnings per share for each period in the financial statements. The earnings per share is calculated by dividing the earnings of the period by the weighted average number of shares (common and preferred) outstanding during the period. Diluted earnings per share reflect the potential dilution that could occur if dilutive securities such as share options were vested or exercised into common shares or resulted in the issuance of common shares that would participate in net income. Anti-dilutive shares are excluded from basic and dilutive earnings per share calculation.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preparation of financial statements in conformity with IFRS requires management to make judgments, estimates and assumptions that affect the application of accounting policies and the reported amounts of assets, liabilities, income and expenses.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stock-based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disclosed in Note 14, 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which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Standards, amendments and interpretations effective in current reporting period but without impact on the Company financial statements</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standards, amendments and interpretation currently are mandatory for accounting periods beginning on or after January 1, 2015 but did not have any effect on the Company financial statements:</w:t>
      </w:r>
    </w:p>
    <w:p>
      <w:pPr>
        <w:spacing w:after="0" w:line="76" w:lineRule="exact"/>
        <w:rPr>
          <w:sz w:val="20"/>
          <w:szCs w:val="20"/>
          <w:color w:val="auto"/>
        </w:rPr>
      </w:pPr>
    </w:p>
    <w:p>
      <w:pPr>
        <w:ind w:left="900" w:hanging="325"/>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Amendments to IAS 19: Defined Benefits Plans: Employee Contributions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Annual Improvements to IFRSs 2010-2012 Cycle (except for the amendment to IFRS 3 Business combinations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Annual Improvements to IFRSs 2011-2013 Cycle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60" w:right="2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amendments and interpretations to existing standards not yet effective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new standards, amendments and interpretations to existing standards have been published and are mandatory for accounting periods beginning on or after January 1, 2016 or later periods but which the Company has not adopted early: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Planned application</w:t>
            </w:r>
          </w:p>
        </w:tc>
        <w:tc>
          <w:tcPr>
            <w:tcW w:w="0" w:type="dxa"/>
            <w:vAlign w:val="bottom"/>
          </w:tcPr>
          <w:p>
            <w:pPr>
              <w:spacing w:after="0"/>
              <w:rPr>
                <w:sz w:val="1"/>
                <w:szCs w:val="1"/>
                <w:color w:val="auto"/>
              </w:rPr>
            </w:pPr>
          </w:p>
        </w:tc>
      </w:tr>
      <w:tr>
        <w:trPr>
          <w:trHeight w:val="149"/>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w w:val="92"/>
              </w:rPr>
              <w:t>Recently released Standards/ Interpretations</w:t>
            </w:r>
          </w:p>
        </w:tc>
        <w:tc>
          <w:tcPr>
            <w:tcW w:w="16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6"/>
              </w:rPr>
              <w:t>Date Issued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60" w:type="dxa"/>
            <w:vAlign w:val="bottom"/>
            <w:tcBorders>
              <w:bottom w:val="single" w:sz="8" w:color="auto"/>
            </w:tcBorders>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is often permitted</w:t>
            </w:r>
          </w:p>
        </w:tc>
        <w:tc>
          <w:tcPr>
            <w:tcW w:w="100" w:type="dxa"/>
            <w:vAlign w:val="bottom"/>
          </w:tcPr>
          <w:p>
            <w:pPr>
              <w:spacing w:after="0"/>
              <w:rPr>
                <w:sz w:val="16"/>
                <w:szCs w:val="16"/>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by AC Immune</w:t>
            </w:r>
          </w:p>
        </w:tc>
        <w:tc>
          <w:tcPr>
            <w:tcW w:w="0" w:type="dxa"/>
            <w:vAlign w:val="bottom"/>
          </w:tcPr>
          <w:p>
            <w:pPr>
              <w:spacing w:after="0"/>
              <w:rPr>
                <w:sz w:val="1"/>
                <w:szCs w:val="1"/>
                <w:color w:val="auto"/>
              </w:rPr>
            </w:pPr>
          </w:p>
        </w:tc>
      </w:tr>
      <w:tr>
        <w:trPr>
          <w:trHeight w:val="195"/>
        </w:trPr>
        <w:tc>
          <w:tcPr>
            <w:tcW w:w="4420" w:type="dxa"/>
            <w:vAlign w:val="bottom"/>
            <w:gridSpan w:val="2"/>
          </w:tcPr>
          <w:p>
            <w:pPr>
              <w:spacing w:after="0" w:line="195" w:lineRule="exact"/>
              <w:rPr>
                <w:sz w:val="20"/>
                <w:szCs w:val="20"/>
                <w:color w:val="auto"/>
              </w:rPr>
            </w:pPr>
            <w:r>
              <w:rPr>
                <w:rFonts w:ascii="Arial" w:cs="Arial" w:eastAsia="Arial" w:hAnsi="Arial"/>
                <w:sz w:val="18"/>
                <w:szCs w:val="18"/>
                <w:color w:val="auto"/>
              </w:rPr>
              <w:t>Investment Entities: Applying the Consolidation</w:t>
            </w:r>
          </w:p>
        </w:tc>
        <w:tc>
          <w:tcPr>
            <w:tcW w:w="6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Dec 2014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w w:val="92"/>
              </w:rPr>
              <w:t>Annual periods beginning on or after January 1, 2016,</w:t>
            </w:r>
          </w:p>
        </w:tc>
        <w:tc>
          <w:tcPr>
            <w:tcW w:w="100" w:type="dxa"/>
            <w:vAlign w:val="bottom"/>
          </w:tcPr>
          <w:p>
            <w:pPr>
              <w:spacing w:after="0"/>
              <w:rPr>
                <w:sz w:val="16"/>
                <w:szCs w:val="16"/>
                <w:color w:val="auto"/>
              </w:rPr>
            </w:pPr>
          </w:p>
        </w:tc>
        <w:tc>
          <w:tcPr>
            <w:tcW w:w="1600" w:type="dxa"/>
            <w:vAlign w:val="bottom"/>
          </w:tcPr>
          <w:p>
            <w:pPr>
              <w:spacing w:after="0" w:line="195" w:lineRule="exact"/>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3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w w:val="94"/>
              </w:rPr>
              <w:t>Exception (Amendments to IFRS 10, IFRS 12 and IAS 28)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4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rPr>
              <w:t>Disclosure Initiative (Amendments to IAS 1)</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Dec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Annual Improvements 2012-2014 Cycle</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Sept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w w:val="94"/>
              </w:rPr>
              <w:t>Sale or Contribution of Assets between an Investor and its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Sept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Non applicable</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w w:val="97"/>
              </w:rPr>
              <w:t>Associate or Joint Venture (Amendments to IFRS 10 and</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IAS 28)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Equity Method in Separate Financial Statements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Aug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(Amendments to IAS 27)</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20" w:type="dxa"/>
            <w:vAlign w:val="bottom"/>
            <w:gridSpan w:val="2"/>
          </w:tcPr>
          <w:p>
            <w:pPr>
              <w:spacing w:after="0"/>
              <w:rPr>
                <w:sz w:val="20"/>
                <w:szCs w:val="20"/>
                <w:color w:val="auto"/>
              </w:rPr>
            </w:pPr>
            <w:r>
              <w:rPr>
                <w:rFonts w:ascii="Arial" w:cs="Arial" w:eastAsia="Arial" w:hAnsi="Arial"/>
                <w:sz w:val="18"/>
                <w:szCs w:val="18"/>
                <w:color w:val="auto"/>
              </w:rPr>
              <w:t>IFRS 9 Financial instruments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Nov 2009 to</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Effective Jan 1, 2018 with early adoption allowed</w:t>
            </w:r>
          </w:p>
        </w:tc>
        <w:tc>
          <w:tcPr>
            <w:tcW w:w="1600" w:type="dxa"/>
            <w:vAlign w:val="bottom"/>
          </w:tcPr>
          <w:p>
            <w:pPr>
              <w:spacing w:after="0"/>
              <w:rPr>
                <w:sz w:val="20"/>
                <w:szCs w:val="20"/>
                <w:color w:val="auto"/>
              </w:rPr>
            </w:pPr>
            <w:r>
              <w:rPr>
                <w:rFonts w:ascii="Arial" w:cs="Arial" w:eastAsia="Arial" w:hAnsi="Arial"/>
                <w:sz w:val="18"/>
                <w:szCs w:val="18"/>
                <w:color w:val="auto"/>
              </w:rPr>
              <w:t>Jan 1, 2018</w:t>
            </w:r>
          </w:p>
        </w:tc>
        <w:tc>
          <w:tcPr>
            <w:tcW w:w="0" w:type="dxa"/>
            <w:vAlign w:val="bottom"/>
          </w:tcPr>
          <w:p>
            <w:pPr>
              <w:spacing w:after="0"/>
              <w:rPr>
                <w:sz w:val="1"/>
                <w:szCs w:val="1"/>
                <w:color w:val="auto"/>
              </w:rPr>
            </w:pPr>
          </w:p>
        </w:tc>
      </w:tr>
      <w:tr>
        <w:trPr>
          <w:trHeight w:val="323"/>
        </w:trPr>
        <w:tc>
          <w:tcPr>
            <w:tcW w:w="2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July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Early application of the own credit risk improvements,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prior to any other changes in the accounting for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financial instruments, is permitted by IFRS 9</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w w:val="93"/>
              </w:rPr>
              <w:t>Agriculture: Bearer Plants (Amendments to IAS 16 and IAS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June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An entity shall apply those amendments for annual</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41)</w:t>
            </w: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periods beginning on or after January 1, 2016. Earlier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IFRS 15 Revenue from Contracts with Customers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2018.</w:t>
            </w:r>
          </w:p>
        </w:tc>
        <w:tc>
          <w:tcPr>
            <w:tcW w:w="1600" w:type="dxa"/>
            <w:vAlign w:val="bottom"/>
          </w:tcPr>
          <w:p>
            <w:pPr>
              <w:spacing w:after="0"/>
              <w:rPr>
                <w:sz w:val="20"/>
                <w:szCs w:val="20"/>
                <w:color w:val="auto"/>
              </w:rPr>
            </w:pPr>
            <w:r>
              <w:rPr>
                <w:rFonts w:ascii="Arial" w:cs="Arial" w:eastAsia="Arial" w:hAnsi="Arial"/>
                <w:sz w:val="18"/>
                <w:szCs w:val="18"/>
                <w:color w:val="auto"/>
              </w:rPr>
              <w:t>Jan 1, 2018</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Earlier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Clarification of Acceptable Methods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 entity shall apply those amendments prospectively</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of Depreciation and Amortization</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for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Amendments to IAS 16 and IAS 38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2016. Earlier 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340" w:type="dxa"/>
            <w:vAlign w:val="bottom"/>
            <w:gridSpan w:val="4"/>
          </w:tcPr>
          <w:p>
            <w:pPr>
              <w:ind w:left="60"/>
              <w:spacing w:after="0"/>
              <w:rPr>
                <w:sz w:val="20"/>
                <w:szCs w:val="20"/>
                <w:color w:val="auto"/>
              </w:rPr>
            </w:pPr>
            <w:r>
              <w:rPr>
                <w:rFonts w:ascii="Arial" w:cs="Arial" w:eastAsia="Arial" w:hAnsi="Arial"/>
                <w:sz w:val="18"/>
                <w:szCs w:val="18"/>
                <w:color w:val="auto"/>
              </w:rPr>
              <w:t>F-24</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Financial Statements (IFRS)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Recently released Standards/ Interpretations</w:t>
      </w:r>
    </w:p>
    <w:p>
      <w:pPr>
        <w:spacing w:after="0" w:line="37" w:lineRule="exact"/>
        <w:rPr>
          <w:sz w:val="20"/>
          <w:szCs w:val="20"/>
          <w:color w:val="auto"/>
        </w:rPr>
      </w:pPr>
    </w:p>
    <w:p>
      <w:pPr>
        <w:ind w:right="1500"/>
        <w:spacing w:after="0" w:line="277" w:lineRule="auto"/>
        <w:rPr>
          <w:sz w:val="20"/>
          <w:szCs w:val="20"/>
          <w:color w:val="auto"/>
        </w:rPr>
      </w:pPr>
      <w:r>
        <w:rPr>
          <w:rFonts w:ascii="Arial" w:cs="Arial" w:eastAsia="Arial" w:hAnsi="Arial"/>
          <w:sz w:val="17"/>
          <w:szCs w:val="17"/>
          <w:color w:val="auto"/>
        </w:rPr>
        <w:t>Accounting for Acquisitions of Interests in Joint Operations Amendments to IFRS 11</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IFRS 14 Regulatory Deferral Accounts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Planned application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Date Issued</w:t>
            </w: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is often permitted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7"/>
              </w:rPr>
              <w:t>by AC Immune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May 2014</w:t>
            </w:r>
          </w:p>
        </w:tc>
        <w:tc>
          <w:tcPr>
            <w:tcW w:w="1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An entity shall apply those amendments prospectively</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in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40" w:type="dxa"/>
            <w:vAlign w:val="bottom"/>
            <w:gridSpan w:val="2"/>
          </w:tcPr>
          <w:p>
            <w:pPr>
              <w:spacing w:after="0"/>
              <w:rPr>
                <w:sz w:val="20"/>
                <w:szCs w:val="20"/>
                <w:color w:val="auto"/>
              </w:rPr>
            </w:pPr>
            <w:r>
              <w:rPr>
                <w:rFonts w:ascii="Arial" w:cs="Arial" w:eastAsia="Arial" w:hAnsi="Arial"/>
                <w:sz w:val="18"/>
                <w:szCs w:val="18"/>
                <w:color w:val="auto"/>
              </w:rPr>
              <w:t>Jan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Effective for an entity’s first annual IFRS financial</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statements for a period beginning on or after January</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1, 2016. Earlier 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2">
            <w:col w:w="3760" w:space="720"/>
            <w:col w:w="6940"/>
          </w:cols>
          <w:pgMar w:left="240" w:top="460"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IFRS 16 Leases</w:t>
            </w:r>
          </w:p>
        </w:tc>
        <w:tc>
          <w:tcPr>
            <w:tcW w:w="1120" w:type="dxa"/>
            <w:vAlign w:val="bottom"/>
          </w:tcPr>
          <w:p>
            <w:pPr>
              <w:ind w:left="180"/>
              <w:spacing w:after="0"/>
              <w:rPr>
                <w:sz w:val="20"/>
                <w:szCs w:val="20"/>
                <w:color w:val="auto"/>
              </w:rPr>
            </w:pPr>
            <w:r>
              <w:rPr>
                <w:rFonts w:ascii="Arial" w:cs="Arial" w:eastAsia="Arial" w:hAnsi="Arial"/>
                <w:sz w:val="18"/>
                <w:szCs w:val="18"/>
                <w:color w:val="auto"/>
              </w:rPr>
              <w:t>Jan 2016</w:t>
            </w:r>
          </w:p>
        </w:tc>
        <w:tc>
          <w:tcPr>
            <w:tcW w:w="4220" w:type="dxa"/>
            <w:vAlign w:val="bottom"/>
          </w:tcPr>
          <w:p>
            <w:pPr>
              <w:ind w:left="320"/>
              <w:spacing w:after="0"/>
              <w:rPr>
                <w:sz w:val="20"/>
                <w:szCs w:val="20"/>
                <w:color w:val="auto"/>
              </w:rPr>
            </w:pPr>
            <w:r>
              <w:rPr>
                <w:rFonts w:ascii="Arial" w:cs="Arial" w:eastAsia="Arial" w:hAnsi="Arial"/>
                <w:sz w:val="18"/>
                <w:szCs w:val="18"/>
                <w:color w:val="auto"/>
                <w:w w:val="96"/>
              </w:rPr>
              <w:t>Effective for annual periods beginning on or after 1</w:t>
            </w:r>
          </w:p>
        </w:tc>
        <w:tc>
          <w:tcPr>
            <w:tcW w:w="1040" w:type="dxa"/>
            <w:vAlign w:val="bottom"/>
          </w:tcPr>
          <w:p>
            <w:pPr>
              <w:ind w:left="180"/>
              <w:spacing w:after="0"/>
              <w:rPr>
                <w:sz w:val="20"/>
                <w:szCs w:val="20"/>
                <w:color w:val="auto"/>
              </w:rPr>
            </w:pPr>
            <w:r>
              <w:rPr>
                <w:rFonts w:ascii="Arial" w:cs="Arial" w:eastAsia="Arial" w:hAnsi="Arial"/>
                <w:sz w:val="18"/>
                <w:szCs w:val="18"/>
                <w:i w:val="1"/>
                <w:iCs w:val="1"/>
                <w:color w:val="auto"/>
                <w:w w:val="89"/>
              </w:rPr>
              <w:t>Jan 1, 2019</w:t>
            </w:r>
          </w:p>
        </w:tc>
      </w:tr>
      <w:tr>
        <w:trPr>
          <w:trHeight w:val="230"/>
        </w:trPr>
        <w:tc>
          <w:tcPr>
            <w:tcW w:w="4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January 2019 (subject to EU endorsement)</w:t>
            </w:r>
          </w:p>
        </w:tc>
        <w:tc>
          <w:tcPr>
            <w:tcW w:w="1040" w:type="dxa"/>
            <w:vAlign w:val="bottom"/>
          </w:tcPr>
          <w:p>
            <w:pPr>
              <w:spacing w:after="0"/>
              <w:rPr>
                <w:sz w:val="20"/>
                <w:szCs w:val="20"/>
                <w:color w:val="auto"/>
              </w:rPr>
            </w:pPr>
          </w:p>
        </w:tc>
      </w:tr>
      <w:tr>
        <w:trPr>
          <w:trHeight w:val="323"/>
        </w:trPr>
        <w:tc>
          <w:tcPr>
            <w:tcW w:w="4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Effective for annual period beginning on or after</w:t>
            </w:r>
          </w:p>
        </w:tc>
        <w:tc>
          <w:tcPr>
            <w:tcW w:w="1040" w:type="dxa"/>
            <w:vAlign w:val="bottom"/>
          </w:tcPr>
          <w:p>
            <w:pPr>
              <w:spacing w:after="0"/>
              <w:rPr>
                <w:sz w:val="24"/>
                <w:szCs w:val="24"/>
                <w:color w:val="auto"/>
              </w:rPr>
            </w:pPr>
          </w:p>
        </w:tc>
      </w:tr>
      <w:tr>
        <w:trPr>
          <w:trHeight w:val="216"/>
        </w:trPr>
        <w:tc>
          <w:tcPr>
            <w:tcW w:w="4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w w:val="98"/>
              </w:rPr>
              <w:t>January 1, 2019. Earlier application is permitted if</w:t>
            </w:r>
          </w:p>
        </w:tc>
        <w:tc>
          <w:tcPr>
            <w:tcW w:w="1040" w:type="dxa"/>
            <w:vAlign w:val="bottom"/>
          </w:tcPr>
          <w:p>
            <w:pPr>
              <w:spacing w:after="0"/>
              <w:rPr>
                <w:sz w:val="18"/>
                <w:szCs w:val="18"/>
                <w:color w:val="auto"/>
              </w:rPr>
            </w:pPr>
          </w:p>
        </w:tc>
      </w:tr>
      <w:tr>
        <w:trPr>
          <w:trHeight w:val="230"/>
        </w:trPr>
        <w:tc>
          <w:tcPr>
            <w:tcW w:w="4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IFRS 15 has also been applied.</w:t>
            </w:r>
          </w:p>
        </w:tc>
        <w:tc>
          <w:tcPr>
            <w:tcW w:w="1040" w:type="dxa"/>
            <w:vAlign w:val="bottom"/>
          </w:tcPr>
          <w:p>
            <w:pPr>
              <w:spacing w:after="0"/>
              <w:rPr>
                <w:sz w:val="20"/>
                <w:szCs w:val="20"/>
                <w:color w:val="auto"/>
              </w:rPr>
            </w:pPr>
          </w:p>
        </w:tc>
      </w:tr>
      <w:tr>
        <w:trPr>
          <w:trHeight w:val="323"/>
        </w:trPr>
        <w:tc>
          <w:tcPr>
            <w:tcW w:w="4300" w:type="dxa"/>
            <w:vAlign w:val="bottom"/>
          </w:tcPr>
          <w:p>
            <w:pPr>
              <w:spacing w:after="0"/>
              <w:rPr>
                <w:sz w:val="20"/>
                <w:szCs w:val="20"/>
                <w:color w:val="auto"/>
              </w:rPr>
            </w:pPr>
            <w:r>
              <w:rPr>
                <w:rFonts w:ascii="Arial" w:cs="Arial" w:eastAsia="Arial" w:hAnsi="Arial"/>
                <w:sz w:val="18"/>
                <w:szCs w:val="18"/>
                <w:color w:val="auto"/>
                <w:w w:val="96"/>
              </w:rPr>
              <w:t>Annual Improvements 2012-2014 Cycle (IAS 12 Income</w:t>
            </w:r>
          </w:p>
        </w:tc>
        <w:tc>
          <w:tcPr>
            <w:tcW w:w="1120" w:type="dxa"/>
            <w:vAlign w:val="bottom"/>
          </w:tcPr>
          <w:p>
            <w:pPr>
              <w:ind w:left="180"/>
              <w:spacing w:after="0"/>
              <w:rPr>
                <w:sz w:val="20"/>
                <w:szCs w:val="20"/>
                <w:color w:val="auto"/>
              </w:rPr>
            </w:pPr>
            <w:r>
              <w:rPr>
                <w:rFonts w:ascii="Arial" w:cs="Arial" w:eastAsia="Arial" w:hAnsi="Arial"/>
                <w:sz w:val="18"/>
                <w:szCs w:val="18"/>
                <w:color w:val="auto"/>
              </w:rPr>
              <w:t>Jan 2016</w:t>
            </w:r>
          </w:p>
        </w:tc>
        <w:tc>
          <w:tcPr>
            <w:tcW w:w="4220" w:type="dxa"/>
            <w:vAlign w:val="bottom"/>
          </w:tcPr>
          <w:p>
            <w:pPr>
              <w:ind w:left="320"/>
              <w:spacing w:after="0"/>
              <w:rPr>
                <w:sz w:val="20"/>
                <w:szCs w:val="20"/>
                <w:color w:val="auto"/>
              </w:rPr>
            </w:pPr>
            <w:r>
              <w:rPr>
                <w:rFonts w:ascii="Arial" w:cs="Arial" w:eastAsia="Arial" w:hAnsi="Arial"/>
                <w:sz w:val="18"/>
                <w:szCs w:val="18"/>
                <w:color w:val="auto"/>
              </w:rPr>
              <w:t>Effective for annual period beginning on or after</w:t>
            </w:r>
          </w:p>
        </w:tc>
        <w:tc>
          <w:tcPr>
            <w:tcW w:w="1040" w:type="dxa"/>
            <w:vAlign w:val="bottom"/>
          </w:tcPr>
          <w:p>
            <w:pPr>
              <w:ind w:left="180"/>
              <w:spacing w:after="0"/>
              <w:rPr>
                <w:sz w:val="20"/>
                <w:szCs w:val="20"/>
                <w:color w:val="auto"/>
              </w:rPr>
            </w:pPr>
            <w:r>
              <w:rPr>
                <w:rFonts w:ascii="Arial" w:cs="Arial" w:eastAsia="Arial" w:hAnsi="Arial"/>
                <w:sz w:val="18"/>
                <w:szCs w:val="18"/>
                <w:color w:val="auto"/>
                <w:w w:val="89"/>
              </w:rPr>
              <w:t>Jan 1, 2017</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Taxes)</w:t>
            </w: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January 1, 2017.</w:t>
            </w:r>
          </w:p>
        </w:tc>
        <w:tc>
          <w:tcPr>
            <w:tcW w:w="104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yet evaluated the impact of these revised standards and amendments on its financial statements.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4.</w:t>
            </w:r>
          </w:p>
        </w:tc>
        <w:tc>
          <w:tcPr>
            <w:tcW w:w="402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plant and equipment</w:t>
            </w:r>
          </w:p>
        </w:tc>
        <w:tc>
          <w:tcPr>
            <w:tcW w:w="1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4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 CHF thousands</w:t>
            </w:r>
          </w:p>
        </w:tc>
        <w:tc>
          <w:tcPr>
            <w:tcW w:w="17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Laboratory</w:t>
            </w:r>
          </w:p>
        </w:tc>
        <w:tc>
          <w:tcPr>
            <w:tcW w:w="13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IT</w:t>
            </w:r>
          </w:p>
        </w:tc>
        <w:tc>
          <w:tcPr>
            <w:tcW w:w="15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Building</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4020" w:type="dxa"/>
            <w:vAlign w:val="bottom"/>
            <w:gridSpan w:val="2"/>
            <w:vMerge w:val="continue"/>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Equipment</w:t>
            </w: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Equipment</w:t>
            </w: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5"/>
              </w:rPr>
              <w:t>and Furniture</w:t>
            </w: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Historical cost</w:t>
            </w:r>
          </w:p>
        </w:tc>
        <w:tc>
          <w:tcPr>
            <w:tcW w:w="17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1,741</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128</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136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2,005</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1,815</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172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146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2,133</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December 31, 2015</w:t>
            </w:r>
          </w:p>
        </w:tc>
        <w:tc>
          <w:tcPr>
            <w:tcW w:w="31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2,058</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172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146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2,376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17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1,146</w:t>
            </w: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7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74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1,292</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1,397</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100</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92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1,589</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December 31,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1,629</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138</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109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1,876</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 December 31, 2015</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37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Net book value December 31, 2014</w:t>
            </w:r>
          </w:p>
        </w:tc>
        <w:tc>
          <w:tcPr>
            <w:tcW w:w="17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7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7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7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120" w:type="dxa"/>
            <w:vAlign w:val="bottom"/>
            <w:gridSpan w:val="3"/>
          </w:tcPr>
          <w:p>
            <w:pPr>
              <w:ind w:left="1220"/>
              <w:spacing w:after="0"/>
              <w:rPr>
                <w:sz w:val="20"/>
                <w:szCs w:val="20"/>
                <w:color w:val="auto"/>
              </w:rPr>
            </w:pPr>
            <w:r>
              <w:rPr>
                <w:rFonts w:ascii="Arial" w:cs="Arial" w:eastAsia="Arial" w:hAnsi="Arial"/>
                <w:sz w:val="18"/>
                <w:szCs w:val="18"/>
                <w:color w:val="auto"/>
              </w:rPr>
              <w:t>F-25</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type w:val="continuous"/>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p>
        </w:tc>
        <w:tc>
          <w:tcPr>
            <w:tcW w:w="660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assets</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60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160" w:type="dxa"/>
            <w:vAlign w:val="bottom"/>
            <w:gridSpan w:val="4"/>
          </w:tcPr>
          <w:p>
            <w:pPr>
              <w:ind w:left="4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600" w:type="dxa"/>
            <w:vAlign w:val="bottom"/>
            <w:gridSpan w:val="2"/>
            <w:vMerge w:val="continue"/>
          </w:tcPr>
          <w:p>
            <w:pPr>
              <w:spacing w:after="0"/>
              <w:rPr>
                <w:sz w:val="12"/>
                <w:szCs w:val="12"/>
                <w:color w:val="auto"/>
              </w:rPr>
            </w:pPr>
          </w:p>
        </w:tc>
        <w:tc>
          <w:tcPr>
            <w:tcW w:w="8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2015</w:t>
            </w:r>
          </w:p>
        </w:tc>
        <w:tc>
          <w:tcPr>
            <w:tcW w:w="226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deposit (restricted cash)</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Security Deposit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AC Immune has a two deposits in escrow accounts totaling CHF 85 thousand associated with the lease of the Company’s premises.</w:t>
      </w:r>
    </w:p>
    <w:p>
      <w:pPr>
        <w:spacing w:after="0" w:line="370"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accrued income</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140" w:type="dxa"/>
            <w:vAlign w:val="bottom"/>
            <w:gridSpan w:val="4"/>
          </w:tcPr>
          <w:p>
            <w:pPr>
              <w:ind w:left="4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2015</w:t>
            </w:r>
          </w:p>
        </w:tc>
        <w:tc>
          <w:tcPr>
            <w:tcW w:w="210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2,169</w:t>
            </w:r>
          </w:p>
        </w:tc>
        <w:tc>
          <w:tcPr>
            <w:tcW w:w="110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Grant receivable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1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prepaid expenses relate mainly to research contracts with down-payments at contract signature and their related activities will start or continue in 2016.</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Deferred offering costs, which consist primarily of direct incremental legal, accounting and printing costs relating to the Company’s planned initial public offering (“IPO”), are capitalized within prepaid expenses. The deferred offering costs will be offset against IPO proceeds upon the consummation of the IPO. In the event the IPO is terminated, deferred offering costs will be expenses. As of December 31, 2015, CHF 2,169 thousand (2014: none) of deferred offering costs were capitalized in prepaid expenses on the balance sheet.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7.</w:t>
            </w:r>
          </w:p>
        </w:tc>
        <w:tc>
          <w:tcPr>
            <w:tcW w:w="668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current receivables</w:t>
            </w: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68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8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68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2015</w:t>
            </w:r>
          </w:p>
        </w:tc>
        <w:tc>
          <w:tcPr>
            <w:tcW w:w="202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Swiss VAT</w:t>
            </w:r>
          </w:p>
        </w:tc>
        <w:tc>
          <w:tcPr>
            <w:tcW w:w="960" w:type="dxa"/>
            <w:vAlign w:val="bottom"/>
          </w:tcPr>
          <w:p>
            <w:pPr>
              <w:jc w:val="right"/>
              <w:spacing w:after="0"/>
              <w:rPr>
                <w:sz w:val="20"/>
                <w:szCs w:val="20"/>
                <w:color w:val="auto"/>
              </w:rPr>
            </w:pPr>
            <w:r>
              <w:rPr>
                <w:rFonts w:ascii="Arial" w:cs="Arial" w:eastAsia="Arial" w:hAnsi="Arial"/>
                <w:sz w:val="18"/>
                <w:szCs w:val="18"/>
                <w:color w:val="auto"/>
              </w:rPr>
              <w:t>147</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680" w:type="dxa"/>
            <w:vAlign w:val="bottom"/>
            <w:gridSpan w:val="2"/>
          </w:tcPr>
          <w:p>
            <w:pPr>
              <w:ind w:left="108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maturity of these assets is less than three months. The Company considers the counterparty risk as low and the carrying amount of these receivables is considered to correspond to the fair value.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40"/>
          </w:cols>
          <w:pgMar w:left="240" w:top="460" w:right="31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8.</w:t>
            </w:r>
          </w:p>
        </w:tc>
        <w:tc>
          <w:tcPr>
            <w:tcW w:w="6720" w:type="dxa"/>
            <w:vAlign w:val="bottom"/>
            <w:gridSpan w:val="2"/>
          </w:tcPr>
          <w:p>
            <w:pPr>
              <w:ind w:left="160"/>
              <w:spacing w:after="0"/>
              <w:rPr>
                <w:sz w:val="20"/>
                <w:szCs w:val="20"/>
                <w:color w:val="auto"/>
              </w:rPr>
            </w:pPr>
            <w:r>
              <w:rPr>
                <w:rFonts w:ascii="Arial" w:cs="Arial" w:eastAsia="Arial" w:hAnsi="Arial"/>
                <w:sz w:val="18"/>
                <w:szCs w:val="18"/>
                <w:b w:val="1"/>
                <w:bCs w:val="1"/>
                <w:color w:val="auto"/>
              </w:rPr>
              <w:t>Cash and cash equivalents</w:t>
            </w: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7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4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9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200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76,522</w:t>
            </w:r>
          </w:p>
        </w:tc>
        <w:tc>
          <w:tcPr>
            <w:tcW w:w="10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76,522</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Currency</w:t>
            </w: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CHF</w:t>
            </w:r>
          </w:p>
        </w:tc>
        <w:tc>
          <w:tcPr>
            <w:tcW w:w="940" w:type="dxa"/>
            <w:vAlign w:val="bottom"/>
          </w:tcPr>
          <w:p>
            <w:pPr>
              <w:jc w:val="right"/>
              <w:spacing w:after="0"/>
              <w:rPr>
                <w:sz w:val="20"/>
                <w:szCs w:val="20"/>
                <w:color w:val="auto"/>
              </w:rPr>
            </w:pPr>
            <w:r>
              <w:rPr>
                <w:rFonts w:ascii="Arial" w:cs="Arial" w:eastAsia="Arial" w:hAnsi="Arial"/>
                <w:sz w:val="18"/>
                <w:szCs w:val="18"/>
                <w:color w:val="auto"/>
              </w:rPr>
              <w:t>19,812</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EUR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USD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54,339</w:t>
            </w:r>
          </w:p>
        </w:tc>
        <w:tc>
          <w:tcPr>
            <w:tcW w:w="10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76,522</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the balance sheet date, Company funds were held in CHF, EUR and USD bank accounts. Assets in EUR and USD were translated into CHF at a rate of 1.0916 and 0.9991, respectively.</w:t>
      </w:r>
    </w:p>
    <w:p>
      <w:pPr>
        <w:spacing w:after="0" w:line="315"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the issued share capital amounting to CHF 928,050 is comprised of 46,402,500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capital structure: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31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400" w:type="dxa"/>
            <w:vAlign w:val="bottom"/>
          </w:tcPr>
          <w:p>
            <w:pPr>
              <w:spacing w:after="0"/>
              <w:rPr>
                <w:sz w:val="12"/>
                <w:szCs w:val="12"/>
                <w:color w:val="auto"/>
              </w:rPr>
            </w:pPr>
          </w:p>
        </w:tc>
        <w:tc>
          <w:tcPr>
            <w:tcW w:w="114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Number</w:t>
            </w: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CHF</w:t>
            </w:r>
          </w:p>
        </w:tc>
        <w:tc>
          <w:tcPr>
            <w:tcW w:w="200" w:type="dxa"/>
            <w:vAlign w:val="bottom"/>
          </w:tcPr>
          <w:p>
            <w:pPr>
              <w:spacing w:after="0"/>
              <w:rPr>
                <w:sz w:val="12"/>
                <w:szCs w:val="12"/>
                <w:color w:val="auto"/>
              </w:rPr>
            </w:pPr>
          </w:p>
        </w:tc>
        <w:tc>
          <w:tcPr>
            <w:tcW w:w="11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Number</w:t>
            </w:r>
          </w:p>
        </w:tc>
        <w:tc>
          <w:tcPr>
            <w:tcW w:w="7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CHF</w:t>
            </w:r>
          </w:p>
        </w:tc>
        <w:tc>
          <w:tcPr>
            <w:tcW w:w="100" w:type="dxa"/>
            <w:vAlign w:val="bottom"/>
          </w:tcPr>
          <w:p>
            <w:pPr>
              <w:spacing w:after="0"/>
              <w:rPr>
                <w:sz w:val="12"/>
                <w:szCs w:val="12"/>
                <w:color w:val="auto"/>
              </w:rPr>
            </w:pPr>
          </w:p>
        </w:tc>
      </w:tr>
      <w:tr>
        <w:trPr>
          <w:trHeight w:val="210"/>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 with a nominal value of CHF 0.02 each</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9,227,250</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184,545</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8,633,000</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A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3,538,000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70,760</w:t>
            </w:r>
          </w:p>
        </w:tc>
        <w:tc>
          <w:tcPr>
            <w:tcW w:w="940" w:type="dxa"/>
            <w:vAlign w:val="bottom"/>
          </w:tcPr>
          <w:p>
            <w:pPr>
              <w:jc w:val="right"/>
              <w:spacing w:after="0"/>
              <w:rPr>
                <w:sz w:val="20"/>
                <w:szCs w:val="20"/>
                <w:color w:val="auto"/>
              </w:rPr>
            </w:pPr>
            <w:r>
              <w:rPr>
                <w:rFonts w:ascii="Arial" w:cs="Arial" w:eastAsia="Arial" w:hAnsi="Arial"/>
                <w:sz w:val="18"/>
                <w:szCs w:val="18"/>
                <w:color w:val="auto"/>
              </w:rPr>
              <w:t>3,538,000</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70,760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B with a nominal value of CHF 0.02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335,650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16,782,500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335,650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C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9,619,000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192,380</w:t>
            </w:r>
          </w:p>
        </w:tc>
        <w:tc>
          <w:tcPr>
            <w:tcW w:w="940" w:type="dxa"/>
            <w:vAlign w:val="bottom"/>
          </w:tcPr>
          <w:p>
            <w:pPr>
              <w:jc w:val="right"/>
              <w:spacing w:after="0"/>
              <w:rPr>
                <w:sz w:val="20"/>
                <w:szCs w:val="20"/>
                <w:color w:val="auto"/>
              </w:rPr>
            </w:pPr>
            <w:r>
              <w:rPr>
                <w:rFonts w:ascii="Arial" w:cs="Arial" w:eastAsia="Arial" w:hAnsi="Arial"/>
                <w:sz w:val="18"/>
                <w:szCs w:val="18"/>
                <w:color w:val="auto"/>
              </w:rPr>
              <w:t>9,619,000</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192,380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D with a nominal value of CHF 0.02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82,450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4,122,500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82,450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E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3,113,250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62,265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46,402,500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928,050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42,695,000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853,900</w:t>
            </w:r>
          </w:p>
        </w:tc>
      </w:tr>
      <w:tr>
        <w:trPr>
          <w:trHeight w:val="20"/>
        </w:trPr>
        <w:tc>
          <w:tcPr>
            <w:tcW w:w="7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Common and Preferred Shares have a nominal value of CHF 0.02 and are fully paid in. In a liquidation or winding up event (including trade sale), Preferred A, B, C, D and E Shares are senior to common shares in such a way that Preferred shareholders get in advance, prior and in preference to the holders of common shares, the amount corresponding to the price paid for each Preferred Share. The remaining funds shall be distributed pro-rata to all shareholders.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October 23, 2015, AC Immune completed a 250-for-1 stock split. The split applies to all of AC Immune’s outstanding common shares, preferred shares (Series A, B, C, D and E) and vested and unvested options. The stock split has an impact on the earnings per share (“EPS”). To facilitate a comparison of EPS figures, the 2015 and 2014 reported EPS figures were adjusted to reflect the stock split.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of Conditional Capital</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Extraordinary General Assembly held on November 28, 2013, approved an increase of the conditional capital of 727,500 (split-adjusted) registered Common Shares with a par value of CHF 0.02. These shares are reserved for the Company’s stock option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Preferred Shares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October 23, 2015 the Company successfully completed a financing round of USD 30 million (CHF 29.4 million). The split-adjusted share price of the round was USD 9.63624 for each of the 3,113,250 Series E Preferred Shares.</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December 13, 2013, the Company approved a CHF 20 million capital increase. The capital increase was completed in two stages with 2,061,250 shares issued immediately in December 2013 at CHF 4.8516 per share raising gross proceeds of CHF 10 million and the second tranche completed in May 2014 with the Company issuing 2,061,250 shares at CHF 4.8516 per share raising gross proceeds of CHF 10 million.</w:t>
      </w:r>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Trade payables and accrued liabilities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08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60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204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Accrued R&amp;D costs</w:t>
            </w:r>
          </w:p>
        </w:tc>
        <w:tc>
          <w:tcPr>
            <w:tcW w:w="940" w:type="dxa"/>
            <w:vAlign w:val="bottom"/>
          </w:tcPr>
          <w:p>
            <w:pPr>
              <w:jc w:val="right"/>
              <w:spacing w:after="0"/>
              <w:rPr>
                <w:sz w:val="20"/>
                <w:szCs w:val="20"/>
                <w:color w:val="auto"/>
              </w:rPr>
            </w:pPr>
            <w:r>
              <w:rPr>
                <w:rFonts w:ascii="Arial" w:cs="Arial" w:eastAsia="Arial" w:hAnsi="Arial"/>
                <w:sz w:val="18"/>
                <w:szCs w:val="18"/>
                <w:color w:val="auto"/>
              </w:rPr>
              <w:t>1,661</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1,372</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6,101</w:t>
            </w:r>
          </w:p>
        </w:tc>
        <w:tc>
          <w:tcPr>
            <w:tcW w:w="10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An accrual of CHF 880 thousand and CHF 947 thousand was recognized for performance-related remuneration relating to 2015 and 2014,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portion of deferred income</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2015 we received a grant from the Michael J. Fox Foundation for developing an alpha-synuclein protein positron emission tomography (PET) imaging agent. The grant covers an 18 month period. We recognized revenues on a straight line basis over the period of the grant. As of December 31, 2015, the remaining CHF 45 thousand is recorded as a current liability in deferred income.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May 2014, AC Immune SA and Piramal Imaging, a division of Piramal Enterprises Ltd. entered into an exclusive worldwide license agreement for the research, development and commercialization of AC Immune’s tau tracers supporting the diagnosis and clinical management of AD and potential tau-related disorders.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upfront payment of EUR 500 thousand (CHF 616 thousand) received in May 2014 from this collaboration is deferred over a period of 12 months. No deferred income was recognized during the year ended on December 31, 2015.</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00"/>
          </w:cols>
          <w:pgMar w:left="240" w:top="459" w:right="3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tab/>
        <w:t>Revenues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For the Years Ended</w:t>
            </w:r>
          </w:p>
        </w:tc>
        <w:tc>
          <w:tcPr>
            <w:tcW w:w="0" w:type="dxa"/>
            <w:vAlign w:val="bottom"/>
          </w:tcPr>
          <w:p>
            <w:pPr>
              <w:spacing w:after="0"/>
              <w:rPr>
                <w:sz w:val="1"/>
                <w:szCs w:val="1"/>
                <w:color w:val="auto"/>
              </w:rPr>
            </w:pPr>
          </w:p>
        </w:tc>
      </w:tr>
      <w:tr>
        <w:trPr>
          <w:trHeight w:val="171"/>
        </w:trPr>
        <w:tc>
          <w:tcPr>
            <w:tcW w:w="68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5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2015</w:t>
            </w:r>
          </w:p>
        </w:tc>
        <w:tc>
          <w:tcPr>
            <w:tcW w:w="11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38,745</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39,090</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Anti-Abeta antibody in AD—Collaboration agreement of 2006 with Genentech</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in July 2015, Genentech announced it will commence Phase 3 clinical studies for crenezumab in 2016. If crenezumab receives regulatory approval, we will be entitled to receive royalties that are tied to annual sales volumes with different royalty rates applicable in the U.S. and Europe. These percentage rates range from net high single digits to the mid-teens.</w:t>
      </w:r>
    </w:p>
    <w:p>
      <w:pPr>
        <w:spacing w:after="0" w:line="18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Under the agreement with Genentech, we may become eligible to receive payments totaling up to approximately $340 million, excluding royalties. As of December 31, 2015 we have received total payments of $65 million (CHF 70.1 million): $40 million (CHF 45.8 million) were received in three milestone payments prior to 2013 and $25 million (CHF 24.3 million) were received in July 2015.</w:t>
      </w:r>
    </w:p>
    <w:p>
      <w:pPr>
        <w:spacing w:after="0" w:line="18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recognized the Phase 3 payment in our financials since there is no further performance requirement on our side. The agreement provides for a second therapeutic product based on the same intellectual property and anti-Abeta antibody compound as well as an anti-Abeta diagnostic product. Genentech may terminate the agreement at any time by providing three months’ notice to us. In such event all costs incurred are still refundable.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in AD – Collaboration agreement of 2012 with Genentech</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2012, we entered into a second partnership with Genentech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To date we have received payments totaling CHF 31 million including a CHF 14 million milestone payment received in 2015. In June 2015, the Company recognized as revenue a milestone payment of CHF 14 million as there is no further performance obligation. This milestone was due upon the ED-GO decision by Genentech on the anti-tau antibody’s product in AD. At the same time, Genentech announced that it intends to move the anti-tau antibody program into Phase 1 clinical studies in late 2016.</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Genentech may terminate the agreement at any time by providing three months’ notice to us. In such event all costs incurred are still refundable.</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 Vaccine in AD – Collaboration agreement of 2014 with Janssen Pharmaceuticals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December of 2014, we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We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agreement also allows for the collaboration to be expanded to a second indication based on the same anti-tau vaccine program and intellectual property related to this program.</w:t>
      </w:r>
    </w:p>
    <w:p>
      <w:pPr>
        <w:spacing w:after="0" w:line="1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received an upfront payment of CHF 25.9 million which we recognized in 2014 and are eligible to receive development, regulatory and commercialization milestone payments for AD and a potential second indication outside of AD. Additionally, we will receive royalties on sales at a percentage rate ranging from the low double digits to mid-teens. The two companies have entered into a three-year joint research collaboration to further characterize and develop novel vaccine therapies for the treatment of tauopathies.</w:t>
      </w:r>
    </w:p>
    <w:p>
      <w:pPr>
        <w:spacing w:after="0" w:line="29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part of this agreement, AC Immune has committed to spending CHF 13.8 million in research and development to the end of Phase 1b which is currently anticipated at the end of 2016. Under the terms of the agreement, Janssen may terminate the agreement at any time after completion of the Phase 1b clinical study by providing 90 days’ notice to us.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recognition of the upfront payment from Janssen was recorded at the time of receipt as the Company determined that the license granted to Janssen was a separate, non-contingent deliverable under the agreement. The Company determined the license had stand-alone value based on Janssen’s ability to create value from the license without our R&amp;D support services due their extensive experience in vaccine development and production which would allow them to complete the phase 1b clinical trials.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Tau-PET imaging agent in AD – Collaboration agreement of 2014 with Piramal Imaging</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pathogenic tau aggregates for use as a PET tracer. The exclusive, worldwide licensing agreement with Piramal Imaging includes upfront and sales milestone payments totaling up to EUR 157 million, plus royalties on sales at a percentage rate ranging from mid-single digits to low double digits. We received an upfront payment of EUR 500 thousand and are entitled to further clinical milestones totaling EUR 7 million should the compound make it through to Phase 3 clinical studies and are further entitled to regulatory, commercialization and sales based milestones totaling EUR 150 million.</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Piramal may terminate the agreement at any time after the first eighteen months from the effective date of this agreement by providing three months’ notice to 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2014, we recognized revenue associated with a research grant given to us by a European Institution in October of 2011 and which had a 3-year duration.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recognized the revenues on a straight line basis over the period of the grant.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60" w:right="2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In 2015 we received a grant from the Michael J. Fox Foundation for developing an alpha-synuclein PET imaging agent. The grant covers an 18 month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recognized revenues on a straight line basis over the period of the grant.</w:t>
      </w:r>
    </w:p>
    <w:p>
      <w:pPr>
        <w:spacing w:after="0" w:line="355"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Expenses by category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10,476</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5,879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5,669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Depreciation of tangible fixed assets</w:t>
            </w:r>
          </w:p>
        </w:tc>
        <w:tc>
          <w:tcPr>
            <w:tcW w:w="18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287</w:t>
            </w:r>
          </w:p>
        </w:tc>
        <w:tc>
          <w:tcPr>
            <w:tcW w:w="42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17,049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Administration</w:t>
            </w: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1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580" w:type="dxa"/>
            <w:vAlign w:val="bottom"/>
            <w:tcBorders>
              <w:top w:val="single" w:sz="8" w:color="auto"/>
            </w:tcBorders>
            <w:gridSpan w:val="2"/>
          </w:tcPr>
          <w:p>
            <w:pPr>
              <w:jc w:val="right"/>
              <w:ind w:right="63"/>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1,908</w:t>
            </w:r>
          </w:p>
        </w:tc>
        <w:tc>
          <w:tcPr>
            <w:tcW w:w="20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gridSpan w:val="2"/>
          </w:tcPr>
          <w:p>
            <w:pPr>
              <w:ind w:left="1380"/>
              <w:spacing w:after="0"/>
              <w:rPr>
                <w:sz w:val="20"/>
                <w:szCs w:val="20"/>
                <w:color w:val="auto"/>
              </w:rPr>
            </w:pPr>
            <w:r>
              <w:rPr>
                <w:rFonts w:ascii="Arial" w:cs="Arial" w:eastAsia="Arial" w:hAnsi="Arial"/>
                <w:sz w:val="18"/>
                <w:szCs w:val="18"/>
                <w:color w:val="auto"/>
              </w:rPr>
              <w:t>Total general and administrative expenses</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3,417</w:t>
            </w:r>
          </w:p>
        </w:tc>
        <w:tc>
          <w:tcPr>
            <w:tcW w:w="2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management including the Board of Directors (five individuals) and the Executive Management (four individuals) compensation is: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July 2015, George Pavey joined AC Immune as Chief Financial Officer and a member of Executive Management. At the same time, Jean-Fabien Monin assumed the role of Chief Administrative Officer. He had previously been Chief Financial Officer since 2009.</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Friedrich von Bohlen and Peter Bollmann joined the Board of Directors of AC Immune in October and December 2015, respectively. Friedrich von Bohlen replaced Christof Hettich who stepped down from the Board in August 2015. Beat Guertler resigned from the board in December 2015. His position was assumed by Peter Bollmann.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459" w:right="2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 comprise of salaries, bonus payments, social security and expenses allowances.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45,000 and 62,500 options were granted in 2015 and 2014, respectively, to the Executive Management of the Company. Zero and 51,250 options were granted in 2015 and 2014, respectively, to the Directors of the Company.</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8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2"/>
              </w:rPr>
              <w:t>For the Years Ended</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72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14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720" w:type="dxa"/>
            <w:vAlign w:val="bottom"/>
            <w:gridSpan w:val="2"/>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280" w:type="dxa"/>
            <w:vAlign w:val="bottom"/>
            <w:tcBorders>
              <w:top w:val="single" w:sz="8" w:color="auto"/>
            </w:tcBorders>
            <w:gridSpan w:val="4"/>
          </w:tcPr>
          <w:p>
            <w:pPr>
              <w:jc w:val="center"/>
              <w:ind w:left="848"/>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tax recognized in profit or loss</w:t>
            </w: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Current tax</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20" w:type="dxa"/>
            <w:vAlign w:val="bottom"/>
            <w:gridSpan w:val="2"/>
          </w:tcPr>
          <w:p>
            <w:pPr>
              <w:ind w:left="92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color w:val="auto"/>
              </w:rPr>
              <w:t>The income tax expense for the year can be reconciled to the accounting profit as follows:</w:t>
            </w: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8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tcPr>
          <w:p>
            <w:pPr>
              <w:ind w:left="2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1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18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spacing w:after="0"/>
              <w:rPr>
                <w:sz w:val="12"/>
                <w:szCs w:val="12"/>
                <w:color w:val="auto"/>
              </w:rPr>
            </w:pPr>
          </w:p>
        </w:tc>
        <w:tc>
          <w:tcPr>
            <w:tcW w:w="56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Accounting income before income tax</w:t>
            </w:r>
          </w:p>
        </w:tc>
        <w:tc>
          <w:tcPr>
            <w:tcW w:w="4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20,270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10,744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gridSpan w:val="3"/>
          </w:tcPr>
          <w:p>
            <w:pPr>
              <w:ind w:left="460"/>
              <w:spacing w:after="0"/>
              <w:rPr>
                <w:sz w:val="20"/>
                <w:szCs w:val="20"/>
                <w:color w:val="auto"/>
              </w:rPr>
            </w:pPr>
            <w:r>
              <w:rPr>
                <w:rFonts w:ascii="Arial" w:cs="Arial" w:eastAsia="Arial" w:hAnsi="Arial"/>
                <w:sz w:val="18"/>
                <w:szCs w:val="18"/>
                <w:color w:val="auto"/>
              </w:rPr>
              <w:t>Tax expense calculated at the statutory rate of 22.5% (2014: 22.5%)</w:t>
            </w:r>
          </w:p>
        </w:tc>
        <w:tc>
          <w:tcPr>
            <w:tcW w:w="4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4,566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Swiss Tax Holidays</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Unrecognized carry forward tax loss</w:t>
            </w:r>
          </w:p>
        </w:tc>
        <w:tc>
          <w:tcPr>
            <w:tcW w:w="4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Effective income tax rate benefit / (expense)</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center"/>
              <w:ind w:left="15"/>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tax rate used for the 2015 and 2014 reconciliations above is the corporate tax rate of 22.5% payable by corporate entities in the Canton of Vaud, Switzerland on taxable profits under tax law in that jurisdiction.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2015, AC Immune was able to avail itself of tax loss carryforwards to reduce its effective tax rate to zero.</w:t>
      </w:r>
    </w:p>
    <w:p>
      <w:pPr>
        <w:spacing w:after="0" w:line="22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was granted by the Canton de Vaud, Switzerland, a 10-year tax holiday for all income and capital taxes on a communal and cantonal level, commencing in the fiscal year 2005 and valid through to December 31, 2014. It has also been granted a 9-year tax holiday for direct Swiss Federal tax commencing in the fiscal year 2006 through to December 31, 2014. Consequently, the effective tax rate for 2014 was zero.</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6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9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980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Unrecognized deductible temporary differences, unused tax losses and unused tax credits</w:t>
            </w: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780" w:type="dxa"/>
            <w:vAlign w:val="bottom"/>
          </w:tcPr>
          <w:p>
            <w:pPr>
              <w:spacing w:after="0" w:line="201" w:lineRule="exact"/>
              <w:rPr>
                <w:sz w:val="20"/>
                <w:szCs w:val="20"/>
                <w:color w:val="auto"/>
              </w:rPr>
            </w:pPr>
            <w:r>
              <w:rPr>
                <w:rFonts w:ascii="Arial" w:cs="Arial" w:eastAsia="Arial" w:hAnsi="Arial"/>
                <w:sz w:val="18"/>
                <w:szCs w:val="18"/>
                <w:color w:val="auto"/>
                <w:w w:val="93"/>
              </w:rPr>
              <w:t>Deductible temporary differences, unused tax losses and unused tax credits for which no deferred tax assets have been recognized</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160"/>
              <w:spacing w:after="0"/>
              <w:rPr>
                <w:sz w:val="20"/>
                <w:szCs w:val="20"/>
                <w:color w:val="auto"/>
              </w:rPr>
            </w:pPr>
            <w:r>
              <w:rPr>
                <w:rFonts w:ascii="Arial" w:cs="Arial" w:eastAsia="Arial" w:hAnsi="Arial"/>
                <w:sz w:val="18"/>
                <w:szCs w:val="18"/>
                <w:color w:val="auto"/>
              </w:rPr>
              <w:t>are attributable to the following:</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 Tax Losses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29,079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 Deductible temporary differences related to the retirement benefit plan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31,866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5520"/>
              <w:spacing w:after="0"/>
              <w:rPr>
                <w:sz w:val="20"/>
                <w:szCs w:val="20"/>
                <w:color w:val="auto"/>
              </w:rPr>
            </w:pPr>
            <w:r>
              <w:rPr>
                <w:rFonts w:ascii="Arial" w:cs="Arial" w:eastAsia="Arial" w:hAnsi="Arial"/>
                <w:sz w:val="18"/>
                <w:szCs w:val="18"/>
                <w:color w:val="auto"/>
              </w:rPr>
              <w:t>F-32</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7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Deductible temporary differences related to the retirement benefit plan do not expire. Tax losses expiry dates are shown in the table below:</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920" w:type="dxa"/>
            <w:vAlign w:val="bottom"/>
            <w:gridSpan w:val="2"/>
          </w:tcPr>
          <w:p>
            <w:pPr>
              <w:spacing w:after="0"/>
              <w:rPr>
                <w:sz w:val="20"/>
                <w:szCs w:val="20"/>
                <w:color w:val="auto"/>
              </w:rPr>
            </w:pPr>
            <w:r>
              <w:rPr>
                <w:rFonts w:ascii="Arial" w:cs="Arial" w:eastAsia="Arial" w:hAnsi="Arial"/>
                <w:sz w:val="14"/>
                <w:szCs w:val="14"/>
                <w:b w:val="1"/>
                <w:bCs w:val="1"/>
                <w:color w:val="auto"/>
              </w:rPr>
              <w:t>in CHF thousands</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10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Tax losses split by expiry date</w:t>
            </w: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2015</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2017</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11,961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2019</w:t>
            </w:r>
          </w:p>
        </w:tc>
        <w:tc>
          <w:tcPr>
            <w:tcW w:w="600" w:type="dxa"/>
            <w:vAlign w:val="bottom"/>
          </w:tcPr>
          <w:p>
            <w:pPr>
              <w:jc w:val="right"/>
              <w:spacing w:after="0"/>
              <w:rPr>
                <w:sz w:val="20"/>
                <w:szCs w:val="20"/>
                <w:color w:val="auto"/>
              </w:rPr>
            </w:pPr>
            <w:r>
              <w:rPr>
                <w:rFonts w:ascii="Arial" w:cs="Arial" w:eastAsia="Arial" w:hAnsi="Arial"/>
                <w:sz w:val="18"/>
                <w:szCs w:val="18"/>
                <w:color w:val="auto"/>
              </w:rPr>
              <w:t>16,566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16,566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2021</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49,253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tax losses available for future offset against taxable profits have decreased by CHF 20.2 million, representing the amount of tax losses that would have been used as an offset.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Consistent with prior years, the Company has not recorded any deferred tax assets in relation to the past tax losses available for offset against future profits as the recognition criteria have not been met at the balance sheet date.</w:t>
      </w:r>
    </w:p>
    <w:p>
      <w:pPr>
        <w:spacing w:after="0" w:line="315"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participates in a collective foundation covering all of its employees including its executive officers. In addition to retirement benefits, the plan provides death or long-term disability benefits.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Contributions paid to the plan are computed as a percentage of salary, adjusted for the age of the employee and shared approximately 46% and 54% by employee and employer, respectively.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plan is governed by the Swiss Law on Occupational Retirement, Survivors and Disability Pension Plans (BVG), which requires contributions to be made to a separately administered fund. The fund has the legal form of a foundation and it is governed by the Board of Trustees, which consists of an equal number of employer’s and employee’s representatives. The Board of Trustees is responsible for the administration of the plan assets and for the definition of the investment strategy.</w:t>
      </w:r>
    </w:p>
    <w:p>
      <w:pPr>
        <w:spacing w:after="0" w:line="18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collective foundation is governed by a foundation board. The board is made up of an equal number of employee and employer representatives of the different affiliated companies. The Company has no direct influence on the investment strategy of the foundation board.</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assets are invested by the pension plan, to which many companies contribute, in a diversified portfolio that respects the requirements of the Swiss BVG. Under the Plan, both the Company and the employee share the costs equally.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since they are shared between a much greater number of participants.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pension plan is exposed to Swiss inflation, interest rate risks and changes in the life expectancy for pensioners.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459" w:right="2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accounting purposes under IFRS, the plan is treated as a defined benefit plan. Liabilities and assets are calculated annually by an independent actuary. In accordance with IAS 19, plan assets have been estimated at their fair market value and liabilities have been calculated according to the “Projected Unit Credit”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status of the defined benefit pension plan and the amount that should be recognized in the balance sheet: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240" w:type="dxa"/>
            <w:vAlign w:val="bottom"/>
            <w:gridSpan w:val="3"/>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240" w:type="dxa"/>
            <w:vAlign w:val="bottom"/>
            <w:gridSpan w:val="3"/>
            <w:vMerge w:val="continue"/>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(9,439)</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(8,091)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Fair value of plan assets</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6,652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Liability</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(2,410)</w:t>
            </w:r>
          </w:p>
        </w:tc>
        <w:tc>
          <w:tcPr>
            <w:tcW w:w="0" w:type="dxa"/>
            <w:vAlign w:val="bottom"/>
          </w:tcPr>
          <w:p>
            <w:pPr>
              <w:spacing w:after="0"/>
              <w:rPr>
                <w:sz w:val="1"/>
                <w:szCs w:val="1"/>
                <w:color w:val="auto"/>
              </w:rPr>
            </w:pPr>
          </w:p>
        </w:tc>
      </w:tr>
      <w:tr>
        <w:trPr>
          <w:trHeight w:val="20"/>
        </w:trPr>
        <w:tc>
          <w:tcPr>
            <w:tcW w:w="8240" w:type="dxa"/>
            <w:vAlign w:val="bottom"/>
            <w:gridSpan w:val="3"/>
            <w:vMerge w:val="restart"/>
          </w:tcPr>
          <w:p>
            <w:pPr>
              <w:spacing w:after="0"/>
              <w:rPr>
                <w:sz w:val="20"/>
                <w:szCs w:val="20"/>
                <w:color w:val="auto"/>
              </w:rPr>
            </w:pPr>
            <w:r>
              <w:rPr>
                <w:rFonts w:ascii="Arial" w:cs="Arial" w:eastAsia="Arial" w:hAnsi="Arial"/>
                <w:sz w:val="18"/>
                <w:szCs w:val="18"/>
                <w:color w:val="auto"/>
                <w:w w:val="94"/>
              </w:rPr>
              <w:t>According to IAS 19, the following amounts have been recorded as net pension cost in the income statement:</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4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25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Impact of plan amendment</w:t>
            </w:r>
          </w:p>
        </w:tc>
        <w:tc>
          <w:tcPr>
            <w:tcW w:w="12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pension cost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defined benefit obligation, fair value of plan assets and unrecognized (gains) / losses are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Change in defined benefit obligation</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0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3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4"/>
                <w:szCs w:val="14"/>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 as of January 1</w:t>
            </w:r>
          </w:p>
        </w:tc>
        <w:tc>
          <w:tcPr>
            <w:tcW w:w="3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(8,091)</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(6,044)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Service cost</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(641)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(521)</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Change in demographic assumptions</w:t>
            </w:r>
          </w:p>
        </w:tc>
        <w:tc>
          <w:tcPr>
            <w:tcW w:w="326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Change in financial assumptions</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(591)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(1,303)</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Other actuarial gains / (losses)</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(176)</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Plan amendment</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Benefit payments</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(48)</w:t>
            </w:r>
          </w:p>
        </w:tc>
        <w:tc>
          <w:tcPr>
            <w:tcW w:w="52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Employees’ contributions</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(375)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w w:val="98"/>
              </w:rPr>
              <w:t>Defined benefit obligation as of December 31</w:t>
            </w:r>
          </w:p>
        </w:tc>
        <w:tc>
          <w:tcPr>
            <w:tcW w:w="3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(9,439</w:t>
            </w:r>
          </w:p>
        </w:tc>
        <w:tc>
          <w:tcPr>
            <w:tcW w:w="440" w:type="dxa"/>
            <w:vAlign w:val="bottom"/>
          </w:tcPr>
          <w:p>
            <w:pPr>
              <w:jc w:val="right"/>
              <w:ind w:right="360"/>
              <w:spacing w:after="0"/>
              <w:rPr>
                <w:sz w:val="20"/>
                <w:szCs w:val="20"/>
                <w:color w:val="auto"/>
              </w:rPr>
            </w:pPr>
            <w:r>
              <w:rPr>
                <w:rFonts w:ascii="Arial" w:cs="Arial" w:eastAsia="Arial" w:hAnsi="Arial"/>
                <w:sz w:val="8"/>
                <w:szCs w:val="8"/>
                <w:color w:val="auto"/>
                <w:w w:val="7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(8,091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8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4240" w:type="dxa"/>
            <w:vAlign w:val="bottom"/>
            <w:gridSpan w:val="3"/>
          </w:tcPr>
          <w:p>
            <w:pPr>
              <w:jc w:val="right"/>
              <w:ind w:right="3500"/>
              <w:spacing w:after="0"/>
              <w:rPr>
                <w:sz w:val="20"/>
                <w:szCs w:val="20"/>
                <w:color w:val="auto"/>
              </w:rPr>
            </w:pPr>
            <w:r>
              <w:rPr>
                <w:rFonts w:ascii="Arial" w:cs="Arial" w:eastAsia="Arial" w:hAnsi="Arial"/>
                <w:sz w:val="18"/>
                <w:szCs w:val="18"/>
                <w:color w:val="auto"/>
              </w:rPr>
              <w:t>F-34</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80"/>
          </w:cols>
          <w:pgMar w:left="240" w:top="460" w:right="3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 in fair value of plan assets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gridSpan w:val="3"/>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of plan assets as of January 1</w:t>
            </w:r>
          </w:p>
        </w:tc>
        <w:tc>
          <w:tcPr>
            <w:tcW w:w="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5,681</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5,115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 contributions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Employer’s contributions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441</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payments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Plan assets Gains / (Losses)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as of December 31</w:t>
            </w:r>
          </w:p>
        </w:tc>
        <w:tc>
          <w:tcPr>
            <w:tcW w:w="4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6,652</w:t>
            </w: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color w:val="auto"/>
                <w:w w:val="97"/>
              </w:rPr>
              <w:t>Employer’s contribution to the pension plan for the financial year 2016 are estimated to be CHF 478 thousand.</w:t>
            </w: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0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C. Change in net defined benefit liability</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600" w:type="dxa"/>
            <w:vAlign w:val="bottom"/>
            <w:gridSpan w:val="3"/>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defined benefit liabilities as of January 1</w:t>
            </w: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2,410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Net pension cost through Income Statement</w:t>
            </w: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Re-measurement through OCI</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Employer’s contribution</w:t>
            </w:r>
          </w:p>
        </w:tc>
        <w:tc>
          <w:tcPr>
            <w:tcW w:w="20" w:type="dxa"/>
            <w:vAlign w:val="bottom"/>
          </w:tcPr>
          <w:p>
            <w:pPr>
              <w:spacing w:after="0"/>
              <w:rPr>
                <w:sz w:val="19"/>
                <w:szCs w:val="19"/>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(441)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defined benefit liabilities as of December 31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2,787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fair value of the plan assets is the cash surrender value of the insurance with AXA. The investment strategy defined by the Board of trustees follows a conservative profile.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plan assets are primarily held within instruments with quoted market prices in an active market, with the exception of real estate and mortgages.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actuarial assumptions used for the calculation of the pension cost and the defined benefit obligation of the defined benefit pension plan for the year 2015 and 2014 are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30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56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2015</w:t>
            </w:r>
          </w:p>
        </w:tc>
        <w:tc>
          <w:tcPr>
            <w:tcW w:w="78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0.80%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Rate of future increase in compensations</w:t>
            </w:r>
          </w:p>
        </w:tc>
        <w:tc>
          <w:tcPr>
            <w:tcW w:w="1800" w:type="dxa"/>
            <w:vAlign w:val="bottom"/>
            <w:gridSpan w:val="2"/>
          </w:tcPr>
          <w:p>
            <w:pPr>
              <w:jc w:val="right"/>
              <w:ind w:right="640"/>
              <w:spacing w:after="0"/>
              <w:rPr>
                <w:sz w:val="20"/>
                <w:szCs w:val="20"/>
                <w:color w:val="auto"/>
              </w:rPr>
            </w:pPr>
            <w:r>
              <w:rPr>
                <w:rFonts w:ascii="Arial" w:cs="Arial" w:eastAsia="Arial" w:hAnsi="Arial"/>
                <w:sz w:val="18"/>
                <w:szCs w:val="18"/>
                <w:color w:val="auto"/>
              </w:rPr>
              <w:t>1.50%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Rate of future increase in current pensions</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Mortality and disability rates</w:t>
            </w: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BVG 2010G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BVG 2010G</w:t>
            </w:r>
          </w:p>
        </w:tc>
      </w:tr>
    </w:tbl>
    <w:p>
      <w:pPr>
        <w:spacing w:after="0" w:line="18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 defining the benefits, the minimum requirements of the Swiss Law on Occupational Retirement, Survivors and Disability Pension Plans (BVG) and its implementing provisions must be observed. The BVG defines the minimum pensionable salary and the minimum retirement credits.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20"/>
          </w:cols>
          <w:pgMar w:left="240" w:top="460" w:right="3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quantitative sensitivity analysis for significant assumption as of December 31, 2015 is as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2800" w:type="dxa"/>
            <w:vAlign w:val="bottom"/>
            <w:gridSpan w:val="4"/>
            <w:vMerge w:val="restart"/>
          </w:tcPr>
          <w:p>
            <w:pPr>
              <w:jc w:val="right"/>
              <w:ind w:right="1240"/>
              <w:spacing w:after="0"/>
              <w:rPr>
                <w:sz w:val="20"/>
                <w:szCs w:val="20"/>
                <w:color w:val="auto"/>
              </w:rPr>
            </w:pPr>
            <w:r>
              <w:rPr>
                <w:rFonts w:ascii="Arial" w:cs="Arial" w:eastAsia="Arial" w:hAnsi="Arial"/>
                <w:sz w:val="14"/>
                <w:szCs w:val="14"/>
                <w:b w:val="1"/>
                <w:bCs w:val="1"/>
                <w:color w:val="auto"/>
              </w:rPr>
              <w:t>Discount rate</w:t>
            </w:r>
          </w:p>
        </w:tc>
        <w:tc>
          <w:tcPr>
            <w:tcW w:w="27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Future salary increase</w:t>
            </w:r>
          </w:p>
        </w:tc>
        <w:tc>
          <w:tcPr>
            <w:tcW w:w="240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Future pension cost</w:t>
            </w:r>
          </w:p>
        </w:tc>
        <w:tc>
          <w:tcPr>
            <w:tcW w:w="0" w:type="dxa"/>
            <w:vAlign w:val="bottom"/>
          </w:tcPr>
          <w:p>
            <w:pPr>
              <w:spacing w:after="0"/>
              <w:rPr>
                <w:sz w:val="1"/>
                <w:szCs w:val="1"/>
                <w:color w:val="auto"/>
              </w:rPr>
            </w:pPr>
          </w:p>
        </w:tc>
      </w:tr>
      <w:tr>
        <w:trPr>
          <w:trHeight w:val="115"/>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Assumptions</w:t>
            </w:r>
          </w:p>
        </w:tc>
        <w:tc>
          <w:tcPr>
            <w:tcW w:w="2800" w:type="dxa"/>
            <w:vAlign w:val="bottom"/>
            <w:gridSpan w:val="4"/>
            <w:vMerge w:val="continue"/>
          </w:tcPr>
          <w:p>
            <w:pPr>
              <w:spacing w:after="0"/>
              <w:rPr>
                <w:sz w:val="9"/>
                <w:szCs w:val="9"/>
                <w:color w:val="auto"/>
              </w:rPr>
            </w:pPr>
          </w:p>
        </w:tc>
        <w:tc>
          <w:tcPr>
            <w:tcW w:w="2780" w:type="dxa"/>
            <w:vAlign w:val="bottom"/>
            <w:gridSpan w:val="4"/>
            <w:vMerge w:val="continue"/>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440" w:type="dxa"/>
            <w:vAlign w:val="bottom"/>
            <w:vMerge w:val="continue"/>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color w:val="auto"/>
                <w:w w:val="88"/>
              </w:rPr>
              <w:t>+0.</w:t>
            </w:r>
            <w:r>
              <w:rPr>
                <w:rFonts w:ascii="Arial" w:cs="Arial" w:eastAsia="Arial" w:hAnsi="Arial"/>
                <w:sz w:val="14"/>
                <w:szCs w:val="14"/>
                <w:u w:val="single" w:color="auto"/>
                <w:color w:val="auto"/>
                <w:w w:val="88"/>
              </w:rPr>
              <w:t>5%</w:t>
            </w:r>
            <w:r>
              <w:rPr>
                <w:rFonts w:ascii="Arial" w:cs="Arial" w:eastAsia="Arial" w:hAnsi="Arial"/>
                <w:sz w:val="14"/>
                <w:szCs w:val="14"/>
                <w:color w:val="auto"/>
                <w:w w:val="88"/>
              </w:rPr>
              <w:t xml:space="preserve"> increase</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color w:val="auto"/>
                <w:w w:val="89"/>
              </w:rPr>
              <w:t>-0.5% decrease</w:t>
            </w:r>
          </w:p>
        </w:tc>
        <w:tc>
          <w:tcPr>
            <w:tcW w:w="1400" w:type="dxa"/>
            <w:vAlign w:val="bottom"/>
            <w:gridSpan w:val="2"/>
          </w:tcPr>
          <w:p>
            <w:pPr>
              <w:jc w:val="right"/>
              <w:ind w:right="520"/>
              <w:spacing w:after="0"/>
              <w:rPr>
                <w:sz w:val="20"/>
                <w:szCs w:val="20"/>
                <w:color w:val="auto"/>
              </w:rPr>
            </w:pPr>
            <w:r>
              <w:rPr>
                <w:rFonts w:ascii="Arial" w:cs="Arial" w:eastAsia="Arial" w:hAnsi="Arial"/>
                <w:sz w:val="14"/>
                <w:szCs w:val="14"/>
                <w:color w:val="auto"/>
                <w:w w:val="88"/>
              </w:rPr>
              <w:t>+0.</w:t>
            </w:r>
            <w:r>
              <w:rPr>
                <w:rFonts w:ascii="Arial" w:cs="Arial" w:eastAsia="Arial" w:hAnsi="Arial"/>
                <w:sz w:val="14"/>
                <w:szCs w:val="14"/>
                <w:u w:val="single" w:color="auto"/>
                <w:color w:val="auto"/>
                <w:w w:val="88"/>
              </w:rPr>
              <w:t>5%</w:t>
            </w:r>
            <w:r>
              <w:rPr>
                <w:rFonts w:ascii="Arial" w:cs="Arial" w:eastAsia="Arial" w:hAnsi="Arial"/>
                <w:sz w:val="14"/>
                <w:szCs w:val="14"/>
                <w:color w:val="auto"/>
                <w:w w:val="88"/>
              </w:rPr>
              <w:t xml:space="preserve"> increase</w:t>
            </w:r>
          </w:p>
        </w:tc>
        <w:tc>
          <w:tcPr>
            <w:tcW w:w="1380" w:type="dxa"/>
            <w:vAlign w:val="bottom"/>
            <w:gridSpan w:val="2"/>
          </w:tcPr>
          <w:p>
            <w:pPr>
              <w:spacing w:after="0"/>
              <w:rPr>
                <w:sz w:val="20"/>
                <w:szCs w:val="20"/>
                <w:color w:val="auto"/>
              </w:rPr>
            </w:pPr>
            <w:r>
              <w:rPr>
                <w:rFonts w:ascii="Arial" w:cs="Arial" w:eastAsia="Arial" w:hAnsi="Arial"/>
                <w:sz w:val="14"/>
                <w:szCs w:val="14"/>
                <w:color w:val="auto"/>
              </w:rPr>
              <w:t>-0.5% decrease</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color w:val="auto"/>
                <w:w w:val="90"/>
              </w:rPr>
              <w:t>+0.</w:t>
            </w:r>
            <w:r>
              <w:rPr>
                <w:rFonts w:ascii="Arial" w:cs="Arial" w:eastAsia="Arial" w:hAnsi="Arial"/>
                <w:sz w:val="14"/>
                <w:szCs w:val="14"/>
                <w:u w:val="single" w:color="auto"/>
                <w:color w:val="auto"/>
                <w:w w:val="90"/>
              </w:rPr>
              <w:t>5%</w:t>
            </w:r>
            <w:r>
              <w:rPr>
                <w:rFonts w:ascii="Arial" w:cs="Arial" w:eastAsia="Arial" w:hAnsi="Arial"/>
                <w:sz w:val="14"/>
                <w:szCs w:val="14"/>
                <w:color w:val="auto"/>
                <w:w w:val="90"/>
              </w:rPr>
              <w:t xml:space="preserve"> increase</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w w:val="87"/>
              </w:rPr>
              <w:t>-0.5% decrease</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10,544</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rPr>
              <w:t>Impact on the net defined benefit</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obligation</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937</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(1,105)</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(55)</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(554)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sensitivity analyses above have been determined based on a method that extrapolates the impact on net defined benefit obligation as a result of reasonable changes in key assumptions occurring at the end of the reporting period.</w:t>
      </w:r>
    </w:p>
    <w:p>
      <w:pPr>
        <w:spacing w:after="0" w:line="315"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share-based compensation plans outstanding: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2"/>
            <w:vMerge w:val="restart"/>
          </w:tcPr>
          <w:p>
            <w:pPr>
              <w:spacing w:after="0"/>
              <w:rPr>
                <w:sz w:val="20"/>
                <w:szCs w:val="20"/>
                <w:color w:val="auto"/>
              </w:rPr>
            </w:pPr>
            <w:r>
              <w:rPr>
                <w:rFonts w:ascii="Arial" w:cs="Arial" w:eastAsia="Arial" w:hAnsi="Arial"/>
                <w:sz w:val="14"/>
                <w:szCs w:val="14"/>
                <w:color w:val="auto"/>
              </w:rPr>
              <w:t>PLAN</w:t>
            </w:r>
          </w:p>
        </w:tc>
        <w:tc>
          <w:tcPr>
            <w:tcW w:w="1480" w:type="dxa"/>
            <w:vAlign w:val="bottom"/>
            <w:gridSpan w:val="2"/>
          </w:tcPr>
          <w:p>
            <w:pPr>
              <w:jc w:val="right"/>
              <w:ind w:right="560"/>
              <w:spacing w:after="0"/>
              <w:rPr>
                <w:sz w:val="20"/>
                <w:szCs w:val="20"/>
                <w:color w:val="auto"/>
              </w:rPr>
            </w:pPr>
            <w:r>
              <w:rPr>
                <w:rFonts w:ascii="Arial" w:cs="Arial" w:eastAsia="Arial" w:hAnsi="Arial"/>
                <w:sz w:val="14"/>
                <w:szCs w:val="14"/>
                <w:color w:val="auto"/>
              </w:rPr>
              <w:t>Number of</w:t>
            </w:r>
          </w:p>
        </w:tc>
        <w:tc>
          <w:tcPr>
            <w:tcW w:w="260" w:type="dxa"/>
            <w:vAlign w:val="bottom"/>
          </w:tcPr>
          <w:p>
            <w:pPr>
              <w:spacing w:after="0"/>
              <w:rPr>
                <w:sz w:val="14"/>
                <w:szCs w:val="14"/>
                <w:color w:val="auto"/>
              </w:rPr>
            </w:pPr>
          </w:p>
        </w:tc>
        <w:tc>
          <w:tcPr>
            <w:tcW w:w="3840" w:type="dxa"/>
            <w:vAlign w:val="bottom"/>
            <w:vMerge w:val="restart"/>
          </w:tcPr>
          <w:p>
            <w:pPr>
              <w:ind w:left="1400"/>
              <w:spacing w:after="0"/>
              <w:rPr>
                <w:sz w:val="20"/>
                <w:szCs w:val="20"/>
                <w:color w:val="auto"/>
              </w:rPr>
            </w:pPr>
            <w:r>
              <w:rPr>
                <w:rFonts w:ascii="Arial" w:cs="Arial" w:eastAsia="Arial" w:hAnsi="Arial"/>
                <w:sz w:val="14"/>
                <w:szCs w:val="14"/>
                <w:color w:val="auto"/>
              </w:rPr>
              <w:t>Vesting conditions</w:t>
            </w:r>
          </w:p>
        </w:tc>
        <w:tc>
          <w:tcPr>
            <w:tcW w:w="4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4"/>
                <w:szCs w:val="14"/>
                <w:color w:val="auto"/>
              </w:rPr>
              <w:t>Contractual</w:t>
            </w:r>
          </w:p>
        </w:tc>
        <w:tc>
          <w:tcPr>
            <w:tcW w:w="0" w:type="dxa"/>
            <w:vAlign w:val="bottom"/>
          </w:tcPr>
          <w:p>
            <w:pPr>
              <w:spacing w:after="0"/>
              <w:rPr>
                <w:sz w:val="1"/>
                <w:szCs w:val="1"/>
                <w:color w:val="auto"/>
              </w:rPr>
            </w:pPr>
          </w:p>
        </w:tc>
      </w:tr>
      <w:tr>
        <w:trPr>
          <w:trHeight w:val="167"/>
        </w:trPr>
        <w:tc>
          <w:tcPr>
            <w:tcW w:w="4580" w:type="dxa"/>
            <w:vAlign w:val="bottom"/>
            <w:gridSpan w:val="2"/>
            <w:vMerge w:val="continue"/>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w w:val="90"/>
              </w:rPr>
              <w:t>instruments awarded</w:t>
            </w:r>
          </w:p>
        </w:tc>
        <w:tc>
          <w:tcPr>
            <w:tcW w:w="260" w:type="dxa"/>
            <w:vAlign w:val="bottom"/>
          </w:tcPr>
          <w:p>
            <w:pPr>
              <w:spacing w:after="0"/>
              <w:rPr>
                <w:sz w:val="14"/>
                <w:szCs w:val="14"/>
                <w:color w:val="auto"/>
              </w:rPr>
            </w:pPr>
          </w:p>
        </w:tc>
        <w:tc>
          <w:tcPr>
            <w:tcW w:w="38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w w:val="94"/>
              </w:rPr>
              <w:t>life of options</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Stock</w:t>
            </w:r>
          </w:p>
        </w:tc>
        <w:tc>
          <w:tcPr>
            <w:tcW w:w="42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option plan A</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362,750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 years’ service from grant date</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8 1/2 years</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Stock option plan B</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819,000</w:t>
            </w:r>
          </w:p>
        </w:tc>
        <w:tc>
          <w:tcPr>
            <w:tcW w:w="4100" w:type="dxa"/>
            <w:vAlign w:val="bottom"/>
            <w:gridSpan w:val="2"/>
          </w:tcPr>
          <w:p>
            <w:pPr>
              <w:ind w:left="260"/>
              <w:spacing w:after="0"/>
              <w:rPr>
                <w:sz w:val="20"/>
                <w:szCs w:val="20"/>
                <w:color w:val="auto"/>
              </w:rPr>
            </w:pPr>
            <w:r>
              <w:rPr>
                <w:rFonts w:ascii="Arial" w:cs="Arial" w:eastAsia="Arial" w:hAnsi="Arial"/>
                <w:sz w:val="18"/>
                <w:szCs w:val="18"/>
                <w:color w:val="auto"/>
              </w:rPr>
              <w:t>4 years’ service from grant date</w:t>
            </w: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w w:val="89"/>
              </w:rPr>
              <w:t>6 1/2 years</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 plan C1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5,920,750</w:t>
            </w:r>
          </w:p>
        </w:tc>
        <w:tc>
          <w:tcPr>
            <w:tcW w:w="28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 years’ service from grant date</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number and weighted average exercise prices (in CHF) of options under the share option programs for Plans A, B and C1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2015</w:t>
            </w:r>
          </w:p>
        </w:tc>
        <w:tc>
          <w:tcPr>
            <w:tcW w:w="27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5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Weighted</w:t>
            </w:r>
          </w:p>
        </w:tc>
        <w:tc>
          <w:tcPr>
            <w:tcW w:w="42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8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9"/>
              </w:rPr>
              <w:t>Number of</w:t>
            </w:r>
          </w:p>
        </w:tc>
        <w:tc>
          <w:tcPr>
            <w:tcW w:w="130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rPr>
              <w:t>Average</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20" w:type="dxa"/>
            <w:vAlign w:val="bottom"/>
            <w:gridSpan w:val="2"/>
            <w:vMerge w:val="continue"/>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Options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9"/>
              </w:rPr>
              <w:t>Exercise Price</w:t>
            </w:r>
          </w:p>
        </w:tc>
        <w:tc>
          <w:tcPr>
            <w:tcW w:w="42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Term (Y)</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Exercise Price</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4,006,500</w:t>
            </w: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0.14548</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3,768,000</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0.22119</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(23,250)</w:t>
            </w:r>
          </w:p>
        </w:tc>
        <w:tc>
          <w:tcPr>
            <w:tcW w:w="880" w:type="dxa"/>
            <w:vAlign w:val="bottom"/>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(4,500)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Cancelled during the year</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(19,000)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(594,250)</w:t>
            </w:r>
          </w:p>
        </w:tc>
        <w:tc>
          <w:tcPr>
            <w:tcW w:w="880" w:type="dxa"/>
            <w:vAlign w:val="bottom"/>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(21,250)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24,750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283,250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3,398,500</w:t>
            </w:r>
          </w:p>
        </w:tc>
        <w:tc>
          <w:tcPr>
            <w:tcW w:w="880" w:type="dxa"/>
            <w:vAlign w:val="bottom"/>
          </w:tcPr>
          <w:p>
            <w:pPr>
              <w:jc w:val="right"/>
              <w:spacing w:after="0"/>
              <w:rPr>
                <w:sz w:val="20"/>
                <w:szCs w:val="20"/>
                <w:color w:val="auto"/>
              </w:rPr>
            </w:pPr>
            <w:r>
              <w:rPr>
                <w:rFonts w:ascii="Arial" w:cs="Arial" w:eastAsia="Arial" w:hAnsi="Arial"/>
                <w:sz w:val="18"/>
                <w:szCs w:val="18"/>
                <w:color w:val="auto"/>
              </w:rPr>
              <w:t>0.14548</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3.6</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4,006,500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0.21668</w:t>
            </w: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Exerciseable at December 31</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3,032,500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0.14548</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3.4</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3,370,000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0.23013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prices for all outstanding options was CHF 0.14548 as of December 31, 2015 and 2014.</w:t>
      </w:r>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fair values of the options granted in 2015 and 2014 are CHF 1.76848 and CHF 0.77044, respectively. These fair values have been determined using the Black-Scholes model and an exercise price of CHF 0.14548 (2014: CHF 0.14548), a spot price of CHF 1.9104 (2014: CHF 0.90268), a risk-free interest rate of 0% (2014: 0.232%) and a volatility of 50% (2014: 50%) with an expected duration of 6 years (2014: 6 years).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exercise price is set by the Board of Directors. The volatility is based on the historical trend of an appropriate sample of companies operating in the biotech and pharmaceutical industry. The risk-free interest rate is based on the CHF swap rate for the expected life of the option. The weighted average fair value of exercised common share options in 2015 is CHF 1.9104 (2014: CHF 0.90268).</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expense charged against the income statement for the financial year 2015 amounts to CHF 539 thousand (2014: CHF 211 thousand). The expense assumes a departure rate based on the fact that some beneficiaries will not be able to exercise.</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Commitments and contingencies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5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Between one and five years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has research contracts with several external service providers. As of December 31, 2015, external research projects for CHF 5.82 million were committed for 2016. Rental contract for laboratory and offices space at the EPFL Innovation Park in Ecublens/Lausanne can be cancelled within a 6 month notice period. As of December 31, 2015, rental contracts for CHF 169 thousand were committed for 2016.</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tab/>
        <w:t>Earnings per share</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660" w:type="dxa"/>
            <w:vAlign w:val="bottom"/>
            <w:gridSpan w:val="3"/>
          </w:tcPr>
          <w:p>
            <w:pPr>
              <w:jc w:val="center"/>
              <w:ind w:left="737"/>
              <w:spacing w:after="0"/>
              <w:rPr>
                <w:sz w:val="20"/>
                <w:szCs w:val="20"/>
                <w:color w:val="auto"/>
              </w:rPr>
            </w:pPr>
            <w:r>
              <w:rPr>
                <w:rFonts w:ascii="Arial" w:cs="Arial" w:eastAsia="Arial" w:hAnsi="Arial"/>
                <w:sz w:val="14"/>
                <w:szCs w:val="14"/>
                <w:b w:val="1"/>
                <w:bCs w:val="1"/>
                <w:color w:val="auto"/>
                <w:w w:val="93"/>
              </w:rPr>
              <w:t>For the Years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26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Ended December 31,</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vMerge w:val="continue"/>
          </w:tcPr>
          <w:p>
            <w:pPr>
              <w:spacing w:after="0"/>
              <w:rPr>
                <w:sz w:val="12"/>
                <w:szCs w:val="12"/>
                <w:color w:val="auto"/>
              </w:rPr>
            </w:pPr>
          </w:p>
        </w:tc>
        <w:tc>
          <w:tcPr>
            <w:tcW w:w="10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owners of the Company</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20,270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Earnings per share (EPS):</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income for the period attributable to equity holders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Diluted, income for the period attributable to equity holders</w:t>
            </w:r>
          </w:p>
        </w:tc>
        <w:tc>
          <w:tcPr>
            <w:tcW w:w="1000" w:type="dxa"/>
            <w:vAlign w:val="bottom"/>
          </w:tcPr>
          <w:p>
            <w:pPr>
              <w:jc w:val="right"/>
              <w:spacing w:after="0"/>
              <w:rPr>
                <w:sz w:val="20"/>
                <w:szCs w:val="20"/>
                <w:color w:val="auto"/>
              </w:rPr>
            </w:pPr>
            <w:r>
              <w:rPr>
                <w:rFonts w:ascii="Arial" w:cs="Arial" w:eastAsia="Arial" w:hAnsi="Arial"/>
                <w:sz w:val="18"/>
                <w:szCs w:val="18"/>
                <w:color w:val="auto"/>
              </w:rPr>
              <w:t>0.44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43,412,250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42,684,750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1000" w:type="dxa"/>
            <w:vAlign w:val="bottom"/>
          </w:tcPr>
          <w:p>
            <w:pPr>
              <w:jc w:val="right"/>
              <w:spacing w:after="0"/>
              <w:rPr>
                <w:sz w:val="20"/>
                <w:szCs w:val="20"/>
                <w:color w:val="auto"/>
              </w:rPr>
            </w:pPr>
            <w:r>
              <w:rPr>
                <w:rFonts w:ascii="Arial" w:cs="Arial" w:eastAsia="Arial" w:hAnsi="Arial"/>
                <w:sz w:val="18"/>
                <w:szCs w:val="18"/>
                <w:color w:val="auto"/>
              </w:rPr>
              <w:t>46,043,198</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45,552,500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For the years ended December 31, 2015 and 2014 basic and diluted earnings per share is based on the weighted average number of shares issued and outstanding.</w:t>
      </w:r>
    </w:p>
    <w:p>
      <w:pPr>
        <w:spacing w:after="0" w:line="315"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undertakes certain transactions denominated in foreign currencies. Hence, exposure to exchange rate fluctuations arises. Exchange rate exposures are managed by matching its cash holdings to the currency structure of its expenses.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2015, if the CHF had strengthened/weakened by 10% against the EUR and the USD with all other variables held constant, the net loss for the period would have been lower/higher by CHF 5,613 thousand (2014: CHF 16 thousand), mainly as a result of foreign exchange gains/losses on transaction of EUR/USD denominated assets and liabilities.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materially exposed to any interest rates fluctuations.</w:t>
      </w:r>
    </w:p>
    <w:p>
      <w:pPr>
        <w:spacing w:after="0" w:line="370"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risk management</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Company’s activities expose it to the following financial risks: market risk (currency risk), credit risk and liquidity risk. The Company’s overall risk management program focuses on the unpredictability of financial markets and seeks to minimize potential adverse effects on the Company’s financial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is exposed to foreign exchange risk arising from currency exposures, primarily with respect to the EUR, USD and to a lesser extent to GBP, DKK and SEK. The currency exposure is not hedged. However, the Company has the policy of matching its cash holdings to the currency structure of its expenses, which means that the Company holds predominately CHF, EUR and USD (see also Notes 8 and 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majority of the cash and cash equivalents is held within one bank. However, the credit risk on liquid funds is limited because the counterparties are banks with high credit-ratings assigned by international credit-rating agencies. The maximum amount of credit risk is the carrying amount of the financial assets. Trade and other receivables are fully performing, not past due and not impaired (see Note 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biotech and pharmaceutical industry, (iii) acquire and keep key personnel employed, and (iv) acquire additional capital to support its operations.</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24 months.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Based on the current cash position, the Company is well financed until the end of 2017.</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459" w:right="2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maturities of the liquidity relevant financial liabilities as of December 31, 2015:</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For the Years Ended</w:t>
            </w:r>
          </w:p>
        </w:tc>
        <w:tc>
          <w:tcPr>
            <w:tcW w:w="0" w:type="dxa"/>
            <w:vAlign w:val="bottom"/>
          </w:tcPr>
          <w:p>
            <w:pPr>
              <w:spacing w:after="0"/>
              <w:rPr>
                <w:sz w:val="1"/>
                <w:szCs w:val="1"/>
                <w:color w:val="auto"/>
              </w:rPr>
            </w:pPr>
          </w:p>
        </w:tc>
      </w:tr>
      <w:tr>
        <w:trPr>
          <w:trHeight w:val="171"/>
        </w:trPr>
        <w:tc>
          <w:tcPr>
            <w:tcW w:w="6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860" w:type="dxa"/>
            <w:vAlign w:val="bottom"/>
            <w:gridSpan w:val="4"/>
            <w:vMerge w:val="continue"/>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2015</w:t>
            </w:r>
          </w:p>
        </w:tc>
        <w:tc>
          <w:tcPr>
            <w:tcW w:w="11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5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Loans and receivables</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Other receivables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860" w:type="dxa"/>
            <w:vAlign w:val="bottom"/>
            <w:gridSpan w:val="4"/>
            <w:vMerge w:val="continue"/>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and other accounts payable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Total financial liabilities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Capital risk management</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and to preserve the capital on the required statutory level in order to succeed in developing a cure against the AD.</w:t>
      </w:r>
    </w:p>
    <w:p>
      <w:pPr>
        <w:spacing w:after="0" w:line="315"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reporting</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which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 under the requirements of IFRS 8, Operating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geographic information is worldwide.</w:t>
      </w:r>
    </w:p>
    <w:p>
      <w:pPr>
        <w:spacing w:after="0" w:line="370"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Post balance sheet events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April 14, 2016, AC Immune entered into an exclusive research collaboration agreement with Biogen covering the research and early clinical development of our alpha-synuclein PET Tracer program for Parkinson’s disease, and a second discovery collaboration to identify novel PET ligands against the neurodegeneration-associated protein, TDP-43. Under the agreement, AC Immune is entitled to a technology access fee and will receive significant funding covering its research and development activities on the PET imaging programs. ACI will retain all intellectual property rights to any PET product developed for further commercialization.</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15, 2016, AC Immune completed a private placement of Series E preferred shares, each with a nominal value of CHF 0.02 per share (the “Series E Private Placement Extension”). An aggregate 1,401,792 Series E preferred shares were issued at a price of $9.6384 per preferred share to certain strategic investors, individuals and existing shareholder in the Series E Private Placement Extension for an aggregate subscription amount of approximately $13.5 million. The Series E preferred shares have substantially the same terms as the Series A, B, C and D preferred shares and will be as accounted for as equity on AC Immune’s balance sheet.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60" w:right="259" w:bottom="1440" w:gutter="0" w:footer="0" w:header="0"/>
        </w:sectPr>
      </w:pPr>
    </w:p>
    <w:bookmarkStart w:id="238" w:name="page239"/>
    <w:bookmarkEnd w:id="2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220345</wp:posOffset>
            </wp:positionV>
            <wp:extent cx="1595120" cy="3003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595120" cy="300355"/>
                    </a:xfrm>
                    <a:prstGeom prst="rect">
                      <a:avLst/>
                    </a:prstGeom>
                    <a:noFill/>
                  </pic:spPr>
                </pic:pic>
              </a:graphicData>
            </a:graphic>
          </wp:anchor>
        </w:drawing>
      </w:r>
    </w:p>
    <w:sectPr>
      <w:pgSz w:w="11900" w:h="16838" w:orient="portrait"/>
      <w:cols w:equalWidth="0" w:num="1">
        <w:col w:w="10219"/>
      </w:cols>
      <w:pgMar w:left="240" w:top="4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0A471C"/>
    <w:multiLevelType w:val="hybridMultilevel"/>
    <w:lvl w:ilvl="0">
      <w:lvlJc w:val="left"/>
      <w:lvlText w:val="(%1)"/>
      <w:numFmt w:val="decimal"/>
      <w:start w:val="1"/>
    </w:lvl>
  </w:abstractNum>
  <w:abstractNum w:abstractNumId="1">
    <w:nsid w:val="7BD3EE7B"/>
    <w:multiLevelType w:val="hybridMultilevel"/>
    <w:lvl w:ilvl="0">
      <w:lvlJc w:val="left"/>
      <w:lvlText w:val="•"/>
      <w:numFmt w:val="bullet"/>
      <w:start w:val="1"/>
    </w:lvl>
    <w:lvl w:ilvl="1">
      <w:lvlJc w:val="left"/>
      <w:lvlText w:val="•"/>
      <w:numFmt w:val="bullet"/>
      <w:start w:val="1"/>
    </w:lvl>
  </w:abstractNum>
  <w:abstractNum w:abstractNumId="2">
    <w:nsid w:val="51D9C564"/>
    <w:multiLevelType w:val="hybridMultilevel"/>
    <w:lvl w:ilvl="0">
      <w:lvlJc w:val="left"/>
      <w:lvlText w:val="•"/>
      <w:numFmt w:val="bullet"/>
      <w:start w:val="1"/>
    </w:lvl>
    <w:lvl w:ilvl="1">
      <w:lvlJc w:val="left"/>
      <w:lvlText w:val="•"/>
      <w:numFmt w:val="bullet"/>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
      <w:numFmt w:val="bullet"/>
      <w:start w:val="1"/>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
      <w:numFmt w:val="bullet"/>
      <w:start w:val="1"/>
    </w:lvl>
  </w:abstractNum>
  <w:abstractNum w:abstractNumId="8">
    <w:nsid w:val="8F2B15E"/>
    <w:multiLevelType w:val="hybridMultilevel"/>
    <w:lvl w:ilvl="0">
      <w:lvlJc w:val="left"/>
      <w:lvlText w:val="•"/>
      <w:numFmt w:val="bullet"/>
      <w:start w:val="1"/>
    </w:lvl>
  </w:abstractNum>
  <w:abstractNum w:abstractNumId="9">
    <w:nsid w:val="1A32234B"/>
    <w:multiLevelType w:val="hybridMultilevel"/>
    <w:lvl w:ilvl="0">
      <w:lvlJc w:val="left"/>
      <w:lvlText w:val="(%1)"/>
      <w:numFmt w:val="lowerRoman"/>
      <w:start w:val="1"/>
    </w:lvl>
  </w:abstractNum>
  <w:abstractNum w:abstractNumId="10">
    <w:nsid w:val="3B0FD379"/>
    <w:multiLevelType w:val="hybridMultilevel"/>
    <w:lvl w:ilvl="0">
      <w:lvlJc w:val="left"/>
      <w:lvlText w:val="(%1)"/>
      <w:numFmt w:val="lowerRoman"/>
      <w:start w:val="3"/>
    </w:lvl>
  </w:abstractNum>
  <w:abstractNum w:abstractNumId="11">
    <w:nsid w:val="68EB2F63"/>
    <w:multiLevelType w:val="hybridMultilevel"/>
    <w:lvl w:ilvl="0">
      <w:lvlJc w:val="left"/>
      <w:lvlText w:val="•"/>
      <w:numFmt w:val="bullet"/>
      <w:start w:val="1"/>
    </w:lvl>
  </w:abstractNum>
  <w:abstractNum w:abstractNumId="12">
    <w:nsid w:val="4962813B"/>
    <w:multiLevelType w:val="hybridMultilevel"/>
    <w:lvl w:ilvl="0">
      <w:lvlJc w:val="left"/>
      <w:lvlText w:val="•"/>
      <w:numFmt w:val="bullet"/>
      <w:start w:val="1"/>
    </w:lvl>
  </w:abstractNum>
  <w:abstractNum w:abstractNumId="13">
    <w:nsid w:val="60B6DF70"/>
    <w:multiLevelType w:val="hybridMultilevel"/>
    <w:lvl w:ilvl="0">
      <w:lvlJc w:val="left"/>
      <w:lvlText w:val="(%1)"/>
      <w:numFmt w:val="decimal"/>
      <w:start w:val="1"/>
    </w:lvl>
  </w:abstractNum>
  <w:abstractNum w:abstractNumId="14">
    <w:nsid w:val="6A5EE64"/>
    <w:multiLevelType w:val="hybridMultilevel"/>
    <w:lvl w:ilvl="0">
      <w:lvlJc w:val="left"/>
      <w:lvlText w:val="(%1)"/>
      <w:numFmt w:val="decimal"/>
      <w:start w:val="1"/>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
      <w:numFmt w:val="bullet"/>
      <w:start w:val="1"/>
    </w:lvl>
  </w:abstractNum>
  <w:abstractNum w:abstractNumId="17">
    <w:nsid w:val="1A27709E"/>
    <w:multiLevelType w:val="hybridMultilevel"/>
    <w:lvl w:ilvl="0">
      <w:lvlJc w:val="left"/>
      <w:lvlText w:val="•"/>
      <w:numFmt w:val="bullet"/>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
      <w:numFmt w:val="bullet"/>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
      <w:numFmt w:val="bullet"/>
      <w:start w:val="1"/>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
      <w:numFmt w:val="bullet"/>
      <w:start w:val="1"/>
    </w:lvl>
  </w:abstractNum>
  <w:abstractNum w:abstractNumId="28">
    <w:nsid w:val="14E17E33"/>
    <w:multiLevelType w:val="hybridMultilevel"/>
    <w:lvl w:ilvl="0">
      <w:lvlJc w:val="left"/>
      <w:lvlText w:val="•"/>
      <w:numFmt w:val="bullet"/>
      <w:start w:val="1"/>
    </w:lvl>
  </w:abstractNum>
  <w:abstractNum w:abstractNumId="29">
    <w:nsid w:val="3222E7CD"/>
    <w:multiLevelType w:val="hybridMultilevel"/>
    <w:lvl w:ilvl="0">
      <w:lvlJc w:val="left"/>
      <w:lvlText w:val="•"/>
      <w:numFmt w:val="bullet"/>
      <w:start w:val="1"/>
    </w:lvl>
  </w:abstractNum>
  <w:abstractNum w:abstractNumId="30">
    <w:nsid w:val="74DE0EE3"/>
    <w:multiLevelType w:val="hybridMultilevel"/>
    <w:lvl w:ilvl="0">
      <w:lvlJc w:val="left"/>
      <w:lvlText w:val="•"/>
      <w:numFmt w:val="bullet"/>
      <w:start w:val="1"/>
    </w:lvl>
  </w:abstractNum>
  <w:abstractNum w:abstractNumId="31">
    <w:nsid w:val="68EBC550"/>
    <w:multiLevelType w:val="hybridMultilevel"/>
    <w:lvl w:ilvl="0">
      <w:lvlJc w:val="left"/>
      <w:lvlText w:val="•"/>
      <w:numFmt w:val="bullet"/>
      <w:start w:val="1"/>
    </w:lvl>
  </w:abstractNum>
  <w:abstractNum w:abstractNumId="32">
    <w:nsid w:val="2DF6D648"/>
    <w:multiLevelType w:val="hybridMultilevel"/>
    <w:lvl w:ilvl="0">
      <w:lvlJc w:val="left"/>
      <w:lvlText w:val="•"/>
      <w:numFmt w:val="bullet"/>
      <w:start w:val="1"/>
    </w:lvl>
  </w:abstractNum>
  <w:abstractNum w:abstractNumId="33">
    <w:nsid w:val="46B7D447"/>
    <w:multiLevelType w:val="hybridMultilevel"/>
    <w:lvl w:ilvl="0">
      <w:lvlJc w:val="left"/>
      <w:lvlText w:val="•"/>
      <w:numFmt w:val="bullet"/>
      <w:start w:val="1"/>
    </w:lvl>
  </w:abstractNum>
  <w:abstractNum w:abstractNumId="34">
    <w:nsid w:val="4A2AC315"/>
    <w:multiLevelType w:val="hybridMultilevel"/>
    <w:lvl w:ilvl="0">
      <w:lvlJc w:val="left"/>
      <w:lvlText w:val="•"/>
      <w:numFmt w:val="bullet"/>
      <w:start w:val="1"/>
    </w:lvl>
  </w:abstractNum>
  <w:abstractNum w:abstractNumId="35">
    <w:nsid w:val="39EE015C"/>
    <w:multiLevelType w:val="hybridMultilevel"/>
    <w:lvl w:ilvl="0">
      <w:lvlJc w:val="left"/>
      <w:lvlText w:val="(%1)"/>
      <w:numFmt w:val="lowerRoman"/>
      <w:start w:val="3"/>
    </w:lvl>
  </w:abstractNum>
  <w:abstractNum w:abstractNumId="36">
    <w:nsid w:val="57FC4FBB"/>
    <w:multiLevelType w:val="hybridMultilevel"/>
    <w:lvl w:ilvl="0">
      <w:lvlJc w:val="left"/>
      <w:lvlText w:val="•"/>
      <w:numFmt w:val="bullet"/>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
      <w:numFmt w:val="bullet"/>
      <w:start w:val="1"/>
    </w:lvl>
    <w:lvl w:ilvl="1">
      <w:lvlJc w:val="left"/>
      <w:lvlText w:val="(%2)"/>
      <w:numFmt w:val="lowerRoman"/>
      <w:start w:val="1"/>
    </w:lvl>
  </w:abstractNum>
  <w:abstractNum w:abstractNumId="39">
    <w:nsid w:val="60EF0119"/>
    <w:multiLevelType w:val="hybridMultilevel"/>
    <w:lvl w:ilvl="0">
      <w:lvlJc w:val="left"/>
      <w:lvlText w:val="•"/>
      <w:numFmt w:val="bullet"/>
      <w:start w:val="1"/>
    </w:lvl>
  </w:abstractNum>
  <w:abstractNum w:abstractNumId="40">
    <w:nsid w:val="26F324BA"/>
    <w:multiLevelType w:val="hybridMultilevel"/>
    <w:lvl w:ilvl="0">
      <w:lvlJc w:val="left"/>
      <w:lvlText w:val="(%1)"/>
      <w:numFmt w:val="decimal"/>
      <w:start w:val="1"/>
    </w:lvl>
  </w:abstractNum>
  <w:abstractNum w:abstractNumId="41">
    <w:nsid w:val="7F01579B"/>
    <w:multiLevelType w:val="hybridMultilevel"/>
    <w:lvl w:ilvl="0">
      <w:lvlJc w:val="left"/>
      <w:lvlText w:val="•"/>
      <w:numFmt w:val="bullet"/>
      <w:start w:val="1"/>
    </w:lvl>
  </w:abstractNum>
  <w:abstractNum w:abstractNumId="42">
    <w:nsid w:val="49DA307D"/>
    <w:multiLevelType w:val="hybridMultilevel"/>
    <w:lvl w:ilvl="0">
      <w:lvlJc w:val="left"/>
      <w:lvlText w:val="•"/>
      <w:numFmt w:val="bullet"/>
      <w:start w:val="1"/>
    </w:lvl>
  </w:abstractNum>
  <w:abstractNum w:abstractNumId="43">
    <w:nsid w:val="7055A5F5"/>
    <w:multiLevelType w:val="hybridMultilevel"/>
    <w:lvl w:ilvl="0">
      <w:lvlJc w:val="left"/>
      <w:lvlText w:val="•"/>
      <w:numFmt w:val="bullet"/>
      <w:start w:val="1"/>
    </w:lvl>
  </w:abstractNum>
  <w:abstractNum w:abstractNumId="44">
    <w:nsid w:val="5FB8370B"/>
    <w:multiLevelType w:val="hybridMultilevel"/>
    <w:lvl w:ilvl="0">
      <w:lvlJc w:val="left"/>
      <w:lvlText w:val="(%1)"/>
      <w:numFmt w:val="lowerRoman"/>
      <w:start w:val="1"/>
    </w:lvl>
  </w:abstractNum>
  <w:abstractNum w:abstractNumId="45">
    <w:nsid w:val="50801EE1"/>
    <w:multiLevelType w:val="hybridMultilevel"/>
    <w:lvl w:ilvl="0">
      <w:lvlJc w:val="left"/>
      <w:lvlText w:val="(%1)"/>
      <w:numFmt w:val="decimal"/>
      <w:start w:val="1"/>
    </w:lvl>
  </w:abstractNum>
  <w:abstractNum w:abstractNumId="46">
    <w:nsid w:val="488AC1A"/>
    <w:multiLevelType w:val="hybridMultilevel"/>
    <w:lvl w:ilvl="0">
      <w:lvlJc w:val="left"/>
      <w:lvlText w:val="(%1)"/>
      <w:numFmt w:val="decimal"/>
      <w:start w:val="1"/>
    </w:lvl>
  </w:abstractNum>
  <w:abstractNum w:abstractNumId="47">
    <w:nsid w:val="5FB8011C"/>
    <w:multiLevelType w:val="hybridMultilevel"/>
    <w:lvl w:ilvl="0">
      <w:lvlJc w:val="left"/>
      <w:lvlText w:val="(%1)"/>
      <w:numFmt w:val="lowerRoman"/>
      <w:start w:val="1"/>
    </w:lvl>
  </w:abstractNum>
  <w:abstractNum w:abstractNumId="48">
    <w:nsid w:val="6AA78F7F"/>
    <w:multiLevelType w:val="hybridMultilevel"/>
    <w:lvl w:ilvl="0">
      <w:lvlJc w:val="left"/>
      <w:lvlText w:val="(%1)"/>
      <w:numFmt w:val="decimal"/>
      <w:start w:val="1"/>
    </w:lvl>
  </w:abstractNum>
  <w:abstractNum w:abstractNumId="49">
    <w:nsid w:val="7672BD23"/>
    <w:multiLevelType w:val="hybridMultilevel"/>
    <w:lvl w:ilvl="0">
      <w:lvlJc w:val="left"/>
      <w:lvlText w:val="•"/>
      <w:numFmt w:val="bullet"/>
      <w:start w:val="1"/>
    </w:lvl>
  </w:abstractNum>
  <w:abstractNum w:abstractNumId="50">
    <w:nsid w:val="6FC75AF8"/>
    <w:multiLevelType w:val="hybridMultilevel"/>
    <w:lvl w:ilvl="0">
      <w:lvlJc w:val="left"/>
      <w:lvlText w:val="•"/>
      <w:numFmt w:val="bullet"/>
      <w:start w:val="1"/>
    </w:lvl>
  </w:abstractNum>
  <w:abstractNum w:abstractNumId="51">
    <w:nsid w:val="6A5F7029"/>
    <w:multiLevelType w:val="hybridMultilevel"/>
    <w:lvl w:ilvl="0">
      <w:lvlJc w:val="left"/>
      <w:lvlText w:val="•"/>
      <w:numFmt w:val="bullet"/>
      <w:start w:val="1"/>
    </w:lvl>
  </w:abstractNum>
  <w:abstractNum w:abstractNumId="52">
    <w:nsid w:val="7D5E18F8"/>
    <w:multiLevelType w:val="hybridMultilevel"/>
    <w:lvl w:ilvl="0">
      <w:lvlJc w:val="left"/>
      <w:lvlText w:val="•"/>
      <w:numFmt w:val="bullet"/>
      <w:start w:val="1"/>
    </w:lvl>
    <w:lvl w:ilvl="1">
      <w:lvlJc w:val="left"/>
      <w:lvlText w:val="•"/>
      <w:numFmt w:val="bullet"/>
      <w:start w:val="1"/>
    </w:lvl>
  </w:abstractNum>
  <w:abstractNum w:abstractNumId="53">
    <w:nsid w:val="5F3534A4"/>
    <w:multiLevelType w:val="hybridMultilevel"/>
    <w:lvl w:ilvl="0">
      <w:lvlJc w:val="left"/>
      <w:lvlText w:val="•"/>
      <w:numFmt w:val="bullet"/>
      <w:start w:val="1"/>
    </w:lvl>
    <w:lvl w:ilvl="1">
      <w:lvlJc w:val="left"/>
      <w:lvlText w:val="•"/>
      <w:numFmt w:val="bullet"/>
      <w:start w:val="1"/>
    </w:lvl>
  </w:abstractNum>
  <w:abstractNum w:abstractNumId="54">
    <w:nsid w:val="73A1821B"/>
    <w:multiLevelType w:val="hybridMultilevel"/>
    <w:lvl w:ilvl="0">
      <w:lvlJc w:val="left"/>
      <w:lvlText w:val="•"/>
      <w:numFmt w:val="bullet"/>
      <w:start w:val="1"/>
    </w:lvl>
  </w:abstractNum>
  <w:abstractNum w:abstractNumId="55">
    <w:nsid w:val="7DE67713"/>
    <w:multiLevelType w:val="hybridMultilevel"/>
    <w:lvl w:ilvl="0">
      <w:lvlJc w:val="left"/>
      <w:lvlText w:val="•"/>
      <w:numFmt w:val="bullet"/>
      <w:start w:val="1"/>
    </w:lvl>
  </w:abstractNum>
  <w:abstractNum w:abstractNumId="56">
    <w:nsid w:val="555C55B5"/>
    <w:multiLevelType w:val="hybridMultilevel"/>
    <w:lvl w:ilvl="0">
      <w:lvlJc w:val="left"/>
      <w:lvlText w:val="•"/>
      <w:numFmt w:val="bullet"/>
      <w:start w:val="1"/>
    </w:lvl>
  </w:abstractNum>
  <w:abstractNum w:abstractNumId="57">
    <w:nsid w:val="3FA62ACA"/>
    <w:multiLevelType w:val="hybridMultilevel"/>
    <w:lvl w:ilvl="0">
      <w:lvlJc w:val="left"/>
      <w:lvlText w:val="•"/>
      <w:numFmt w:val="bullet"/>
      <w:start w:val="1"/>
    </w:lvl>
  </w:abstractNum>
  <w:abstractNum w:abstractNumId="58">
    <w:nsid w:val="14FCE74E"/>
    <w:multiLevelType w:val="hybridMultilevel"/>
    <w:lvl w:ilvl="0">
      <w:lvlJc w:val="left"/>
      <w:lvlText w:val="•"/>
      <w:numFmt w:val="bullet"/>
      <w:start w:val="1"/>
    </w:lvl>
    <w:lvl w:ilvl="1">
      <w:lvlJc w:val="left"/>
      <w:lvlText w:val="•"/>
      <w:numFmt w:val="bullet"/>
      <w:start w:val="1"/>
    </w:lvl>
  </w:abstractNum>
  <w:abstractNum w:abstractNumId="59">
    <w:nsid w:val="6A3DD3E8"/>
    <w:multiLevelType w:val="hybridMultilevel"/>
    <w:lvl w:ilvl="0">
      <w:lvlJc w:val="left"/>
      <w:lvlText w:val="•"/>
      <w:numFmt w:val="bullet"/>
      <w:start w:val="1"/>
    </w:lvl>
  </w:abstractNum>
  <w:abstractNum w:abstractNumId="60">
    <w:nsid w:val="71C91298"/>
    <w:multiLevelType w:val="hybridMultilevel"/>
    <w:lvl w:ilvl="0">
      <w:lvlJc w:val="left"/>
      <w:lvlText w:val="•"/>
      <w:numFmt w:val="bullet"/>
      <w:start w:val="1"/>
    </w:lvl>
  </w:abstractNum>
  <w:abstractNum w:abstractNumId="61">
    <w:nsid w:val="9DAF632"/>
    <w:multiLevelType w:val="hybridMultilevel"/>
    <w:lvl w:ilvl="0">
      <w:lvlJc w:val="left"/>
      <w:lvlText w:val="•"/>
      <w:numFmt w:val="bullet"/>
      <w:start w:val="1"/>
    </w:lvl>
  </w:abstractNum>
  <w:abstractNum w:abstractNumId="62">
    <w:nsid w:val="53299938"/>
    <w:multiLevelType w:val="hybridMultilevel"/>
    <w:lvl w:ilvl="0">
      <w:lvlJc w:val="left"/>
      <w:lvlText w:val="•"/>
      <w:numFmt w:val="bullet"/>
      <w:start w:val="1"/>
    </w:lvl>
    <w:lvl w:ilvl="1">
      <w:lvlJc w:val="left"/>
      <w:lvlText w:val="•"/>
      <w:numFmt w:val="bullet"/>
      <w:start w:val="1"/>
    </w:lvl>
  </w:abstractNum>
  <w:abstractNum w:abstractNumId="63">
    <w:nsid w:val="1FBFE8E0"/>
    <w:multiLevelType w:val="hybridMultilevel"/>
    <w:lvl w:ilvl="0">
      <w:lvlJc w:val="left"/>
      <w:lvlText w:val="•"/>
      <w:numFmt w:val="bullet"/>
      <w:start w:val="1"/>
    </w:lvl>
  </w:abstractNum>
  <w:abstractNum w:abstractNumId="64">
    <w:nsid w:val="5092CA79"/>
    <w:multiLevelType w:val="hybridMultilevel"/>
    <w:lvl w:ilvl="0">
      <w:lvlJc w:val="left"/>
      <w:lvlText w:val="•"/>
      <w:numFmt w:val="bullet"/>
      <w:start w:val="1"/>
    </w:lvl>
    <w:lvl w:ilvl="1">
      <w:lvlJc w:val="left"/>
      <w:lvlText w:val="•"/>
      <w:numFmt w:val="bullet"/>
      <w:start w:val="1"/>
    </w:lvl>
  </w:abstractNum>
  <w:abstractNum w:abstractNumId="65">
    <w:nsid w:val="1D545C4D"/>
    <w:multiLevelType w:val="hybridMultilevel"/>
    <w:lvl w:ilvl="0">
      <w:lvlJc w:val="left"/>
      <w:lvlText w:val="(%1)"/>
      <w:numFmt w:val="decimal"/>
      <w:start w:val="1"/>
    </w:lvl>
  </w:abstractNum>
  <w:abstractNum w:abstractNumId="66">
    <w:nsid w:val="59ADEA3D"/>
    <w:multiLevelType w:val="hybridMultilevel"/>
    <w:lvl w:ilvl="0">
      <w:lvlJc w:val="left"/>
      <w:lvlText w:val="*"/>
      <w:numFmt w:val="bullet"/>
      <w:start w:val="1"/>
    </w:lvl>
  </w:abstractNum>
  <w:abstractNum w:abstractNumId="67">
    <w:nsid w:val="288F1A34"/>
    <w:multiLevelType w:val="hybridMultilevel"/>
    <w:lvl w:ilvl="0">
      <w:lvlJc w:val="left"/>
      <w:lvlText w:val="•"/>
      <w:numFmt w:val="bullet"/>
      <w:start w:val="1"/>
    </w:lvl>
  </w:abstractNum>
  <w:abstractNum w:abstractNumId="68">
    <w:nsid w:val="2A155DBC"/>
    <w:multiLevelType w:val="hybridMultilevel"/>
    <w:lvl w:ilvl="0">
      <w:lvlJc w:val="left"/>
      <w:lvlText w:val="•"/>
      <w:numFmt w:val="bullet"/>
      <w:start w:val="1"/>
    </w:lvl>
  </w:abstractNum>
  <w:abstractNum w:abstractNumId="69">
    <w:nsid w:val="1D9F6E5F"/>
    <w:multiLevelType w:val="hybridMultilevel"/>
    <w:lvl w:ilvl="0">
      <w:lvlJc w:val="left"/>
      <w:lvlText w:val="•"/>
      <w:numFmt w:val="bullet"/>
      <w:start w:val="1"/>
    </w:lvl>
  </w:abstractNum>
  <w:abstractNum w:abstractNumId="70">
    <w:nsid w:val="97E1B4E"/>
    <w:multiLevelType w:val="hybridMultilevel"/>
    <w:lvl w:ilvl="0">
      <w:lvlJc w:val="left"/>
      <w:lvlText w:val="•"/>
      <w:numFmt w:val="bullet"/>
      <w:start w:val="1"/>
    </w:lvl>
  </w:abstractNum>
  <w:abstractNum w:abstractNumId="71">
    <w:nsid w:val="51088277"/>
    <w:multiLevelType w:val="hybridMultilevel"/>
    <w:lvl w:ilvl="0">
      <w:lvlJc w:val="left"/>
      <w:lvlText w:val="•"/>
      <w:numFmt w:val="bullet"/>
      <w:start w:val="1"/>
    </w:lvl>
  </w:abstractNum>
  <w:abstractNum w:abstractNumId="72">
    <w:nsid w:val="1CA0C5FA"/>
    <w:multiLevelType w:val="hybridMultilevel"/>
    <w:lvl w:ilvl="0">
      <w:lvlJc w:val="left"/>
      <w:lvlText w:val="•"/>
      <w:numFmt w:val="bullet"/>
      <w:start w:val="1"/>
    </w:lvl>
  </w:abstractNum>
  <w:abstractNum w:abstractNumId="73">
    <w:nsid w:val="53584BCB"/>
    <w:multiLevelType w:val="hybridMultilevel"/>
    <w:lvl w:ilvl="0">
      <w:lvlJc w:val="left"/>
      <w:lvlText w:val="•"/>
      <w:numFmt w:val="bullet"/>
      <w:start w:val="1"/>
    </w:lvl>
  </w:abstractNum>
  <w:abstractNum w:abstractNumId="74">
    <w:nsid w:val="415E286C"/>
    <w:multiLevelType w:val="hybridMultilevel"/>
    <w:lvl w:ilvl="0">
      <w:lvlJc w:val="left"/>
      <w:lvlText w:val="•"/>
      <w:numFmt w:val="bullet"/>
      <w:start w:val="1"/>
    </w:lvl>
  </w:abstractNum>
  <w:abstractNum w:abstractNumId="75">
    <w:nsid w:val="7C58FD05"/>
    <w:multiLevelType w:val="hybridMultilevel"/>
    <w:lvl w:ilvl="0">
      <w:lvlJc w:val="left"/>
      <w:lvlText w:val="•"/>
      <w:numFmt w:val="bullet"/>
      <w:start w:val="1"/>
    </w:lvl>
  </w:abstractNum>
  <w:abstractNum w:abstractNumId="76">
    <w:nsid w:val="23D86AAC"/>
    <w:multiLevelType w:val="hybridMultilevel"/>
    <w:lvl w:ilvl="0">
      <w:lvlJc w:val="left"/>
      <w:lvlText w:val="•"/>
      <w:numFmt w:val="bullet"/>
      <w:start w:val="1"/>
    </w:lvl>
  </w:abstractNum>
  <w:abstractNum w:abstractNumId="77">
    <w:nsid w:val="45E6D486"/>
    <w:multiLevelType w:val="hybridMultilevel"/>
    <w:lvl w:ilvl="0">
      <w:lvlJc w:val="left"/>
      <w:lvlText w:val="•"/>
      <w:numFmt w:val="bullet"/>
      <w:start w:val="1"/>
    </w:lvl>
  </w:abstractNum>
  <w:abstractNum w:abstractNumId="78">
    <w:nsid w:val="5C10FE21"/>
    <w:multiLevelType w:val="hybridMultilevel"/>
    <w:lvl w:ilvl="0">
      <w:lvlJc w:val="left"/>
      <w:lvlText w:val="&amp;"/>
      <w:numFmt w:val="bullet"/>
      <w:start w:val="1"/>
    </w:lvl>
  </w:abstractNum>
  <w:abstractNum w:abstractNumId="79">
    <w:nsid w:val="E7FFA2B"/>
    <w:multiLevelType w:val="hybridMultilevel"/>
    <w:lvl w:ilvl="0">
      <w:lvlJc w:val="left"/>
      <w:lvlText w:val="•"/>
      <w:numFmt w:val="bullet"/>
      <w:start w:val="1"/>
    </w:lvl>
  </w:abstractNum>
  <w:abstractNum w:abstractNumId="80">
    <w:nsid w:val="3C5991AA"/>
    <w:multiLevelType w:val="hybridMultilevel"/>
    <w:lvl w:ilvl="0">
      <w:lvlJc w:val="left"/>
      <w:lvlText w:val="•"/>
      <w:numFmt w:val="bullet"/>
      <w:start w:val="1"/>
    </w:lvl>
  </w:abstractNum>
  <w:abstractNum w:abstractNumId="81">
    <w:nsid w:val="4BD8591A"/>
    <w:multiLevelType w:val="hybridMultilevel"/>
    <w:lvl w:ilvl="0">
      <w:lvlJc w:val="left"/>
      <w:lvlText w:val="•"/>
      <w:numFmt w:val="bullet"/>
      <w:start w:val="1"/>
    </w:lvl>
  </w:abstractNum>
  <w:abstractNum w:abstractNumId="82">
    <w:nsid w:val="78DF6A55"/>
    <w:multiLevelType w:val="hybridMultilevel"/>
    <w:lvl w:ilvl="0">
      <w:lvlJc w:val="left"/>
      <w:lvlText w:val="•"/>
      <w:numFmt w:val="bullet"/>
      <w:start w:val="1"/>
    </w:lvl>
  </w:abstractNum>
  <w:abstractNum w:abstractNumId="83">
    <w:nsid w:val="39B7AAA2"/>
    <w:multiLevelType w:val="hybridMultilevel"/>
    <w:lvl w:ilvl="0">
      <w:lvlJc w:val="left"/>
      <w:lvlText w:val="•"/>
      <w:numFmt w:val="bullet"/>
      <w:start w:val="1"/>
    </w:lvl>
  </w:abstractNum>
  <w:abstractNum w:abstractNumId="84">
    <w:nsid w:val="2B0D8DBE"/>
    <w:multiLevelType w:val="hybridMultilevel"/>
    <w:lvl w:ilvl="0">
      <w:lvlJc w:val="left"/>
      <w:lvlText w:val="•"/>
      <w:numFmt w:val="bullet"/>
      <w:start w:val="1"/>
    </w:lvl>
  </w:abstractNum>
  <w:abstractNum w:abstractNumId="85">
    <w:nsid w:val="6C80EC70"/>
    <w:multiLevelType w:val="hybridMultilevel"/>
    <w:lvl w:ilvl="0">
      <w:lvlJc w:val="left"/>
      <w:lvlText w:val="•"/>
      <w:numFmt w:val="bullet"/>
      <w:start w:val="1"/>
    </w:lvl>
  </w:abstractNum>
  <w:abstractNum w:abstractNumId="86">
    <w:nsid w:val="379E21B5"/>
    <w:multiLevelType w:val="hybridMultilevel"/>
    <w:lvl w:ilvl="0">
      <w:lvlJc w:val="left"/>
      <w:lvlText w:val="•"/>
      <w:numFmt w:val="bullet"/>
      <w:start w:val="1"/>
    </w:lvl>
  </w:abstractNum>
  <w:abstractNum w:abstractNumId="87">
    <w:nsid w:val="69E373"/>
    <w:multiLevelType w:val="hybridMultilevel"/>
    <w:lvl w:ilvl="0">
      <w:lvlJc w:val="left"/>
      <w:lvlText w:val="•"/>
      <w:numFmt w:val="bullet"/>
      <w:start w:val="1"/>
    </w:lvl>
  </w:abstractNum>
  <w:abstractNum w:abstractNumId="88">
    <w:nsid w:val="2C27173B"/>
    <w:multiLevelType w:val="hybridMultilevel"/>
    <w:lvl w:ilvl="0">
      <w:lvlJc w:val="left"/>
      <w:lvlText w:val="•"/>
      <w:numFmt w:val="bullet"/>
      <w:start w:val="1"/>
    </w:lvl>
  </w:abstractNum>
  <w:abstractNum w:abstractNumId="89">
    <w:nsid w:val="4C9B0904"/>
    <w:multiLevelType w:val="hybridMultilevel"/>
    <w:lvl w:ilvl="0">
      <w:lvlJc w:val="left"/>
      <w:lvlText w:val="•"/>
      <w:numFmt w:val="bullet"/>
      <w:start w:val="1"/>
    </w:lvl>
  </w:abstractNum>
  <w:abstractNum w:abstractNumId="90">
    <w:nsid w:val="6AA7B75C"/>
    <w:multiLevelType w:val="hybridMultilevel"/>
    <w:lvl w:ilvl="0">
      <w:lvlJc w:val="left"/>
      <w:lvlText w:val="*"/>
      <w:numFmt w:val="bullet"/>
      <w:start w:val="1"/>
    </w:lvl>
  </w:abstractNum>
  <w:abstractNum w:abstractNumId="91">
    <w:nsid w:val="1DF029D3"/>
    <w:multiLevelType w:val="hybridMultilevel"/>
    <w:lvl w:ilvl="0">
      <w:lvlJc w:val="left"/>
      <w:lvlText w:val="(%1)"/>
      <w:numFmt w:val="decimal"/>
      <w:start w:val="1"/>
    </w:lvl>
  </w:abstractNum>
  <w:abstractNum w:abstractNumId="92">
    <w:nsid w:val="5675FF36"/>
    <w:multiLevelType w:val="hybridMultilevel"/>
    <w:lvl w:ilvl="0">
      <w:lvlJc w:val="left"/>
      <w:lvlText w:val="(%1)"/>
      <w:numFmt w:val="decimal"/>
      <w:start w:val="1"/>
    </w:lvl>
  </w:abstractNum>
  <w:abstractNum w:abstractNumId="93">
    <w:nsid w:val="3DD15094"/>
    <w:multiLevelType w:val="hybridMultilevel"/>
    <w:lvl w:ilvl="0">
      <w:lvlJc w:val="left"/>
      <w:lvlText w:val="•"/>
      <w:numFmt w:val="bullet"/>
      <w:start w:val="1"/>
    </w:lvl>
  </w:abstractNum>
  <w:abstractNum w:abstractNumId="94">
    <w:nsid w:val="3DB012B3"/>
    <w:multiLevelType w:val="hybridMultilevel"/>
    <w:lvl w:ilvl="0">
      <w:lvlJc w:val="left"/>
      <w:lvlText w:val="•"/>
      <w:numFmt w:val="bullet"/>
      <w:start w:val="1"/>
    </w:lvl>
  </w:abstractNum>
  <w:abstractNum w:abstractNumId="95">
    <w:nsid w:val="2708C9AF"/>
    <w:multiLevelType w:val="hybridMultilevel"/>
    <w:lvl w:ilvl="0">
      <w:lvlJc w:val="left"/>
      <w:lvlText w:val="•"/>
      <w:numFmt w:val="bullet"/>
      <w:start w:val="1"/>
    </w:lvl>
  </w:abstractNum>
  <w:abstractNum w:abstractNumId="96">
    <w:nsid w:val="5B25ACE2"/>
    <w:multiLevelType w:val="hybridMultilevel"/>
    <w:lvl w:ilvl="0">
      <w:lvlJc w:val="left"/>
      <w:lvlText w:val="•"/>
      <w:numFmt w:val="bullet"/>
      <w:start w:val="1"/>
    </w:lvl>
  </w:abstractNum>
  <w:abstractNum w:abstractNumId="97">
    <w:nsid w:val="175DFCF0"/>
    <w:multiLevelType w:val="hybridMultilevel"/>
    <w:lvl w:ilvl="0">
      <w:lvlJc w:val="left"/>
      <w:lvlText w:val="•"/>
      <w:numFmt w:val="bullet"/>
      <w:start w:val="1"/>
    </w:lvl>
  </w:abstractNum>
  <w:abstractNum w:abstractNumId="98">
    <w:nsid w:val="4F97E3E4"/>
    <w:multiLevelType w:val="hybridMultilevel"/>
    <w:lvl w:ilvl="0">
      <w:lvlJc w:val="left"/>
      <w:lvlText w:val="•"/>
      <w:numFmt w:val="bullet"/>
      <w:start w:val="1"/>
    </w:lvl>
  </w:abstractNum>
  <w:abstractNum w:abstractNumId="99">
    <w:nsid w:val="53B0A9E"/>
    <w:multiLevelType w:val="hybridMultilevel"/>
    <w:lvl w:ilvl="0">
      <w:lvlJc w:val="left"/>
      <w:lvlText w:val="•"/>
      <w:numFmt w:val="bullet"/>
      <w:start w:val="1"/>
    </w:lvl>
  </w:abstractNum>
  <w:abstractNum w:abstractNumId="100">
    <w:nsid w:val="34FD6B4F"/>
    <w:multiLevelType w:val="hybridMultilevel"/>
    <w:lvl w:ilvl="0">
      <w:lvlJc w:val="left"/>
      <w:lvlText w:val="•"/>
      <w:numFmt w:val="bullet"/>
      <w:start w:val="1"/>
    </w:lvl>
  </w:abstractNum>
  <w:abstractNum w:abstractNumId="101">
    <w:nsid w:val="5915FF32"/>
    <w:multiLevelType w:val="hybridMultilevel"/>
    <w:lvl w:ilvl="0">
      <w:lvlJc w:val="left"/>
      <w:lvlText w:val="•"/>
      <w:numFmt w:val="bullet"/>
      <w:start w:val="1"/>
    </w:lvl>
  </w:abstractNum>
  <w:abstractNum w:abstractNumId="102">
    <w:nsid w:val="56438D15"/>
    <w:multiLevelType w:val="hybridMultilevel"/>
    <w:lvl w:ilvl="0">
      <w:lvlJc w:val="left"/>
      <w:lvlText w:val="•"/>
      <w:numFmt w:val="bullet"/>
      <w:start w:val="1"/>
    </w:lvl>
  </w:abstractNum>
  <w:abstractNum w:abstractNumId="103">
    <w:nsid w:val="519E3149"/>
    <w:multiLevelType w:val="hybridMultilevel"/>
    <w:lvl w:ilvl="0">
      <w:lvlJc w:val="left"/>
      <w:lvlText w:val="•"/>
      <w:numFmt w:val="bullet"/>
      <w:start w:val="1"/>
    </w:lvl>
  </w:abstractNum>
  <w:abstractNum w:abstractNumId="104">
    <w:nsid w:val="2C6E4AFD"/>
    <w:multiLevelType w:val="hybridMultilevel"/>
    <w:lvl w:ilvl="0">
      <w:lvlJc w:val="left"/>
      <w:lvlText w:val="•"/>
      <w:numFmt w:val="bullet"/>
      <w:start w:val="1"/>
    </w:lvl>
  </w:abstractNum>
  <w:abstractNum w:abstractNumId="105">
    <w:nsid w:val="17A1B582"/>
    <w:multiLevelType w:val="hybridMultilevel"/>
    <w:lvl w:ilvl="0">
      <w:lvlJc w:val="left"/>
      <w:lvlText w:val="•"/>
      <w:numFmt w:val="bullet"/>
      <w:start w:val="1"/>
    </w:lvl>
  </w:abstractNum>
  <w:abstractNum w:abstractNumId="106">
    <w:nsid w:val="4DF72E4E"/>
    <w:multiLevelType w:val="hybridMultilevel"/>
    <w:lvl w:ilvl="0">
      <w:lvlJc w:val="left"/>
      <w:lvlText w:val="•"/>
      <w:numFmt w:val="bullet"/>
      <w:start w:val="1"/>
    </w:lvl>
  </w:abstractNum>
  <w:abstractNum w:abstractNumId="107">
    <w:nsid w:val="5046B5A9"/>
    <w:multiLevelType w:val="hybridMultilevel"/>
    <w:lvl w:ilvl="0">
      <w:lvlJc w:val="left"/>
      <w:lvlText w:val="•"/>
      <w:numFmt w:val="bullet"/>
      <w:start w:val="1"/>
    </w:lvl>
  </w:abstractNum>
  <w:abstractNum w:abstractNumId="108">
    <w:nsid w:val="5D888A08"/>
    <w:multiLevelType w:val="hybridMultilevel"/>
    <w:lvl w:ilvl="0">
      <w:lvlJc w:val="left"/>
      <w:lvlText w:val="•"/>
      <w:numFmt w:val="bullet"/>
      <w:start w:val="1"/>
    </w:lvl>
  </w:abstractNum>
  <w:abstractNum w:abstractNumId="109">
    <w:nsid w:val="2A082C70"/>
    <w:multiLevelType w:val="hybridMultilevel"/>
    <w:lvl w:ilvl="0">
      <w:lvlJc w:val="left"/>
      <w:lvlText w:val="•"/>
      <w:numFmt w:val="bullet"/>
      <w:start w:val="1"/>
    </w:lvl>
  </w:abstractNum>
  <w:abstractNum w:abstractNumId="110">
    <w:nsid w:val="5EC6AFD4"/>
    <w:multiLevelType w:val="hybridMultilevel"/>
    <w:lvl w:ilvl="0">
      <w:lvlJc w:val="left"/>
      <w:lvlText w:val="•"/>
      <w:numFmt w:val="bullet"/>
      <w:start w:val="1"/>
    </w:lvl>
  </w:abstractNum>
  <w:abstractNum w:abstractNumId="111">
    <w:nsid w:val="19E21BB2"/>
    <w:multiLevelType w:val="hybridMultilevel"/>
    <w:lvl w:ilvl="0">
      <w:lvlJc w:val="left"/>
      <w:lvlText w:val="•"/>
      <w:numFmt w:val="bullet"/>
      <w:start w:val="1"/>
    </w:lvl>
  </w:abstractNum>
  <w:abstractNum w:abstractNumId="112">
    <w:nsid w:val="75E0858A"/>
    <w:multiLevelType w:val="hybridMultilevel"/>
    <w:lvl w:ilvl="0">
      <w:lvlJc w:val="left"/>
      <w:lvlText w:val="(%1)"/>
      <w:numFmt w:val="lowerRoman"/>
      <w:start w:val="4"/>
    </w:lvl>
  </w:abstractNum>
  <w:abstractNum w:abstractNumId="113">
    <w:nsid w:val="57A61A29"/>
    <w:multiLevelType w:val="hybridMultilevel"/>
    <w:lvl w:ilvl="0">
      <w:lvlJc w:val="left"/>
      <w:lvlText w:val="•"/>
      <w:numFmt w:val="bullet"/>
      <w:start w:val="1"/>
    </w:lvl>
  </w:abstractNum>
  <w:abstractNum w:abstractNumId="114">
    <w:nsid w:val="5399C654"/>
    <w:multiLevelType w:val="hybridMultilevel"/>
    <w:lvl w:ilvl="0">
      <w:lvlJc w:val="left"/>
      <w:lvlText w:val="•"/>
      <w:numFmt w:val="bullet"/>
      <w:start w:val="1"/>
    </w:lvl>
  </w:abstractNum>
  <w:abstractNum w:abstractNumId="115">
    <w:nsid w:val="20EE1348"/>
    <w:multiLevelType w:val="hybridMultilevel"/>
    <w:lvl w:ilvl="0">
      <w:lvlJc w:val="left"/>
      <w:lvlText w:val="(%1)"/>
      <w:numFmt w:val="lowerRoman"/>
      <w:start w:val="2"/>
    </w:lvl>
  </w:abstractNum>
  <w:abstractNum w:abstractNumId="116">
    <w:nsid w:val="4427069A"/>
    <w:multiLevelType w:val="hybridMultilevel"/>
    <w:lvl w:ilvl="0">
      <w:lvlJc w:val="left"/>
      <w:lvlText w:val="•"/>
      <w:numFmt w:val="bullet"/>
      <w:start w:val="1"/>
    </w:lvl>
    <w:lvl w:ilvl="1">
      <w:lvlJc w:val="left"/>
      <w:lvlText w:val="•"/>
      <w:numFmt w:val="bullet"/>
      <w:start w:val="1"/>
    </w:lvl>
  </w:abstractNum>
  <w:abstractNum w:abstractNumId="117">
    <w:nsid w:val="B37E80A"/>
    <w:multiLevelType w:val="hybridMultilevel"/>
    <w:lvl w:ilvl="0">
      <w:lvlJc w:val="left"/>
      <w:lvlText w:val="•"/>
      <w:numFmt w:val="bullet"/>
      <w:start w:val="1"/>
    </w:lvl>
    <w:lvl w:ilvl="1">
      <w:lvlJc w:val="left"/>
      <w:lvlText w:val="•"/>
      <w:numFmt w:val="bullet"/>
      <w:start w:val="1"/>
    </w:lvl>
  </w:abstractNum>
  <w:abstractNum w:abstractNumId="118">
    <w:nsid w:val="2157F6BC"/>
    <w:multiLevelType w:val="hybridMultilevel"/>
    <w:lvl w:ilvl="0">
      <w:lvlJc w:val="left"/>
      <w:lvlText w:val="•"/>
      <w:numFmt w:val="bullet"/>
      <w:start w:val="1"/>
    </w:lvl>
  </w:abstractNum>
  <w:abstractNum w:abstractNumId="119">
    <w:nsid w:val="704E1DD5"/>
    <w:multiLevelType w:val="hybridMultilevel"/>
    <w:lvl w:ilvl="0">
      <w:lvlJc w:val="left"/>
      <w:lvlText w:val="•"/>
      <w:numFmt w:val="bullet"/>
      <w:start w:val="1"/>
    </w:lvl>
  </w:abstractNum>
  <w:abstractNum w:abstractNumId="120">
    <w:nsid w:val="57D2F10E"/>
    <w:multiLevelType w:val="hybridMultilevel"/>
    <w:lvl w:ilvl="0">
      <w:lvlJc w:val="left"/>
      <w:lvlText w:val="•"/>
      <w:numFmt w:val="bullet"/>
      <w:start w:val="1"/>
    </w:lvl>
  </w:abstractNum>
  <w:abstractNum w:abstractNumId="121">
    <w:nsid w:val="BFFAE18"/>
    <w:multiLevelType w:val="hybridMultilevel"/>
    <w:lvl w:ilvl="0">
      <w:lvlJc w:val="left"/>
      <w:lvlText w:val="(%1)"/>
      <w:numFmt w:val="lowerRoman"/>
      <w:start w:val="1"/>
    </w:lvl>
  </w:abstractNum>
  <w:abstractNum w:abstractNumId="122">
    <w:nsid w:val="E3E47A8"/>
    <w:multiLevelType w:val="hybridMultilevel"/>
    <w:lvl w:ilvl="0">
      <w:lvlJc w:val="left"/>
      <w:lvlText w:val="•"/>
      <w:numFmt w:val="bullet"/>
      <w:start w:val="1"/>
    </w:lvl>
  </w:abstractNum>
  <w:abstractNum w:abstractNumId="123">
    <w:nsid w:val="2E48F044"/>
    <w:multiLevelType w:val="hybridMultilevel"/>
    <w:lvl w:ilvl="0">
      <w:lvlJc w:val="left"/>
      <w:lvlText w:val="•"/>
      <w:numFmt w:val="bullet"/>
      <w:start w:val="1"/>
    </w:lvl>
  </w:abstractNum>
  <w:abstractNum w:abstractNumId="124">
    <w:nsid w:val="49D0FEAC"/>
    <w:multiLevelType w:val="hybridMultilevel"/>
    <w:lvl w:ilvl="0">
      <w:lvlJc w:val="left"/>
      <w:lvlText w:val="%1."/>
      <w:numFmt w:val="decimal"/>
      <w:start w:val="1"/>
    </w:lvl>
  </w:abstractNum>
  <w:abstractNum w:abstractNumId="125">
    <w:nsid w:val="4BEE5A5B"/>
    <w:multiLevelType w:val="hybridMultilevel"/>
    <w:lvl w:ilvl="0">
      <w:lvlJc w:val="left"/>
      <w:lvlText w:val="%1."/>
      <w:numFmt w:val="decimal"/>
      <w:start w:val="2"/>
    </w:lvl>
  </w:abstractNum>
  <w:abstractNum w:abstractNumId="126">
    <w:nsid w:val="5551B9F3"/>
    <w:multiLevelType w:val="hybridMultilevel"/>
    <w:lvl w:ilvl="0">
      <w:lvlJc w:val="left"/>
      <w:lvlText w:val="(%1)"/>
      <w:numFmt w:val="lowerRoman"/>
      <w:start w:val="1"/>
    </w:lvl>
  </w:abstractNum>
  <w:abstractNum w:abstractNumId="127">
    <w:nsid w:val="24F6AB8E"/>
    <w:multiLevelType w:val="hybridMultilevel"/>
    <w:lvl w:ilvl="0">
      <w:lvlJc w:val="left"/>
      <w:lvlText w:val="%1."/>
      <w:numFmt w:val="decimal"/>
      <w:start w:val="4"/>
    </w:lvl>
  </w:abstractNum>
  <w:abstractNum w:abstractNumId="128">
    <w:nsid w:val="634C574C"/>
    <w:multiLevelType w:val="hybridMultilevel"/>
    <w:lvl w:ilvl="0">
      <w:lvlJc w:val="left"/>
      <w:lvlText w:val="%1."/>
      <w:numFmt w:val="decimal"/>
      <w:start w:val="5"/>
    </w:lvl>
  </w:abstractNum>
  <w:abstractNum w:abstractNumId="129">
    <w:nsid w:val="24E99DD7"/>
    <w:multiLevelType w:val="hybridMultilevel"/>
    <w:lvl w:ilvl="0">
      <w:lvlJc w:val="left"/>
      <w:lvlText w:val="%1."/>
      <w:numFmt w:val="decimal"/>
      <w:start w:val="6"/>
    </w:lvl>
  </w:abstractNum>
  <w:abstractNum w:abstractNumId="130">
    <w:nsid w:val="2A31B62D"/>
    <w:multiLevelType w:val="hybridMultilevel"/>
    <w:lvl w:ilvl="0">
      <w:lvlJc w:val="left"/>
      <w:lvlText w:val="%1."/>
      <w:numFmt w:val="decimal"/>
      <w:start w:val="7"/>
    </w:lvl>
  </w:abstractNum>
  <w:abstractNum w:abstractNumId="131">
    <w:nsid w:val="1849C29B"/>
    <w:multiLevelType w:val="hybridMultilevel"/>
    <w:lvl w:ilvl="0">
      <w:lvlJc w:val="left"/>
      <w:lvlText w:val="%1."/>
      <w:numFmt w:val="decimal"/>
      <w:start w:val="1"/>
    </w:lvl>
  </w:abstractNum>
  <w:abstractNum w:abstractNumId="132">
    <w:nsid w:val="7DFF9D09"/>
    <w:multiLevelType w:val="hybridMultilevel"/>
    <w:lvl w:ilvl="0">
      <w:lvlJc w:val="left"/>
      <w:lvlText w:val="%1."/>
      <w:numFmt w:val="decimal"/>
      <w:start w:val="2"/>
    </w:lvl>
  </w:abstractNum>
  <w:abstractNum w:abstractNumId="133">
    <w:nsid w:val="754342"/>
    <w:multiLevelType w:val="hybridMultilevel"/>
    <w:lvl w:ilvl="0">
      <w:lvlJc w:val="left"/>
      <w:lvlText w:val="(%1)"/>
      <w:numFmt w:val="lowerRoman"/>
      <w:start w:val="1"/>
    </w:lvl>
  </w:abstractNum>
  <w:abstractNum w:abstractNumId="134">
    <w:nsid w:val="69E7F3E5"/>
    <w:multiLevelType w:val="hybridMultilevel"/>
    <w:lvl w:ilvl="0">
      <w:lvlJc w:val="left"/>
      <w:lvlText w:val="(%1)"/>
      <w:numFmt w:val="lowerRoman"/>
      <w:start w:val="3"/>
    </w:lvl>
  </w:abstractNum>
  <w:abstractNum w:abstractNumId="135">
    <w:nsid w:val="2A6DE806"/>
    <w:multiLevelType w:val="hybridMultilevel"/>
    <w:lvl w:ilvl="0">
      <w:lvlJc w:val="left"/>
      <w:lvlText w:val="%1."/>
      <w:numFmt w:val="decimal"/>
      <w:start w:val="3"/>
    </w:lvl>
  </w:abstractNum>
  <w:abstractNum w:abstractNumId="136">
    <w:nsid w:val="1816F8C4"/>
    <w:multiLevelType w:val="hybridMultilevel"/>
    <w:lvl w:ilvl="0">
      <w:lvlJc w:val="left"/>
      <w:lvlText w:val="•"/>
      <w:numFmt w:val="bullet"/>
      <w:start w:val="1"/>
    </w:lvl>
  </w:abstractNum>
  <w:abstractNum w:abstractNumId="137">
    <w:nsid w:val="37DF2233"/>
    <w:multiLevelType w:val="hybridMultilevel"/>
    <w:lvl w:ilvl="0">
      <w:lvlJc w:val="left"/>
      <w:lvlText w:val="%1."/>
      <w:numFmt w:val="decimal"/>
      <w:start w:val="6"/>
    </w:lvl>
  </w:abstractNum>
  <w:abstractNum w:abstractNumId="138">
    <w:nsid w:val="7AB49DAF"/>
    <w:multiLevelType w:val="hybridMultilevel"/>
    <w:lvl w:ilvl="0">
      <w:lvlJc w:val="left"/>
      <w:lvlText w:val="%1."/>
      <w:numFmt w:val="decimal"/>
      <w:start w:val="9"/>
    </w:lvl>
  </w:abstractNum>
  <w:abstractNum w:abstractNumId="139">
    <w:nsid w:val="759F82CD"/>
    <w:multiLevelType w:val="hybridMultilevel"/>
    <w:lvl w:ilvl="0">
      <w:lvlJc w:val="left"/>
      <w:lvlText w:val="%1."/>
      <w:numFmt w:val="decimal"/>
      <w:start w:val="12"/>
    </w:lvl>
  </w:abstractNum>
  <w:abstractNum w:abstractNumId="140">
    <w:nsid w:val="61E74EA3"/>
    <w:multiLevelType w:val="hybridMultilevel"/>
    <w:lvl w:ilvl="0">
      <w:lvlJc w:val="left"/>
      <w:lvlText w:val="%1."/>
      <w:numFmt w:val="decimal"/>
      <w:start w:val="13"/>
    </w:lvl>
  </w:abstractNum>
  <w:abstractNum w:abstractNumId="141">
    <w:nsid w:val="597B4D84"/>
    <w:multiLevelType w:val="hybridMultilevel"/>
    <w:lvl w:ilvl="0">
      <w:lvlJc w:val="left"/>
      <w:lvlText w:val="%1."/>
      <w:numFmt w:val="decimal"/>
      <w:start w:val="15"/>
    </w:lvl>
  </w:abstractNum>
  <w:abstractNum w:abstractNumId="142">
    <w:nsid w:val="F819E7F"/>
    <w:multiLevelType w:val="hybridMultilevel"/>
    <w:lvl w:ilvl="0">
      <w:lvlJc w:val="left"/>
      <w:lvlText w:val="%1."/>
      <w:numFmt w:val="decimal"/>
      <w:start w:val="16"/>
    </w:lvl>
  </w:abstractNum>
  <w:abstractNum w:abstractNumId="143">
    <w:nsid w:val="57C7D42D"/>
    <w:multiLevelType w:val="hybridMultilevel"/>
    <w:lvl w:ilvl="0">
      <w:lvlJc w:val="left"/>
      <w:lvlText w:val="%1."/>
      <w:numFmt w:val="decimal"/>
      <w:start w:val="19"/>
    </w:lvl>
  </w:abstractNum>
  <w:abstractNum w:abstractNumId="144">
    <w:nsid w:val="312167AD"/>
    <w:multiLevelType w:val="hybridMultilevel"/>
    <w:lvl w:ilvl="0">
      <w:lvlJc w:val="left"/>
      <w:lvlText w:val="%1."/>
      <w:numFmt w:val="decimal"/>
      <w:start w:val="20"/>
    </w:lvl>
  </w:abstractNum>
  <w:abstractNum w:abstractNumId="145">
    <w:nsid w:val="631B64D4"/>
    <w:multiLevelType w:val="hybridMultilevel"/>
    <w:lvl w:ilvl="0">
      <w:lvlJc w:val="left"/>
      <w:lvlText w:val="%1."/>
      <w:numFmt w:val="decimal"/>
      <w:start w:val="21"/>
    </w:lvl>
  </w:abstractNum>
  <w:abstractNum w:abstractNumId="146">
    <w:nsid w:val="78B5E776"/>
    <w:multiLevelType w:val="hybridMultilevel"/>
    <w:lvl w:ilvl="0">
      <w:lvlJc w:val="left"/>
      <w:lvlText w:val="%1."/>
      <w:numFmt w:val="decimal"/>
      <w:start w:val="22"/>
    </w:lvl>
  </w:abstractNum>
  <w:abstractNum w:abstractNumId="147">
    <w:nsid w:val="75486E47"/>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2019-12-09T03:04:43Z</dcterms:created>
  <dcterms:modified xsi:type="dcterms:W3CDTF">2019-12-09T03:04:43Z</dcterms:modified>
</cp:coreProperties>
</file>