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April 28, 2021</w:t>
      </w:r>
    </w:p>
    <w:p>
      <w:pPr>
        <w:spacing w:after="0" w:line="225" w:lineRule="exact"/>
        <w:rPr>
          <w:sz w:val="24"/>
          <w:szCs w:val="24"/>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1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41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Switzerland</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41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(State or Other Jurisdiction of</w:t>
            </w:r>
          </w:p>
        </w:tc>
        <w:tc>
          <w:tcPr>
            <w:tcW w:w="35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Incorporation or Organization)</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420"/>
        <w:spacing w:after="0" w:line="205" w:lineRule="auto"/>
        <w:rPr>
          <w:sz w:val="20"/>
          <w:szCs w:val="20"/>
          <w:color w:val="auto"/>
        </w:rPr>
      </w:pPr>
      <w:r>
        <w:rPr>
          <w:rFonts w:ascii="Arial" w:cs="Arial" w:eastAsia="Arial" w:hAnsi="Arial"/>
          <w:sz w:val="18"/>
          <w:szCs w:val="18"/>
          <w:b w:val="1"/>
          <w:bCs w:val="1"/>
          <w:color w:val="auto"/>
        </w:rPr>
        <w:t>122 East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Address, and Telephone Number of Agent For Service)</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Derek J. Dostal</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Richard D. Truesdell, Jr.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450-4000</w:t>
      </w:r>
    </w:p>
    <w:p>
      <w:pPr>
        <w:spacing w:after="0" w:line="9" w:lineRule="exact"/>
        <w:rPr>
          <w:rFonts w:ascii="Arial" w:cs="Arial" w:eastAsia="Arial" w:hAnsi="Arial"/>
          <w:sz w:val="18"/>
          <w:szCs w:val="18"/>
          <w:b w:val="1"/>
          <w:bCs w:val="1"/>
          <w:color w:val="auto"/>
        </w:rPr>
      </w:pPr>
    </w:p>
    <w:p>
      <w:pPr>
        <w:ind w:left="3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52" w:lineRule="exact"/>
        <w:rPr>
          <w:sz w:val="24"/>
          <w:szCs w:val="24"/>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472" w:right="539" w:bottom="1440" w:gutter="0" w:footer="0" w:header="0"/>
        </w:sectPr>
      </w:pPr>
    </w:p>
    <w:bookmarkStart w:id="1" w:name="page2"/>
    <w:bookmarkEnd w:id="1"/>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right="40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 of the Securities Act. </w:t>
      </w:r>
      <w:r>
        <w:rPr>
          <w:rFonts w:ascii="MS PGothic" w:cs="MS PGothic" w:eastAsia="MS PGothic" w:hAnsi="MS PGothic"/>
          <w:sz w:val="18"/>
          <w:szCs w:val="18"/>
          <w:color w:val="auto"/>
        </w:rPr>
        <w:t>☐</w:t>
      </w:r>
    </w:p>
    <w:p>
      <w:pPr>
        <w:spacing w:after="0" w:line="216"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20" w:firstLine="332"/>
        <w:spacing w:after="0" w:line="277"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78"/>
        </w:trPr>
        <w:tc>
          <w:tcPr>
            <w:tcW w:w="4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7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6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16"/>
        </w:trPr>
        <w:tc>
          <w:tcPr>
            <w:tcW w:w="4500" w:type="dxa"/>
            <w:vAlign w:val="bottom"/>
          </w:tcPr>
          <w:p>
            <w:pPr>
              <w:ind w:left="1440"/>
              <w:spacing w:after="0"/>
              <w:rPr>
                <w:sz w:val="20"/>
                <w:szCs w:val="20"/>
                <w:color w:val="auto"/>
              </w:rPr>
            </w:pPr>
            <w:r>
              <w:rPr>
                <w:rFonts w:ascii="Arial" w:cs="Arial" w:eastAsia="Arial" w:hAnsi="Arial"/>
                <w:sz w:val="18"/>
                <w:szCs w:val="18"/>
                <w:b w:val="1"/>
                <w:bCs w:val="1"/>
                <w:color w:val="auto"/>
              </w:rPr>
              <w:t>Title of Each Class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Maximum Aggregate Maximum Aggregate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 Fee(3)</w:t>
            </w:r>
          </w:p>
        </w:tc>
      </w:tr>
      <w:tr>
        <w:trPr>
          <w:trHeight w:val="234"/>
        </w:trPr>
        <w:tc>
          <w:tcPr>
            <w:tcW w:w="45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Securities to be Registered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be Registered(1)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Unit(2)</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Price(3)</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w:t>
            </w:r>
          </w:p>
        </w:tc>
      </w:tr>
      <w:tr>
        <w:trPr>
          <w:trHeight w:val="203"/>
        </w:trPr>
        <w:tc>
          <w:tcPr>
            <w:tcW w:w="4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par value CHF 0.02 per share</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Contracts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Subscription Rights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$38,185</w:t>
            </w:r>
          </w:p>
        </w:tc>
      </w:tr>
      <w:tr>
        <w:trPr>
          <w:trHeight w:val="211"/>
        </w:trPr>
        <w:tc>
          <w:tcPr>
            <w:tcW w:w="450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ind w:left="380" w:right="60" w:hanging="318"/>
        <w:spacing w:after="0" w:line="25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securities of each identified class being registered as may be sold by the registrant from time to time at indeterminate prices, with any initial aggregate public offering price not to exceed $350,000,000. The $350,000,000 maximum aggregate offering price includes $223,411,644 in aggregate amount registered on Registration Statement on Form F-3 (Registration No 333-224694) which was declared effective on June 8, 2018 (the “Prior Registration Statement”) that remained unsold by the Company pursuant thereto which, pursuant to Rule 415(a)(6) of the Securities Act of 1933, as amended (the “Securities Act”), is being rolled over and included in this registration statement (see footnote 4 below). As such, the proposed maximum aggregate offering price of new securities being registered hereunder is $223,411,644.</w:t>
      </w:r>
    </w:p>
    <w:p>
      <w:pPr>
        <w:spacing w:after="0" w:line="223" w:lineRule="exact"/>
        <w:rPr>
          <w:rFonts w:ascii="Arial" w:cs="Arial" w:eastAsia="Arial" w:hAnsi="Arial"/>
          <w:sz w:val="18"/>
          <w:szCs w:val="18"/>
          <w:color w:val="auto"/>
        </w:rPr>
      </w:pPr>
    </w:p>
    <w:p>
      <w:pPr>
        <w:ind w:left="380" w:right="140" w:hanging="318"/>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proposed maximum aggregate offering price of each class of securities will be determined from time to time by the registrant in connection with the offer and sale of the securities registered hereunder and is not specified as to each class of securities pursuant to the General Instruction II.C. of Form F-3 under the Securities Act of 1933.</w:t>
      </w:r>
    </w:p>
    <w:p>
      <w:pPr>
        <w:spacing w:after="0" w:line="210" w:lineRule="exact"/>
        <w:rPr>
          <w:rFonts w:ascii="Arial" w:cs="Arial" w:eastAsia="Arial" w:hAnsi="Arial"/>
          <w:sz w:val="18"/>
          <w:szCs w:val="18"/>
          <w:color w:val="auto"/>
        </w:rPr>
      </w:pPr>
    </w:p>
    <w:p>
      <w:pPr>
        <w:ind w:left="380" w:right="140" w:hanging="318"/>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 with respect to the securities to be sold by the registrant. In no event will the aggregate offering price of all securities sold from time to time pursuant to this registration statement exceed $350,000,000.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ind w:left="380" w:hanging="318"/>
        <w:spacing w:after="0" w:line="28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hereunder include unsold securities previously registered by the Company pursuant to the Prior Registration Statement. The Prior Registration Statement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$223,411,644 of which Shelf Securities remain unsold by the Company as of the date of filing of this registration statement. The registrant has determined to include in this registration statement unsold Shelf Securities under the Prior Registration Statement with an aggregate offering price of $223,411,644 (the “Unsold Securities”). Pursuant to Rule 415(a)(6) under the Securities Act, the filing fee of $24,375 relating to the Unsold Securities under the Prior Registration Statement, which was paid under the Prior Registration Statement, will continue to be applied to the Unsold Securities registered pursuant to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w:t>
      </w:r>
    </w:p>
    <w:p>
      <w:pPr>
        <w:spacing w:after="0" w:line="4" w:lineRule="exact"/>
        <w:rPr>
          <w:sz w:val="20"/>
          <w:szCs w:val="20"/>
          <w:color w:val="auto"/>
        </w:rPr>
      </w:pPr>
    </w:p>
    <w:p>
      <w:pPr>
        <w:ind w:left="380" w:right="240"/>
        <w:spacing w:after="0" w:line="250" w:lineRule="auto"/>
        <w:rPr>
          <w:sz w:val="20"/>
          <w:szCs w:val="20"/>
          <w:color w:val="auto"/>
        </w:rPr>
      </w:pPr>
      <w:r>
        <w:rPr>
          <w:rFonts w:ascii="Arial" w:cs="Arial" w:eastAsia="Arial" w:hAnsi="Arial"/>
          <w:sz w:val="18"/>
          <w:szCs w:val="18"/>
          <w:color w:val="auto"/>
        </w:rPr>
        <w:t>pursuant to Rule 415(a)(6). Pursuant to Rule 415(a)(6), the offering of the Unsold Securities under the Prior Registration Statement will be deemed terminated as of the date of effectiveness of this registration statement. The filing fee of $24,375 relating to the Unsold Securities under the Prior Registration Statement, which was paid under the Prior Registration Statement, will continue to be applied to the Unsold Securities registered pursuant to this registration statement.</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 w:name="page5"/>
    <w:bookmarkEnd w:id="4"/>
    <w:p>
      <w:pPr>
        <w:jc w:val="both"/>
        <w:ind w:right="40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April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191135</wp:posOffset>
            </wp:positionV>
            <wp:extent cx="187706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0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Switzerland)</w:t>
      </w:r>
    </w:p>
    <w:p>
      <w:pPr>
        <w:spacing w:after="0" w:line="23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31.</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shares are listed on the NASDAQ Global Market under the symbol “ACIU.” On April 27, 2021, the last sale price of our common shares as reported by the NASDAQ Global Market was $7.14 per common share. As of April 27, 2021, the aggregate market value of our outstanding common shares held by non-affiliates was approximately $225,144,185 based on approximately 72,652,654 shares of outstanding common shares, of which approximately 31,532,799 shares were held by non-affiliates.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20"/>
              <w:spacing w:after="0"/>
              <w:rPr>
                <w:sz w:val="20"/>
                <w:szCs w:val="20"/>
                <w:color w:val="auto"/>
              </w:rPr>
            </w:pPr>
            <w:r>
              <w:rPr>
                <w:rFonts w:ascii="Arial" w:cs="Arial" w:eastAsia="Arial" w:hAnsi="Arial"/>
                <w:sz w:val="18"/>
                <w:szCs w:val="18"/>
                <w:b w:val="1"/>
                <w:bCs w:val="1"/>
                <w:color w:val="auto"/>
                <w:w w:val="96"/>
              </w:rPr>
              <w:t>The date of this prospectus is</w:t>
            </w:r>
          </w:p>
        </w:tc>
        <w:tc>
          <w:tcPr>
            <w:tcW w:w="4740" w:type="dxa"/>
            <w:vAlign w:val="bottom"/>
          </w:tcPr>
          <w:p>
            <w:pPr>
              <w:jc w:val="right"/>
              <w:ind w:right="3910"/>
              <w:spacing w:after="0"/>
              <w:rPr>
                <w:sz w:val="20"/>
                <w:szCs w:val="20"/>
                <w:color w:val="auto"/>
              </w:rPr>
            </w:pPr>
            <w:r>
              <w:rPr>
                <w:rFonts w:ascii="Arial" w:cs="Arial" w:eastAsia="Arial" w:hAnsi="Arial"/>
                <w:sz w:val="18"/>
                <w:szCs w:val="18"/>
                <w:b w:val="1"/>
                <w:bCs w:val="1"/>
                <w:color w:val="auto"/>
              </w:rPr>
              <w:t>, 2021.</w:t>
            </w:r>
          </w:p>
        </w:tc>
      </w:tr>
      <w:tr>
        <w:trPr>
          <w:trHeight w:val="527"/>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ind w:right="100"/>
        <w:spacing w:after="0" w:line="275"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100" w:type="dxa"/>
            <w:vAlign w:val="bottom"/>
          </w:tcPr>
          <w:p>
            <w:pPr>
              <w:jc w:val="center"/>
              <w:ind w:left="2049"/>
              <w:spacing w:after="0"/>
              <w:rPr>
                <w:sz w:val="20"/>
                <w:szCs w:val="20"/>
                <w:color w:val="auto"/>
              </w:rPr>
            </w:pPr>
            <w:r>
              <w:rPr>
                <w:rFonts w:ascii="Arial" w:cs="Arial" w:eastAsia="Arial" w:hAnsi="Arial"/>
                <w:sz w:val="22"/>
                <w:szCs w:val="22"/>
                <w:b w:val="1"/>
                <w:bCs w:val="1"/>
                <w:color w:val="auto"/>
                <w:w w:val="97"/>
              </w:rPr>
              <w:t>TABLE OF CONTENTS</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6"/>
        </w:trPr>
        <w:tc>
          <w:tcPr>
            <w:tcW w:w="9100" w:type="dxa"/>
            <w:vAlign w:val="bottom"/>
          </w:tcPr>
          <w:p>
            <w:pPr>
              <w:jc w:val="center"/>
              <w:ind w:left="2069"/>
              <w:spacing w:after="0"/>
              <w:rPr>
                <w:sz w:val="20"/>
                <w:szCs w:val="20"/>
                <w:color w:val="auto"/>
              </w:rPr>
            </w:pPr>
            <w:r>
              <w:rPr>
                <w:rFonts w:ascii="Arial" w:cs="Arial" w:eastAsia="Arial" w:hAnsi="Arial"/>
                <w:sz w:val="22"/>
                <w:szCs w:val="22"/>
                <w:b w:val="1"/>
                <w:bCs w:val="1"/>
                <w:color w:val="auto"/>
                <w:w w:val="88"/>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8"/>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8"/>
        </w:trPr>
        <w:tc>
          <w:tcPr>
            <w:tcW w:w="910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AC Immune SA</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Risk Factors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Use of Proceeds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Units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Plan of Distribution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Legal Matters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Experts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Indemnification of Officers and Directors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Exhibits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Undertakings</w:t>
            </w:r>
          </w:p>
        </w:tc>
        <w:tc>
          <w:tcPr>
            <w:tcW w:w="1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II-2</w:t>
            </w:r>
          </w:p>
        </w:tc>
      </w:tr>
      <w:tr>
        <w:trPr>
          <w:trHeight w:val="540"/>
        </w:trPr>
        <w:tc>
          <w:tcPr>
            <w:tcW w:w="9100" w:type="dxa"/>
            <w:vAlign w:val="bottom"/>
            <w:tcBorders>
              <w:bottom w:val="single" w:sz="8" w:color="auto"/>
            </w:tcBorders>
          </w:tcPr>
          <w:p>
            <w:pPr>
              <w:jc w:val="center"/>
              <w:ind w:left="2009"/>
              <w:spacing w:after="0"/>
              <w:rPr>
                <w:sz w:val="20"/>
                <w:szCs w:val="20"/>
                <w:color w:val="auto"/>
              </w:rPr>
            </w:pPr>
            <w:r>
              <w:rPr>
                <w:rFonts w:ascii="Arial" w:cs="Arial" w:eastAsia="Arial" w:hAnsi="Arial"/>
                <w:sz w:val="18"/>
                <w:szCs w:val="18"/>
                <w:color w:val="auto"/>
                <w:w w:val="79"/>
              </w:rPr>
              <w:t>1</w:t>
            </w: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24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and maintain regulatory approval and to commercialize ACI-35, semorinemab, Morphomer Tau, ACI-24 for Alzheimer’s disease (AD) and for Down syndrome-related AD (ACI-24 for DS), crenezumab, and PI-2620, our Tau-positron emission tomography (PET) imaging tracer and to a lesser extent our preclinical candidates;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preclinical and clinical safety, efficacy and utility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TDP-43. Our corporate strategy is founded upon a three-pillar approach that targets (i) AD, (ii) focused non-Alzheimer’s neurodegenerative diseases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Switzerland. We were formed as a Swiss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on February 13, 2003 with our registered office and domicile in Basel, Switzerland. We converted to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March 22, 2021, our issued share capital is CHF 1,537,748.98, consisting of 76,887,449 common shares with a nominal value of CHF 0.02 each. Of these issued totals, we held 4,235,023 as treasury shares totaling CHF 84,700.46 in share capital. We have no dividend rights certificates (</w:t>
      </w:r>
      <w:r>
        <w:rPr>
          <w:rFonts w:ascii="Arial" w:cs="Arial" w:eastAsia="Arial" w:hAnsi="Arial"/>
          <w:sz w:val="18"/>
          <w:szCs w:val="18"/>
          <w:i w:val="1"/>
          <w:iCs w:val="1"/>
          <w:color w:val="auto"/>
        </w:rPr>
        <w:t>bons de</w:t>
      </w:r>
      <w:r>
        <w:rPr>
          <w:rFonts w:ascii="Arial" w:cs="Arial" w:eastAsia="Arial" w:hAnsi="Arial"/>
          <w:sz w:val="18"/>
          <w:szCs w:val="18"/>
          <w:color w:val="auto"/>
        </w:rPr>
        <w:t xml:space="preserve"> </w:t>
      </w:r>
      <w:r>
        <w:rPr>
          <w:rFonts w:ascii="Arial" w:cs="Arial" w:eastAsia="Arial" w:hAnsi="Arial"/>
          <w:sz w:val="18"/>
          <w:szCs w:val="18"/>
          <w:i w:val="1"/>
          <w:iCs w:val="1"/>
          <w:color w:val="auto"/>
        </w:rPr>
        <w:t>jouissance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On February 23, 2021, we adopted amended articles of association and when we refer to our articles of association, we refer to the articles of association as filed as Exhibit 3.1 to our Annual Report on Form 20-F.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7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5" w:lineRule="exact"/>
        <w:rPr>
          <w:sz w:val="20"/>
          <w:szCs w:val="20"/>
          <w:color w:val="auto"/>
        </w:rPr>
      </w:pPr>
    </w:p>
    <w:p>
      <w:pPr>
        <w:jc w:val="both"/>
        <w:ind w:left="660" w:right="20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conditional capital (</w:t>
      </w:r>
      <w:r>
        <w:rPr>
          <w:rFonts w:ascii="Arial" w:cs="Arial" w:eastAsia="Arial" w:hAnsi="Arial"/>
          <w:sz w:val="17"/>
          <w:szCs w:val="17"/>
          <w:i w:val="1"/>
          <w:iCs w:val="1"/>
          <w:color w:val="auto"/>
        </w:rPr>
        <w:t>capital conditionnel</w:t>
      </w:r>
      <w:r>
        <w:rPr>
          <w:rFonts w:ascii="Arial" w:cs="Arial" w:eastAsia="Arial" w:hAnsi="Arial"/>
          <w:sz w:val="17"/>
          <w:szCs w:val="17"/>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71"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Pursuant to the CO, shareholders have in principle pre-emptive subscription rights (</w:t>
      </w:r>
      <w:r>
        <w:rPr>
          <w:rFonts w:ascii="Arial" w:cs="Arial" w:eastAsia="Arial" w:hAnsi="Arial"/>
          <w:sz w:val="18"/>
          <w:szCs w:val="18"/>
          <w:i w:val="1"/>
          <w:iCs w:val="1"/>
          <w:color w:val="auto"/>
        </w:rPr>
        <w:t>droit préférentiel de souscription</w:t>
      </w:r>
      <w:r>
        <w:rPr>
          <w:rFonts w:ascii="Arial" w:cs="Arial" w:eastAsia="Arial" w:hAnsi="Arial"/>
          <w:sz w:val="18"/>
          <w:szCs w:val="18"/>
          <w:color w:val="auto"/>
        </w:rPr>
        <w:t>). With respect to conditional capital in connection with the issuance of conversion rights, convertible bonds or similar debt instruments, shareholders have in principle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Under Article 3a of our articles of association, board of directors is authorized to increase the share capital, in one or several steps until 27 June 2022, by a maximum amount of CHF 190,000 by issuing a maximum of 9,500,000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225"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33 1/3 %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on the basis that the board of directors has not found the takeover bid to be financially fair to the shareholders.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Under Article 3b of our articles of association, our share capital may be increased by a maximum aggregate amount of CHF 91,560.94 through the issue of a maximum of 4,578,047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Article 3c of our articles of association, our share capital may, to the exclusion of the pre-emptive subscription rights of shareholders, be increased by a maximum aggregate amount of CHF 65,954.32 through the issue of a maximum of 3,297,716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shares are uncertificated securities (</w:t>
      </w:r>
      <w:r>
        <w:rPr>
          <w:rFonts w:ascii="Arial" w:cs="Arial" w:eastAsia="Arial" w:hAnsi="Arial"/>
          <w:sz w:val="16"/>
          <w:szCs w:val="16"/>
          <w:i w:val="1"/>
          <w:iCs w:val="1"/>
          <w:color w:val="auto"/>
        </w:rPr>
        <w:t>droits-valeurs</w:t>
      </w:r>
      <w:r>
        <w:rPr>
          <w:rFonts w:ascii="Arial" w:cs="Arial" w:eastAsia="Arial" w:hAnsi="Arial"/>
          <w:sz w:val="16"/>
          <w:szCs w:val="16"/>
          <w:color w:val="auto"/>
        </w:rPr>
        <w:t>, within the meaning of Article 973c of the CO) and, when administered by a financial intermediary (</w:t>
      </w:r>
      <w:r>
        <w:rPr>
          <w:rFonts w:ascii="Arial" w:cs="Arial" w:eastAsia="Arial" w:hAnsi="Arial"/>
          <w:sz w:val="16"/>
          <w:szCs w:val="16"/>
          <w:i w:val="1"/>
          <w:iCs w:val="1"/>
          <w:color w:val="auto"/>
        </w:rPr>
        <w:t>dépositaire</w:t>
      </w:r>
      <w:r>
        <w:rPr>
          <w:rFonts w:ascii="Arial" w:cs="Arial" w:eastAsia="Arial" w:hAnsi="Arial"/>
          <w:sz w:val="16"/>
          <w:szCs w:val="16"/>
          <w:color w:val="auto"/>
        </w:rPr>
        <w:t>, within the meaning of the Federal Act on Intermediated Securities, “FISA”), qualify as intermediated securities (</w:t>
      </w:r>
      <w:r>
        <w:rPr>
          <w:rFonts w:ascii="Arial" w:cs="Arial" w:eastAsia="Arial" w:hAnsi="Arial"/>
          <w:sz w:val="16"/>
          <w:szCs w:val="16"/>
          <w:i w:val="1"/>
          <w:iCs w:val="1"/>
          <w:color w:val="auto"/>
        </w:rPr>
        <w:t>titres</w:t>
      </w:r>
      <w:r>
        <w:rPr>
          <w:rFonts w:ascii="Arial" w:cs="Arial" w:eastAsia="Arial" w:hAnsi="Arial"/>
          <w:sz w:val="16"/>
          <w:szCs w:val="16"/>
          <w:color w:val="auto"/>
        </w:rPr>
        <w:t xml:space="preserve"> </w:t>
      </w:r>
      <w:r>
        <w:rPr>
          <w:rFonts w:ascii="Arial" w:cs="Arial" w:eastAsia="Arial" w:hAnsi="Arial"/>
          <w:sz w:val="16"/>
          <w:szCs w:val="16"/>
          <w:i w:val="1"/>
          <w:iCs w:val="1"/>
          <w:color w:val="auto"/>
        </w:rPr>
        <w:t>intermédiés</w:t>
      </w:r>
      <w:r>
        <w:rPr>
          <w:rFonts w:ascii="Arial" w:cs="Arial" w:eastAsia="Arial" w:hAnsi="Arial"/>
          <w:sz w:val="16"/>
          <w:szCs w:val="16"/>
          <w:color w:val="auto"/>
        </w:rPr>
        <w:t>, within the meaning of the FISA). In accordance with Article 973c of the CO, we maintain a non-public register of uncertificated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registre des droits-valeurs</w:t>
      </w:r>
      <w:r>
        <w:rPr>
          <w:rFonts w:ascii="Arial" w:cs="Arial" w:eastAsia="Arial" w:hAnsi="Arial"/>
          <w:sz w:val="16"/>
          <w:szCs w:val="16"/>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5560" w:right="3020" w:hanging="5228"/>
        <w:spacing w:after="0" w:line="6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left="660" w:right="7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electing and removal of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management report and the consolidated accounts;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annual accounts and resolutions on the allocation of the disposable profits, and in particular setting the dividend and the shares of profit to board members;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total compensation paid to members of the board of directors and executive management;</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passing resolutions concerning all matters which are reserved to the authority of the general meeting of shareholders by law or by the articles of association.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shares with privileged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the transferability of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assets and granting of special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or withdrawing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common shares and the removal of the voting cap of 33 1⁄3% as contained in article 4 of the articles of association;</w:t>
      </w:r>
    </w:p>
    <w:p>
      <w:pPr>
        <w:spacing w:after="0" w:line="170"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 as contained in article 29 of the articles of association;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 w:name="page15"/>
    <w:bookmarkEnd w:id="14"/>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converting common shares into bearer shares and vice versa;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dissolving or liquidating a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amending or eliminating article 17 (</w:t>
      </w:r>
      <w:r>
        <w:rPr>
          <w:rFonts w:ascii="Arial" w:cs="Arial" w:eastAsia="Arial" w:hAnsi="Arial"/>
          <w:sz w:val="18"/>
          <w:szCs w:val="18"/>
          <w:i w:val="1"/>
          <w:iCs w:val="1"/>
          <w:color w:val="auto"/>
        </w:rPr>
        <w:t>resolutions and elections</w:t>
      </w:r>
      <w:r>
        <w:rPr>
          <w:rFonts w:ascii="Arial" w:cs="Arial" w:eastAsia="Arial" w:hAnsi="Arial"/>
          <w:sz w:val="18"/>
          <w:szCs w:val="18"/>
          <w:color w:val="auto"/>
        </w:rPr>
        <w:t>) of the articles of association.</w:t>
      </w:r>
    </w:p>
    <w:p>
      <w:pPr>
        <w:spacing w:after="0" w:line="22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8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61" w:lineRule="exact"/>
        <w:rPr>
          <w:sz w:val="20"/>
          <w:szCs w:val="20"/>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as they appear in our share register, of the shareholder proposing such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 and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5" w:name="page16"/>
    <w:bookmarkEnd w:id="15"/>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2"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spacing w:after="0" w:line="293" w:lineRule="auto"/>
        <w:rPr>
          <w:sz w:val="20"/>
          <w:szCs w:val="20"/>
          <w:color w:val="auto"/>
        </w:rPr>
      </w:pPr>
      <w:r>
        <w:rPr>
          <w:rFonts w:ascii="Arial" w:cs="Arial" w:eastAsia="Arial" w:hAnsi="Arial"/>
          <w:sz w:val="16"/>
          <w:szCs w:val="16"/>
          <w:color w:val="auto"/>
        </w:rPr>
        <w:t>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6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Voting rights may be exercised only after a shareholder (or usufructuaries)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voting caps apply to shareholders acquiring shares for other persons (nominees).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9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determination of the Company’s organization;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are required for management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compilation of the annual report, and the preparation for the general meeting of shareholders and implementing its resolutions;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of shareholders regarding the compensation of the board of directors and the executive committee;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assigns the persons with signatory power for the Company and the kind of signatory power.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9" w:name="page20"/>
    <w:bookmarkEnd w:id="19"/>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6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board of directors for the next term of office;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aggregate amount of a possible additional compensation of the board of directors for the preceding business year;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executive management for the 12-month period starting on 1 July following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aggregate amount of variable compensation for the executive management for the current year;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maximum aggregate amount of options or shares in the Company granted to the board of directors and the executive management.</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jc w:val="both"/>
        <w:ind w:firstLine="324"/>
        <w:spacing w:after="0" w:line="263" w:lineRule="auto"/>
        <w:rPr>
          <w:sz w:val="20"/>
          <w:szCs w:val="20"/>
          <w:color w:val="auto"/>
        </w:rPr>
      </w:pPr>
      <w:r>
        <w:rPr>
          <w:rFonts w:ascii="Arial" w:cs="Arial" w:eastAsia="Arial" w:hAnsi="Arial"/>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hold 4,235,023 fully paid up common shares of par value CHF 0.02 each, as treasury shares.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240"/>
          </w:cols>
          <w:pgMar w:left="320" w:top="580" w:right="339" w:bottom="1440" w:gutter="0" w:footer="0" w:header="0"/>
        </w:sectPr>
      </w:pP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9" w:lineRule="exact"/>
        <w:rPr>
          <w:sz w:val="20"/>
          <w:szCs w:val="20"/>
          <w:color w:val="auto"/>
        </w:rPr>
      </w:pPr>
    </w:p>
    <w:p>
      <w:pPr>
        <w:sectPr>
          <w:pgSz w:w="11900" w:h="16838" w:orient="portrait"/>
          <w:cols w:equalWidth="0" w:num="2">
            <w:col w:w="5580" w:space="280"/>
            <w:col w:w="5380"/>
          </w:cols>
          <w:pgMar w:left="320" w:top="580" w:right="339" w:bottom="1440" w:gutter="0" w:footer="0" w:header="0"/>
          <w:type w:val="continuous"/>
        </w:sectPr>
      </w:pPr>
    </w:p>
    <w:p>
      <w:pPr>
        <w:jc w:val="center"/>
        <w:ind w:right="60"/>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240"/>
          </w:cols>
          <w:pgMar w:left="320" w:top="580" w:right="339" w:bottom="1440" w:gutter="0" w:footer="0" w:header="0"/>
          <w:type w:val="continuous"/>
        </w:sectPr>
      </w:pP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80"/>
            <w:col w:w="5380"/>
          </w:cols>
          <w:pgMar w:left="320" w:top="580" w:right="339" w:bottom="1440" w:gutter="0" w:footer="0" w:header="0"/>
          <w:type w:val="continuous"/>
        </w:sectPr>
      </w:pP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3" w:name="page24"/>
    <w:bookmarkEnd w:id="23"/>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220"/>
          </w:cols>
          <w:pgMar w:left="320" w:top="607" w:right="359" w:bottom="1440" w:gutter="0" w:footer="0" w:header="0"/>
        </w:sectPr>
      </w:pP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aggregate amount of compensation of the members of the board of directors, of the executive committee and of the advisory boards.</w:t>
      </w:r>
    </w:p>
    <w:p>
      <w:pPr>
        <w:spacing w:after="0" w:line="2" w:lineRule="exact"/>
        <w:rPr>
          <w:sz w:val="20"/>
          <w:szCs w:val="20"/>
          <w:color w:val="auto"/>
        </w:rPr>
      </w:pPr>
    </w:p>
    <w:p>
      <w:pPr>
        <w:sectPr>
          <w:pgSz w:w="11900" w:h="16838" w:orient="portrait"/>
          <w:cols w:equalWidth="0" w:num="2">
            <w:col w:w="5520" w:space="340"/>
            <w:col w:w="5360"/>
          </w:cols>
          <w:pgMar w:left="320" w:top="607"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220"/>
          </w:cols>
          <w:pgMar w:left="320" w:top="607" w:right="359" w:bottom="1440" w:gutter="0" w:footer="0" w:header="0"/>
          <w:type w:val="continuous"/>
        </w:sectPr>
      </w:pP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241" w:lineRule="exact"/>
        <w:rPr>
          <w:sz w:val="20"/>
          <w:szCs w:val="20"/>
          <w:color w:val="auto"/>
        </w:rPr>
      </w:pPr>
    </w:p>
    <w:p>
      <w:pPr>
        <w:sectPr>
          <w:pgSz w:w="11900" w:h="16838" w:orient="portrait"/>
          <w:cols w:equalWidth="0" w:num="2">
            <w:col w:w="5460" w:space="400"/>
            <w:col w:w="5360"/>
          </w:cols>
          <w:pgMar w:left="320" w:top="607"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220"/>
          </w:cols>
          <w:pgMar w:left="320" w:top="607" w:right="359" w:bottom="1440" w:gutter="0" w:footer="0" w:header="0"/>
          <w:type w:val="continuous"/>
        </w:sectPr>
      </w:pP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2" w:lineRule="exact"/>
        <w:rPr>
          <w:sz w:val="20"/>
          <w:szCs w:val="20"/>
          <w:color w:val="auto"/>
        </w:rPr>
      </w:pPr>
    </w:p>
    <w:p>
      <w:pPr>
        <w:ind w:left="160" w:right="860" w:hanging="152"/>
        <w:spacing w:after="0" w:line="277" w:lineRule="auto"/>
        <w:tabs>
          <w:tab w:leader="none" w:pos="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right="100" w:hanging="152"/>
        <w:spacing w:after="0" w:line="277" w:lineRule="auto"/>
        <w:tabs>
          <w:tab w:leader="none" w:pos="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460" w:hanging="152"/>
        <w:spacing w:after="0" w:line="277" w:lineRule="auto"/>
        <w:tabs>
          <w:tab w:leader="none" w:pos="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540" w:hanging="152"/>
        <w:spacing w:after="0" w:line="277" w:lineRule="auto"/>
        <w:tabs>
          <w:tab w:leader="none" w:pos="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5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640" w:space="220"/>
            <w:col w:w="5360"/>
          </w:cols>
          <w:pgMar w:left="320" w:top="607" w:right="35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4" w:name="page25"/>
    <w:bookmarkEnd w:id="24"/>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200"/>
          </w:cols>
          <w:pgMar w:left="320" w:top="607" w:right="379" w:bottom="1440" w:gutter="0" w:footer="0" w:header="0"/>
        </w:sectPr>
      </w:pP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20" w:hanging="8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20" w:hanging="8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20"/>
        <w:spacing w:after="0" w:line="275"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76" w:lineRule="exact"/>
        <w:rPr>
          <w:sz w:val="20"/>
          <w:szCs w:val="20"/>
          <w:color w:val="auto"/>
        </w:rPr>
      </w:pPr>
    </w:p>
    <w:p>
      <w:pPr>
        <w:ind w:left="147" w:right="640" w:hanging="147"/>
        <w:spacing w:after="0" w:line="277" w:lineRule="auto"/>
        <w:tabs>
          <w:tab w:leader="none" w:pos="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87" w:hanging="87"/>
        <w:spacing w:after="0"/>
        <w:tabs>
          <w:tab w:leader="none" w:pos="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right"/>
        <w:ind w:left="147" w:right="500" w:hanging="147"/>
        <w:spacing w:after="0" w:line="342" w:lineRule="auto"/>
        <w:tabs>
          <w:tab w:leader="none" w:pos="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147" w:right="160" w:hanging="147"/>
        <w:spacing w:after="0" w:line="277" w:lineRule="auto"/>
        <w:tabs>
          <w:tab w:leader="none" w:pos="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147" w:right="500" w:hanging="147"/>
        <w:spacing w:after="0" w:line="311" w:lineRule="auto"/>
        <w:tabs>
          <w:tab w:leader="none" w:pos="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overall supervision of the persons entrusted with managing the corporation, in particular with regard to compliance with the law, articles of association, operational regulations and directives;</w:t>
      </w:r>
    </w:p>
    <w:p>
      <w:pPr>
        <w:spacing w:after="0" w:line="148" w:lineRule="exact"/>
        <w:rPr>
          <w:rFonts w:ascii="Arial" w:cs="Arial" w:eastAsia="Arial" w:hAnsi="Arial"/>
          <w:sz w:val="16"/>
          <w:szCs w:val="16"/>
          <w:color w:val="auto"/>
        </w:rPr>
      </w:pPr>
    </w:p>
    <w:p>
      <w:pPr>
        <w:ind w:left="147" w:hanging="147"/>
        <w:spacing w:after="0" w:line="308" w:lineRule="auto"/>
        <w:tabs>
          <w:tab w:leader="none" w:pos="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87" w:hanging="87"/>
        <w:spacing w:after="0"/>
        <w:tabs>
          <w:tab w:leader="none" w:pos="87"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34" w:lineRule="exact"/>
        <w:rPr>
          <w:sz w:val="20"/>
          <w:szCs w:val="20"/>
          <w:color w:val="auto"/>
        </w:rPr>
      </w:pPr>
    </w:p>
    <w:p>
      <w:pPr>
        <w:ind w:left="7" w:right="26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178" w:lineRule="exact"/>
        <w:rPr>
          <w:sz w:val="20"/>
          <w:szCs w:val="20"/>
          <w:color w:val="auto"/>
        </w:rPr>
      </w:pPr>
    </w:p>
    <w:p>
      <w:pPr>
        <w:sectPr>
          <w:pgSz w:w="11900" w:h="16838" w:orient="portrait"/>
          <w:cols w:equalWidth="0" w:num="2">
            <w:col w:w="5640" w:space="213"/>
            <w:col w:w="5347"/>
          </w:cols>
          <w:pgMar w:left="320" w:top="607"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200"/>
          </w:cols>
          <w:pgMar w:left="320" w:top="607" w:right="379" w:bottom="1440" w:gutter="0" w:footer="0" w:header="0"/>
          <w:type w:val="continuous"/>
        </w:sectPr>
      </w:pP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80" w:lineRule="exact"/>
        <w:rPr>
          <w:sz w:val="20"/>
          <w:szCs w:val="20"/>
          <w:color w:val="auto"/>
        </w:rPr>
      </w:pPr>
    </w:p>
    <w:p>
      <w:pPr>
        <w:sectPr>
          <w:pgSz w:w="11900" w:h="16838" w:orient="portrait"/>
          <w:cols w:equalWidth="0" w:num="2">
            <w:col w:w="5540" w:space="320"/>
            <w:col w:w="5340"/>
          </w:cols>
          <w:pgMar w:left="320" w:top="607"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25" w:name="page26"/>
    <w:bookmarkEnd w:id="25"/>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240"/>
          </w:cols>
          <w:pgMar w:left="320" w:top="607" w:right="339" w:bottom="1440" w:gutter="0" w:footer="0" w:header="0"/>
        </w:sectPr>
      </w:pP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47" w:right="140" w:hanging="147"/>
        <w:spacing w:after="0" w:line="263" w:lineRule="auto"/>
        <w:tabs>
          <w:tab w:leader="none" w:pos="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3" w:lineRule="exact"/>
        <w:rPr>
          <w:rFonts w:ascii="Arial" w:cs="Arial" w:eastAsia="Arial" w:hAnsi="Arial"/>
          <w:sz w:val="18"/>
          <w:szCs w:val="18"/>
          <w:color w:val="auto"/>
        </w:rPr>
      </w:pPr>
    </w:p>
    <w:p>
      <w:pPr>
        <w:ind w:left="147" w:right="20" w:hanging="147"/>
        <w:spacing w:after="0" w:line="301" w:lineRule="auto"/>
        <w:tabs>
          <w:tab w:leader="none" w:pos="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7" w:lineRule="exact"/>
        <w:rPr>
          <w:sz w:val="20"/>
          <w:szCs w:val="20"/>
          <w:color w:val="auto"/>
        </w:rPr>
      </w:pPr>
    </w:p>
    <w:p>
      <w:pPr>
        <w:jc w:val="both"/>
        <w:ind w:left="7" w:right="420" w:firstLine="324"/>
        <w:spacing w:after="0" w:line="263"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has been included as an agenda item.</w:t>
      </w:r>
    </w:p>
    <w:p>
      <w:pPr>
        <w:spacing w:after="0" w:line="184" w:lineRule="exact"/>
        <w:rPr>
          <w:sz w:val="20"/>
          <w:szCs w:val="20"/>
          <w:color w:val="auto"/>
        </w:rPr>
      </w:pPr>
    </w:p>
    <w:p>
      <w:pPr>
        <w:ind w:left="7" w:right="140"/>
        <w:spacing w:after="0" w:line="270"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19" w:lineRule="exact"/>
        <w:rPr>
          <w:sz w:val="20"/>
          <w:szCs w:val="20"/>
          <w:color w:val="auto"/>
        </w:rPr>
      </w:pPr>
    </w:p>
    <w:p>
      <w:pPr>
        <w:sectPr>
          <w:pgSz w:w="11900" w:h="16838" w:orient="portrait"/>
          <w:cols w:equalWidth="0" w:num="2">
            <w:col w:w="5640" w:space="213"/>
            <w:col w:w="5387"/>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pacing w:after="0" w:line="91" w:lineRule="exact"/>
        <w:rPr>
          <w:sz w:val="20"/>
          <w:szCs w:val="20"/>
          <w:color w:val="auto"/>
        </w:rPr>
      </w:pPr>
    </w:p>
    <w:p>
      <w:pPr>
        <w:sectPr>
          <w:pgSz w:w="11900" w:h="16838" w:orient="portrait"/>
          <w:cols w:equalWidth="0" w:num="2">
            <w:col w:w="5400" w:space="460"/>
            <w:col w:w="5380"/>
          </w:cols>
          <w:pgMar w:left="320" w:top="607"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6" w:name="page27"/>
    <w:bookmarkEnd w:id="26"/>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Removal of directors</w:t>
      </w:r>
    </w:p>
    <w:p>
      <w:pPr>
        <w:sectPr>
          <w:pgSz w:w="11900" w:h="16838" w:orient="portrait"/>
          <w:cols w:equalWidth="0" w:num="1">
            <w:col w:w="11180"/>
          </w:cols>
          <w:pgMar w:left="320" w:top="607" w:right="399" w:bottom="1440" w:gutter="0" w:footer="0" w:header="0"/>
        </w:sectPr>
      </w:pP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4" w:lineRule="exact"/>
        <w:rPr>
          <w:sz w:val="20"/>
          <w:szCs w:val="20"/>
          <w:color w:val="auto"/>
        </w:rPr>
      </w:pPr>
    </w:p>
    <w:p>
      <w:pPr>
        <w:sectPr>
          <w:pgSz w:w="11900" w:h="16838" w:orient="portrait"/>
          <w:cols w:equalWidth="0" w:num="2">
            <w:col w:w="5300" w:space="560"/>
            <w:col w:w="5320"/>
          </w:cols>
          <w:pgMar w:left="320" w:top="607"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Transactions with interested shareholders</w:t>
      </w:r>
    </w:p>
    <w:p>
      <w:pPr>
        <w:sectPr>
          <w:pgSz w:w="11900" w:h="16838" w:orient="portrait"/>
          <w:cols w:equalWidth="0" w:num="1">
            <w:col w:w="11180"/>
          </w:cols>
          <w:pgMar w:left="320" w:top="607" w:right="399" w:bottom="1440" w:gutter="0" w:footer="0" w:header="0"/>
          <w:type w:val="continuous"/>
        </w:sectPr>
      </w:pPr>
    </w:p>
    <w:p>
      <w:pPr>
        <w:spacing w:after="0" w:line="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165" w:lineRule="exact"/>
        <w:rPr>
          <w:sz w:val="20"/>
          <w:szCs w:val="20"/>
          <w:color w:val="auto"/>
        </w:rPr>
      </w:pPr>
    </w:p>
    <w:p>
      <w:pPr>
        <w:sectPr>
          <w:pgSz w:w="11900" w:h="16838" w:orient="portrait"/>
          <w:cols w:equalWidth="0" w:num="2">
            <w:col w:w="5420" w:space="440"/>
            <w:col w:w="5320"/>
          </w:cols>
          <w:pgMar w:left="320" w:top="607"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180"/>
          </w:cols>
          <w:pgMar w:left="320" w:top="607" w:right="399" w:bottom="1440" w:gutter="0" w:footer="0" w:header="0"/>
          <w:type w:val="continuous"/>
        </w:sectPr>
      </w:pPr>
    </w:p>
    <w:p>
      <w:pPr>
        <w:spacing w:after="0" w:line="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415" w:lineRule="exact"/>
        <w:rPr>
          <w:sz w:val="20"/>
          <w:szCs w:val="20"/>
          <w:color w:val="auto"/>
        </w:rPr>
      </w:pPr>
    </w:p>
    <w:p>
      <w:pPr>
        <w:sectPr>
          <w:pgSz w:w="11900" w:h="16838" w:orient="portrait"/>
          <w:cols w:equalWidth="0" w:num="2">
            <w:col w:w="5600" w:space="260"/>
            <w:col w:w="5320"/>
          </w:cols>
          <w:pgMar w:left="320" w:top="607" w:right="399" w:bottom="1440" w:gutter="0" w:footer="0" w:header="0"/>
          <w:type w:val="continuous"/>
        </w:sectPr>
      </w:pPr>
    </w:p>
    <w:p>
      <w:pPr>
        <w:jc w:val="center"/>
        <w:ind w:right="-7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180"/>
          </w:cols>
          <w:pgMar w:left="320" w:top="607" w:right="399" w:bottom="1440" w:gutter="0" w:footer="0" w:header="0"/>
          <w:type w:val="continuous"/>
        </w:sectPr>
      </w:pP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200" w:lineRule="exact"/>
        <w:rPr>
          <w:sz w:val="20"/>
          <w:szCs w:val="20"/>
          <w:color w:val="auto"/>
        </w:rPr>
      </w:pPr>
    </w:p>
    <w:p>
      <w:pPr>
        <w:sectPr>
          <w:pgSz w:w="11900" w:h="16838" w:orient="portrait"/>
          <w:cols w:equalWidth="0" w:num="2">
            <w:col w:w="5220" w:space="640"/>
            <w:col w:w="5320"/>
          </w:cols>
          <w:pgMar w:left="320" w:top="607" w:right="399" w:bottom="1440" w:gutter="0" w:footer="0" w:header="0"/>
          <w:type w:val="continuous"/>
        </w:sect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27" w:name="page28"/>
    <w:bookmarkEnd w:id="27"/>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of governing documents</w:t>
      </w:r>
    </w:p>
    <w:p>
      <w:pPr>
        <w:sectPr>
          <w:pgSz w:w="11900" w:h="16838" w:orient="portrait"/>
          <w:cols w:equalWidth="0" w:num="1">
            <w:col w:w="11240"/>
          </w:cols>
          <w:pgMar w:left="320" w:top="607" w:right="339" w:bottom="1440" w:gutter="0" w:footer="0" w:header="0"/>
        </w:sectPr>
      </w:pP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4" w:lineRule="exact"/>
        <w:rPr>
          <w:sz w:val="20"/>
          <w:szCs w:val="20"/>
          <w:color w:val="auto"/>
        </w:rPr>
      </w:pPr>
    </w:p>
    <w:p>
      <w:pPr>
        <w:sectPr>
          <w:pgSz w:w="11900" w:h="16838" w:orient="portrait"/>
          <w:cols w:equalWidth="0" w:num="2">
            <w:col w:w="5380" w:space="480"/>
            <w:col w:w="5380"/>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Inspection of Books and Records</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34" w:lineRule="exact"/>
        <w:rPr>
          <w:sz w:val="20"/>
          <w:szCs w:val="20"/>
          <w:color w:val="auto"/>
        </w:rPr>
      </w:pPr>
    </w:p>
    <w:p>
      <w:pPr>
        <w:sectPr>
          <w:pgSz w:w="11900" w:h="16838" w:orient="portrait"/>
          <w:cols w:equalWidth="0" w:num="2">
            <w:col w:w="5560" w:space="300"/>
            <w:col w:w="5380"/>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00" w:hanging="92"/>
        <w:spacing w:after="0"/>
        <w:tabs>
          <w:tab w:leader="none" w:pos="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260" w:hanging="152"/>
        <w:spacing w:after="0" w:line="342" w:lineRule="auto"/>
        <w:tabs>
          <w:tab w:leader="none" w:pos="9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580" w:space="280"/>
            <w:col w:w="5380"/>
          </w:cols>
          <w:pgMar w:left="320" w:top="607" w:right="339" w:bottom="1440" w:gutter="0" w:footer="0" w:header="0"/>
          <w:type w:val="continuous"/>
        </w:sectPr>
      </w:pP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8" w:name="page29"/>
    <w:bookmarkEnd w:id="28"/>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Creation and issuance of new shares</w:t>
      </w:r>
    </w:p>
    <w:p>
      <w:pPr>
        <w:sectPr>
          <w:pgSz w:w="11900" w:h="16838" w:orient="portrait"/>
          <w:cols w:equalWidth="0" w:num="1">
            <w:col w:w="11160"/>
          </w:cols>
          <w:pgMar w:left="320" w:top="607" w:right="419" w:bottom="1440" w:gutter="0" w:footer="0" w:header="0"/>
        </w:sectPr>
      </w:pP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100" w:lineRule="exact"/>
        <w:rPr>
          <w:sz w:val="20"/>
          <w:szCs w:val="20"/>
          <w:color w:val="auto"/>
        </w:rPr>
      </w:pPr>
    </w:p>
    <w:p>
      <w:pPr>
        <w:sectPr>
          <w:pgSz w:w="11900" w:h="16838" w:orient="portrait"/>
          <w:cols w:equalWidth="0" w:num="2">
            <w:col w:w="5620" w:space="240"/>
            <w:col w:w="5300"/>
          </w:cols>
          <w:pgMar w:left="320" w:top="607" w:right="41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type w:val="continuous"/>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0" w:name="page31"/>
    <w:bookmarkEnd w:id="30"/>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31" w:name="page32"/>
    <w:bookmarkEnd w:id="31"/>
    <w:p>
      <w:pPr>
        <w:ind w:left="37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32" w:name="page33"/>
    <w:bookmarkEnd w:id="32"/>
    <w:p>
      <w:pPr>
        <w:jc w:val="center"/>
        <w:ind w:right="-2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52"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9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40" w:firstLine="316"/>
        <w:spacing w:after="0" w:line="500" w:lineRule="auto"/>
        <w:tabs>
          <w:tab w:leader="none" w:pos="9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right="46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2020 Annual Report on Form 20-F for the fiscal year ended December 31, 2020; and</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23, 2021 (only with respect to “Item 1.C—2020 and 2019 Board Compensation” and “Item 2.C—2020 and 2019 Executive Compensation” of Exhibit 99.4), March 31, 2021 and April 28, 2021 (only with respect to Exhibits 99.1 and 99.2).</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 Be Paid</w:t>
            </w:r>
          </w:p>
        </w:tc>
        <w:tc>
          <w:tcPr>
            <w:tcW w:w="0" w:type="dxa"/>
            <w:vAlign w:val="bottom"/>
          </w:tcPr>
          <w:p>
            <w:pPr>
              <w:spacing w:after="0"/>
              <w:rPr>
                <w:sz w:val="1"/>
                <w:szCs w:val="1"/>
                <w:color w:val="auto"/>
              </w:rPr>
            </w:pPr>
          </w:p>
        </w:tc>
      </w:tr>
      <w:tr>
        <w:trPr>
          <w:trHeight w:val="210"/>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D5EAEA"/>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38,185</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auto"/>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880" w:firstLine="2"/>
        <w:spacing w:after="0" w:line="527" w:lineRule="auto"/>
        <w:tabs>
          <w:tab w:leader="none" w:pos="3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 ** Includes the $24,375 previously paid in connection with unsold securities pursuant to Rule 415(a)(6).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validity of our common shares and certain other matters of Swiss law will be passed upon for us by Bär &amp; Karrer Ltd., Zurich, Switzerland.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matters of U.S. federal and New York State law will be passed upon for us by Davis Polk &amp; Wardwell LLP,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2839720</wp:posOffset>
            </wp:positionH>
            <wp:positionV relativeFrom="page">
              <wp:posOffset>380365</wp:posOffset>
            </wp:positionV>
            <wp:extent cx="1877060" cy="488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88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AC IMMUNE SA</w:t>
      </w:r>
    </w:p>
    <w:p>
      <w:pPr>
        <w:sectPr>
          <w:pgSz w:w="11900" w:h="16838" w:orient="portrait"/>
          <w:cols w:equalWidth="0" w:num="1">
            <w:col w:w="9019"/>
          </w:cols>
          <w:pgMar w:left="1440" w:top="1440"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Shares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Subscription Rights</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___________________________</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366395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enter into indemnification agreements with each of the members of our board of directors and executive management.</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225"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3" w:lineRule="exact"/>
        <w:rPr>
          <w:sz w:val="20"/>
          <w:szCs w:val="20"/>
          <w:color w:val="auto"/>
        </w:rPr>
      </w:pPr>
    </w:p>
    <w:p>
      <w:pPr>
        <w:ind w:left="720" w:right="500" w:hanging="647"/>
        <w:spacing w:after="0" w:line="250"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Articles of Association (incorporated herein by reference to Exhibit 3.1 to the Company’s Annual and Transition Report of Foreign Private Issuers on Form 20-F filed with the SEC on March 23, 2021)</w:t>
      </w:r>
    </w:p>
    <w:p>
      <w:pPr>
        <w:spacing w:after="0" w:line="1"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hyperlink w:anchor="page46">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46">
        <w:r>
          <w:rPr>
            <w:rFonts w:ascii="Arial" w:cs="Arial" w:eastAsia="Arial" w:hAnsi="Arial"/>
            <w:sz w:val="16"/>
            <w:szCs w:val="16"/>
            <w:u w:val="single" w:color="auto"/>
            <w:color w:val="0000EE"/>
          </w:rPr>
          <w:t>Form of Senior Indenture</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hyperlink w:anchor="page99">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99">
        <w:r>
          <w:rPr>
            <w:rFonts w:ascii="Arial" w:cs="Arial" w:eastAsia="Arial" w:hAnsi="Arial"/>
            <w:sz w:val="16"/>
            <w:szCs w:val="16"/>
            <w:u w:val="single" w:color="auto"/>
            <w:color w:val="0000EE"/>
          </w:rPr>
          <w:t>Form of Subordinated Indenture</w:t>
        </w:r>
      </w:hyperlink>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Senior Note</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Subordinated Note</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Agreement</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Purchase Contract</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Unit Agreement</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Subscription Rights Agreement (including form of Subscription Rights Certificate)</w:t>
      </w:r>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auto"/>
        </w:rPr>
      </w:pPr>
      <w:hyperlink w:anchor="page159">
        <w:r>
          <w:rPr>
            <w:rFonts w:ascii="Arial" w:cs="Arial" w:eastAsia="Arial" w:hAnsi="Arial"/>
            <w:sz w:val="18"/>
            <w:szCs w:val="18"/>
            <w:u w:val="single" w:color="auto"/>
            <w:color w:val="auto"/>
          </w:rPr>
          <w:t>5.1</w:t>
        </w:r>
      </w:hyperlink>
      <w:r>
        <w:rPr>
          <w:rFonts w:ascii="Arial" w:cs="Arial" w:eastAsia="Arial" w:hAnsi="Arial"/>
          <w:sz w:val="18"/>
          <w:szCs w:val="18"/>
          <w:u w:val="single" w:color="auto"/>
          <w:color w:val="auto"/>
        </w:rPr>
        <w:tab/>
      </w:r>
      <w:hyperlink w:anchor="page159">
        <w:r>
          <w:rPr>
            <w:rFonts w:ascii="Arial" w:cs="Arial" w:eastAsia="Arial" w:hAnsi="Arial"/>
            <w:sz w:val="16"/>
            <w:szCs w:val="16"/>
            <w:u w:val="single" w:color="auto"/>
            <w:color w:val="auto"/>
          </w:rPr>
          <w:t>Opinion of Bär &amp; Karrer Ltd., Swiss Counsel of AC Immune SA</w:t>
        </w:r>
      </w:hyperlink>
    </w:p>
    <w:p>
      <w:pPr>
        <w:spacing w:after="0" w:line="9" w:lineRule="exact"/>
        <w:rPr>
          <w:sz w:val="20"/>
          <w:szCs w:val="20"/>
          <w:color w:val="auto"/>
        </w:rPr>
      </w:pPr>
    </w:p>
    <w:p>
      <w:pPr>
        <w:ind w:left="60"/>
        <w:spacing w:after="0"/>
        <w:tabs>
          <w:tab w:leader="none" w:pos="700" w:val="left"/>
        </w:tabs>
        <w:rPr>
          <w:rFonts w:ascii="Arial" w:cs="Arial" w:eastAsia="Arial" w:hAnsi="Arial"/>
          <w:sz w:val="17"/>
          <w:szCs w:val="17"/>
          <w:u w:val="single" w:color="auto"/>
          <w:color w:val="0000EE"/>
        </w:rPr>
      </w:pPr>
      <w:hyperlink w:anchor="page163">
        <w:r>
          <w:rPr>
            <w:rFonts w:ascii="Arial" w:cs="Arial" w:eastAsia="Arial" w:hAnsi="Arial"/>
            <w:sz w:val="18"/>
            <w:szCs w:val="18"/>
            <w:u w:val="single" w:color="auto"/>
            <w:color w:val="0000EE"/>
          </w:rPr>
          <w:t>5.2</w:t>
        </w:r>
      </w:hyperlink>
      <w:r>
        <w:rPr>
          <w:rFonts w:ascii="Arial" w:cs="Arial" w:eastAsia="Arial" w:hAnsi="Arial"/>
          <w:sz w:val="18"/>
          <w:szCs w:val="18"/>
          <w:u w:val="single" w:color="auto"/>
          <w:color w:val="0000EE"/>
        </w:rPr>
        <w:tab/>
      </w:r>
      <w:hyperlink w:anchor="page163">
        <w:r>
          <w:rPr>
            <w:rFonts w:ascii="Arial" w:cs="Arial" w:eastAsia="Arial" w:hAnsi="Arial"/>
            <w:sz w:val="17"/>
            <w:szCs w:val="17"/>
            <w:u w:val="single" w:color="auto"/>
            <w:color w:val="0000EE"/>
          </w:rPr>
          <w:t>Opinion of Davis Polk &amp; Wardwell LLP</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hyperlink w:anchor="page167">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67">
        <w:r>
          <w:rPr>
            <w:rFonts w:ascii="Arial" w:cs="Arial" w:eastAsia="Arial" w:hAnsi="Arial"/>
            <w:sz w:val="16"/>
            <w:szCs w:val="16"/>
            <w:u w:val="single" w:color="auto"/>
            <w:color w:val="0000EE"/>
          </w:rPr>
          <w:t>Consent of PricewaterhouseCoopers SA</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auto"/>
        </w:rPr>
      </w:pPr>
      <w:hyperlink w:anchor="page159">
        <w:r>
          <w:rPr>
            <w:rFonts w:ascii="Arial" w:cs="Arial" w:eastAsia="Arial" w:hAnsi="Arial"/>
            <w:sz w:val="18"/>
            <w:szCs w:val="18"/>
            <w:u w:val="single" w:color="auto"/>
            <w:color w:val="auto"/>
          </w:rPr>
          <w:t>23.2</w:t>
        </w:r>
      </w:hyperlink>
      <w:r>
        <w:rPr>
          <w:rFonts w:ascii="Arial" w:cs="Arial" w:eastAsia="Arial" w:hAnsi="Arial"/>
          <w:sz w:val="18"/>
          <w:szCs w:val="18"/>
          <w:u w:val="single" w:color="auto"/>
          <w:color w:val="auto"/>
        </w:rPr>
        <w:tab/>
      </w:r>
      <w:hyperlink w:anchor="page159">
        <w:r>
          <w:rPr>
            <w:rFonts w:ascii="Arial" w:cs="Arial" w:eastAsia="Arial" w:hAnsi="Arial"/>
            <w:sz w:val="16"/>
            <w:szCs w:val="16"/>
            <w:u w:val="single" w:color="auto"/>
            <w:color w:val="auto"/>
          </w:rPr>
          <w:t>Consent of Bär &amp; Karrer Ltd., Swiss Counsel of AC Immune SA (included in exhibit 5.1)</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hyperlink w:anchor="page163">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w:anchor="page163">
        <w:r>
          <w:rPr>
            <w:rFonts w:ascii="Arial" w:cs="Arial" w:eastAsia="Arial" w:hAnsi="Arial"/>
            <w:sz w:val="16"/>
            <w:szCs w:val="16"/>
            <w:u w:val="single" w:color="auto"/>
            <w:color w:val="0000EE"/>
          </w:rPr>
          <w:t>Consent of Davis Polk &amp; Wardwell LLP (included in exhibit 5.2)</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auto"/>
        </w:rPr>
      </w:pPr>
      <w:hyperlink w:anchor="page44">
        <w:r>
          <w:rPr>
            <w:rFonts w:ascii="Arial" w:cs="Arial" w:eastAsia="Arial" w:hAnsi="Arial"/>
            <w:sz w:val="18"/>
            <w:szCs w:val="18"/>
            <w:u w:val="single" w:color="auto"/>
            <w:color w:val="auto"/>
          </w:rPr>
          <w:t>24.1</w:t>
        </w:r>
      </w:hyperlink>
      <w:r>
        <w:rPr>
          <w:rFonts w:ascii="Arial" w:cs="Arial" w:eastAsia="Arial" w:hAnsi="Arial"/>
          <w:sz w:val="18"/>
          <w:szCs w:val="18"/>
          <w:u w:val="single" w:color="auto"/>
          <w:color w:val="auto"/>
        </w:rPr>
        <w:tab/>
      </w:r>
      <w:hyperlink w:anchor="page44">
        <w:r>
          <w:rPr>
            <w:rFonts w:ascii="Arial" w:cs="Arial" w:eastAsia="Arial" w:hAnsi="Arial"/>
            <w:sz w:val="16"/>
            <w:szCs w:val="16"/>
            <w:u w:val="single" w:color="auto"/>
            <w:color w:val="auto"/>
          </w:rPr>
          <w:t>Powers of attorney (included on signature page to the registration statement)</w:t>
        </w:r>
      </w:hyperlink>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on Form T-1 for Senior Indenture</w:t>
      </w:r>
    </w:p>
    <w:p>
      <w:pPr>
        <w:spacing w:after="0" w:line="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Statement of Eligibility on Form T-1 for Subordinated Indenture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To be filed, if necessary, by amendment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0" w:name="page41"/>
    <w:bookmarkEnd w:id="40"/>
    <w:p>
      <w:pPr>
        <w:jc w:val="center"/>
        <w:ind w:right="-11"/>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252" w:hanging="252"/>
        <w:spacing w:after="0"/>
        <w:tabs>
          <w:tab w:leader="none" w:pos="2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72" w:hanging="248"/>
        <w:spacing w:after="0"/>
        <w:tabs>
          <w:tab w:leader="none" w:pos="5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72" w:hanging="224"/>
        <w:spacing w:after="0"/>
        <w:tabs>
          <w:tab w:leader="none" w:pos="87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332" w:right="40" w:firstLine="316"/>
        <w:spacing w:after="0" w:line="254" w:lineRule="auto"/>
        <w:tabs>
          <w:tab w:leader="none" w:pos="92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332" w:right="520" w:firstLine="316"/>
        <w:spacing w:after="0" w:line="277" w:lineRule="auto"/>
        <w:tabs>
          <w:tab w:leader="none" w:pos="97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652" w:right="100" w:firstLine="320"/>
        <w:spacing w:after="0" w:line="259" w:lineRule="auto"/>
        <w:tabs>
          <w:tab w:leader="none" w:pos="1271"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6" w:lineRule="exact"/>
        <w:rPr>
          <w:rFonts w:ascii="Arial" w:cs="Arial" w:eastAsia="Arial" w:hAnsi="Arial"/>
          <w:sz w:val="18"/>
          <w:szCs w:val="18"/>
          <w:color w:val="auto"/>
        </w:rPr>
      </w:pPr>
    </w:p>
    <w:p>
      <w:pPr>
        <w:ind w:left="652" w:firstLine="320"/>
        <w:spacing w:after="0" w:line="257" w:lineRule="auto"/>
        <w:tabs>
          <w:tab w:leader="none" w:pos="1261"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7" w:lineRule="exact"/>
        <w:rPr>
          <w:rFonts w:ascii="Arial" w:cs="Arial" w:eastAsia="Arial" w:hAnsi="Arial"/>
          <w:sz w:val="18"/>
          <w:szCs w:val="18"/>
          <w:color w:val="auto"/>
        </w:rPr>
      </w:pPr>
    </w:p>
    <w:p>
      <w:pPr>
        <w:ind w:left="652" w:right="200" w:firstLine="320"/>
        <w:spacing w:after="0" w:line="263" w:lineRule="auto"/>
        <w:tabs>
          <w:tab w:leader="none" w:pos="1261"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83" w:lineRule="exact"/>
        <w:rPr>
          <w:rFonts w:ascii="Arial" w:cs="Arial" w:eastAsia="Arial" w:hAnsi="Arial"/>
          <w:sz w:val="18"/>
          <w:szCs w:val="18"/>
          <w:color w:val="auto"/>
        </w:rPr>
      </w:pPr>
    </w:p>
    <w:p>
      <w:pPr>
        <w:ind w:left="-8" w:firstLine="332"/>
        <w:spacing w:after="0" w:line="263" w:lineRule="auto"/>
        <w:tabs>
          <w:tab w:leader="none" w:pos="5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8" w:right="80" w:firstLine="332"/>
        <w:spacing w:after="0" w:line="277" w:lineRule="auto"/>
        <w:tabs>
          <w:tab w:leader="none" w:pos="5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right="200" w:firstLine="332"/>
        <w:spacing w:after="0" w:line="255" w:lineRule="auto"/>
        <w:tabs>
          <w:tab w:leader="none" w:pos="5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w:t>
      </w: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1" w:name="page42"/>
    <w:bookmarkEnd w:id="41"/>
    <w:p>
      <w:pPr>
        <w:ind w:right="440"/>
        <w:spacing w:after="0" w:line="263" w:lineRule="auto"/>
        <w:rPr>
          <w:sz w:val="20"/>
          <w:szCs w:val="20"/>
          <w:color w:val="auto"/>
        </w:rPr>
      </w:pPr>
      <w:r>
        <w:rPr>
          <w:rFonts w:ascii="Arial" w:cs="Arial" w:eastAsia="Arial" w:hAnsi="Arial"/>
          <w:sz w:val="18"/>
          <w:szCs w:val="18"/>
          <w:color w:val="auto"/>
        </w:rPr>
        <w:t>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4" w:lineRule="exact"/>
        <w:rPr>
          <w:sz w:val="20"/>
          <w:szCs w:val="20"/>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340" w:right="280" w:firstLine="316"/>
        <w:spacing w:after="0" w:line="277" w:lineRule="auto"/>
        <w:tabs>
          <w:tab w:leader="none" w:pos="9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340" w:right="120" w:firstLine="316"/>
        <w:spacing w:after="0" w:line="269" w:lineRule="auto"/>
        <w:tabs>
          <w:tab w:leader="none" w:pos="949"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1" w:lineRule="exact"/>
        <w:rPr>
          <w:rFonts w:ascii="Arial" w:cs="Arial" w:eastAsia="Arial" w:hAnsi="Arial"/>
          <w:sz w:val="17"/>
          <w:szCs w:val="17"/>
          <w:color w:val="auto"/>
        </w:rPr>
      </w:pPr>
    </w:p>
    <w:p>
      <w:pPr>
        <w:ind w:right="360" w:firstLine="332"/>
        <w:spacing w:after="0" w:line="277" w:lineRule="auto"/>
        <w:tabs>
          <w:tab w:leader="none" w:pos="5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880" w:hanging="224"/>
        <w:spacing w:after="0"/>
        <w:tabs>
          <w:tab w:leader="none" w:pos="8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340" w:right="640" w:firstLine="316"/>
        <w:spacing w:after="0" w:line="277" w:lineRule="auto"/>
        <w:tabs>
          <w:tab w:leader="none" w:pos="92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340" w:right="20" w:firstLine="316"/>
        <w:spacing w:after="0" w:line="277" w:lineRule="auto"/>
        <w:tabs>
          <w:tab w:leader="none" w:pos="9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8"/>
        <w:spacing w:after="0" w:line="25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ind w:right="80"/>
        <w:spacing w:after="0" w:line="273" w:lineRule="auto"/>
        <w:rPr>
          <w:sz w:val="20"/>
          <w:szCs w:val="20"/>
          <w:color w:val="auto"/>
        </w:rPr>
      </w:pPr>
      <w:r>
        <w:rPr>
          <w:rFonts w:ascii="Arial" w:cs="Arial" w:eastAsia="Arial" w:hAnsi="Arial"/>
          <w:sz w:val="17"/>
          <w:szCs w:val="17"/>
          <w:color w:val="auto"/>
        </w:rPr>
        <w:t>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firstLine="332"/>
        <w:spacing w:after="0" w:line="286" w:lineRule="auto"/>
        <w:tabs>
          <w:tab w:leader="none" w:pos="579"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right="80" w:firstLine="332"/>
        <w:spacing w:after="0" w:line="263" w:lineRule="auto"/>
        <w:tabs>
          <w:tab w:leader="none" w:pos="5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right="20" w:firstLine="8"/>
        <w:spacing w:after="0" w:line="260"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section 310 of the Trust Indenture Act (“Act”) in accordance with the rules and regulations prescribed by the Commission under section 305(b)(2) of the Act.</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April 28, 2021.</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Joerg Hornstein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72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14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Date</w:t>
            </w:r>
          </w:p>
        </w:tc>
      </w:tr>
      <w:tr>
        <w:trPr>
          <w:trHeight w:val="195"/>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20" w:type="dxa"/>
            <w:vAlign w:val="bottom"/>
          </w:tcPr>
          <w:p>
            <w:pPr>
              <w:jc w:val="center"/>
              <w:spacing w:after="0" w:line="195" w:lineRule="exact"/>
              <w:rPr>
                <w:sz w:val="20"/>
                <w:szCs w:val="20"/>
                <w:color w:val="auto"/>
              </w:rPr>
            </w:pPr>
            <w:r>
              <w:rPr>
                <w:rFonts w:ascii="Arial" w:cs="Arial" w:eastAsia="Arial" w:hAnsi="Arial"/>
                <w:sz w:val="18"/>
                <w:szCs w:val="18"/>
                <w:color w:val="auto"/>
                <w:w w:val="93"/>
              </w:rPr>
              <w:t>Chief Executive Officer</w:t>
            </w: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 Pfeifer</w:t>
            </w:r>
          </w:p>
        </w:tc>
        <w:tc>
          <w:tcPr>
            <w:tcW w:w="2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0"/>
                <w:szCs w:val="20"/>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rPr>
              <w:t>April 28, 2021</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Andrea Pfeifer</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03"/>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w:t>
            </w: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Joerg Hornstein</w:t>
            </w:r>
          </w:p>
        </w:tc>
        <w:tc>
          <w:tcPr>
            <w:tcW w:w="2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200" w:type="dxa"/>
            <w:vAlign w:val="bottom"/>
          </w:tcPr>
          <w:p>
            <w:pPr>
              <w:spacing w:after="0"/>
              <w:rPr>
                <w:sz w:val="20"/>
                <w:szCs w:val="20"/>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rPr>
              <w:t>April 28, 2021</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Joerg Hornstein</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Douglas Williams</w:t>
            </w:r>
          </w:p>
        </w:tc>
        <w:tc>
          <w:tcPr>
            <w:tcW w:w="2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200" w:type="dxa"/>
            <w:vAlign w:val="bottom"/>
          </w:tcPr>
          <w:p>
            <w:pPr>
              <w:spacing w:after="0"/>
              <w:rPr>
                <w:sz w:val="24"/>
                <w:szCs w:val="24"/>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rPr>
              <w:t>April 28, 2021</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Douglas Williams</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Velasco</w:t>
            </w:r>
          </w:p>
        </w:tc>
        <w:tc>
          <w:tcPr>
            <w:tcW w:w="2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Vice-Chairman and Director</w:t>
            </w:r>
          </w:p>
        </w:tc>
        <w:tc>
          <w:tcPr>
            <w:tcW w:w="200" w:type="dxa"/>
            <w:vAlign w:val="bottom"/>
          </w:tcPr>
          <w:p>
            <w:pPr>
              <w:spacing w:after="0"/>
              <w:rPr>
                <w:sz w:val="24"/>
                <w:szCs w:val="24"/>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rPr>
              <w:t>April 28, 2021</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Martin Velasco</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Bollmann</w:t>
            </w:r>
          </w:p>
        </w:tc>
        <w:tc>
          <w:tcPr>
            <w:tcW w:w="2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rPr>
              <w:t>April 28, 2021</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Peter Bollmann</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526"/>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II-5</w:t>
            </w: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4" w:name="page45"/>
    <w:bookmarkEnd w:id="44"/>
    <w:p>
      <w:pPr>
        <w:jc w:val="center"/>
        <w:ind w:right="980"/>
        <w:spacing w:after="0"/>
        <w:rPr>
          <w:sz w:val="20"/>
          <w:szCs w:val="20"/>
          <w:color w:val="auto"/>
        </w:rPr>
      </w:pPr>
      <w:r>
        <w:rPr>
          <w:rFonts w:ascii="Arial" w:cs="Arial" w:eastAsia="Arial" w:hAnsi="Arial"/>
          <w:sz w:val="18"/>
          <w:szCs w:val="18"/>
          <w:color w:val="auto"/>
        </w:rPr>
        <w:t>/s/ Thomas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Thomas Graney</w:t>
      </w:r>
    </w:p>
    <w:p>
      <w:pPr>
        <w:spacing w:after="0" w:line="25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Werner Lanthaler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Werner Lanthaler</w:t>
      </w:r>
    </w:p>
    <w:p>
      <w:pPr>
        <w:spacing w:after="0" w:line="27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Roy Twyman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Roy Twyman</w:t>
      </w:r>
    </w:p>
    <w:p>
      <w:pPr>
        <w:spacing w:after="0" w:line="29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Carl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Carl June</w:t>
      </w:r>
    </w:p>
    <w:p>
      <w:pPr>
        <w:spacing w:after="0" w:line="200" w:lineRule="exact"/>
        <w:rPr>
          <w:sz w:val="20"/>
          <w:szCs w:val="20"/>
          <w:color w:val="auto"/>
        </w:rPr>
      </w:pPr>
    </w:p>
    <w:p>
      <w:pPr>
        <w:spacing w:after="0" w:line="30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Alan Colowick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Alan Colowick</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27089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Colleen A. De Vries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SVP on behalf of Cogency Global Inc.</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28, 2021</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April 28, 2021</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28,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April 28,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April 28, 2021</w:t>
      </w:r>
    </w:p>
    <w:p>
      <w:pPr>
        <w:sectPr>
          <w:pgSz w:w="11900" w:h="16838" w:orient="portrait"/>
          <w:cols w:equalWidth="0" w:num="3">
            <w:col w:w="3780" w:space="720"/>
            <w:col w:w="3940" w:space="720"/>
            <w:col w:w="1060"/>
          </w:cols>
          <w:pgMar w:left="1060" w:top="584" w:right="6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SA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294005</wp:posOffset>
            </wp:positionV>
            <wp:extent cx="3840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319405</wp:posOffset>
            </wp:positionV>
            <wp:extent cx="38404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Indenture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00" w:type="dxa"/>
            <w:vAlign w:val="bottom"/>
          </w:tcPr>
          <w:p>
            <w:pPr>
              <w:spacing w:after="0"/>
              <w:rPr>
                <w:sz w:val="24"/>
                <w:szCs w:val="24"/>
                <w:color w:val="auto"/>
              </w:rPr>
            </w:pPr>
          </w:p>
        </w:tc>
        <w:tc>
          <w:tcPr>
            <w:tcW w:w="3380" w:type="dxa"/>
            <w:vAlign w:val="bottom"/>
          </w:tcPr>
          <w:p>
            <w:pPr>
              <w:ind w:left="2080"/>
              <w:spacing w:after="0"/>
              <w:rPr>
                <w:sz w:val="20"/>
                <w:szCs w:val="20"/>
                <w:color w:val="auto"/>
              </w:rPr>
            </w:pPr>
            <w:r>
              <w:rPr>
                <w:rFonts w:ascii="Arial" w:cs="Arial" w:eastAsia="Arial" w:hAnsi="Arial"/>
                <w:sz w:val="22"/>
                <w:szCs w:val="22"/>
                <w:b w:val="1"/>
                <w:bCs w:val="1"/>
                <w:color w:val="auto"/>
              </w:rPr>
              <w:t>Dated as of</w:t>
            </w:r>
          </w:p>
        </w:tc>
        <w:tc>
          <w:tcPr>
            <w:tcW w:w="2660" w:type="dxa"/>
            <w:vAlign w:val="bottom"/>
          </w:tcPr>
          <w:p>
            <w:pPr>
              <w:jc w:val="right"/>
              <w:ind w:right="1952"/>
              <w:spacing w:after="0"/>
              <w:rPr>
                <w:sz w:val="20"/>
                <w:szCs w:val="20"/>
                <w:color w:val="auto"/>
              </w:rPr>
            </w:pPr>
            <w:r>
              <w:rPr>
                <w:rFonts w:ascii="Arial" w:cs="Arial" w:eastAsia="Arial" w:hAnsi="Arial"/>
                <w:sz w:val="22"/>
                <w:szCs w:val="22"/>
                <w:b w:val="1"/>
                <w:bCs w:val="1"/>
                <w:color w:val="auto"/>
              </w:rPr>
              <w:t>, 20</w:t>
            </w:r>
          </w:p>
        </w:tc>
        <w:tc>
          <w:tcPr>
            <w:tcW w:w="2600" w:type="dxa"/>
            <w:vAlign w:val="bottom"/>
          </w:tcPr>
          <w:p>
            <w:pPr>
              <w:spacing w:after="0"/>
              <w:rPr>
                <w:sz w:val="24"/>
                <w:szCs w:val="24"/>
                <w:color w:val="auto"/>
              </w:rPr>
            </w:pPr>
          </w:p>
        </w:tc>
      </w:tr>
      <w:tr>
        <w:trPr>
          <w:trHeight w:val="233"/>
        </w:trPr>
        <w:tc>
          <w:tcPr>
            <w:tcW w:w="260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600" w:type="dxa"/>
            <w:vAlign w:val="bottom"/>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290"/>
        </w:trPr>
        <w:tc>
          <w:tcPr>
            <w:tcW w:w="26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jc w:val="center"/>
              <w:ind w:left="161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540" w:type="dxa"/>
            <w:vAlign w:val="bottom"/>
          </w:tcPr>
          <w:p>
            <w:pPr>
              <w:jc w:val="center"/>
              <w:ind w:left="1670"/>
              <w:spacing w:after="0"/>
              <w:rPr>
                <w:sz w:val="20"/>
                <w:szCs w:val="20"/>
                <w:color w:val="auto"/>
              </w:rPr>
            </w:pPr>
            <w:r>
              <w:rPr>
                <w:rFonts w:ascii="Arial" w:cs="Arial" w:eastAsia="Arial" w:hAnsi="Arial"/>
                <w:sz w:val="18"/>
                <w:szCs w:val="18"/>
                <w:b w:val="1"/>
                <w:bCs w:val="1"/>
                <w:color w:val="auto"/>
                <w:w w:val="89"/>
              </w:rPr>
              <w:t>______________________</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175"/>
        </w:trPr>
        <w:tc>
          <w:tcPr>
            <w:tcW w:w="95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9540" w:type="dxa"/>
            <w:vAlign w:val="bottom"/>
          </w:tcPr>
          <w:p>
            <w:pPr>
              <w:jc w:val="center"/>
              <w:ind w:left="1630"/>
              <w:spacing w:after="0"/>
              <w:rPr>
                <w:sz w:val="20"/>
                <w:szCs w:val="20"/>
                <w:color w:val="auto"/>
              </w:rPr>
            </w:pPr>
            <w:r>
              <w:rPr>
                <w:rFonts w:ascii="Arial" w:cs="Arial" w:eastAsia="Arial" w:hAnsi="Arial"/>
                <w:sz w:val="18"/>
                <w:szCs w:val="18"/>
                <w:color w:val="auto"/>
                <w:w w:val="96"/>
              </w:rPr>
              <w:t>A</w:t>
            </w:r>
            <w:r>
              <w:rPr>
                <w:rFonts w:ascii="Arial" w:cs="Arial" w:eastAsia="Arial" w:hAnsi="Arial"/>
                <w:sz w:val="12"/>
                <w:szCs w:val="12"/>
                <w:color w:val="auto"/>
                <w:w w:val="96"/>
              </w:rPr>
              <w:t>RTICLE</w:t>
            </w:r>
            <w:r>
              <w:rPr>
                <w:rFonts w:ascii="Arial" w:cs="Arial" w:eastAsia="Arial" w:hAnsi="Arial"/>
                <w:sz w:val="18"/>
                <w:szCs w:val="18"/>
                <w:color w:val="auto"/>
                <w:w w:val="96"/>
              </w:rPr>
              <w:t xml:space="preserve"> 1 DEFINITIONS AND INCORPORATION BY REFERENCE</w:t>
            </w:r>
          </w:p>
        </w:tc>
        <w:tc>
          <w:tcPr>
            <w:tcW w:w="1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40" w:type="dxa"/>
            <w:vAlign w:val="bottom"/>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9540" w:type="dxa"/>
            <w:vAlign w:val="bottom"/>
          </w:tcPr>
          <w:p>
            <w:pPr>
              <w:jc w:val="center"/>
              <w:ind w:left="1630"/>
              <w:spacing w:after="0"/>
              <w:rPr>
                <w:sz w:val="20"/>
                <w:szCs w:val="20"/>
                <w:color w:val="auto"/>
              </w:rPr>
            </w:pPr>
            <w:r>
              <w:rPr>
                <w:rFonts w:ascii="Arial" w:cs="Arial" w:eastAsia="Arial" w:hAnsi="Arial"/>
                <w:sz w:val="18"/>
                <w:szCs w:val="18"/>
                <w:color w:val="auto"/>
                <w:w w:val="95"/>
              </w:rPr>
              <w:t>A</w:t>
            </w:r>
            <w:r>
              <w:rPr>
                <w:rFonts w:ascii="Arial" w:cs="Arial" w:eastAsia="Arial" w:hAnsi="Arial"/>
                <w:sz w:val="12"/>
                <w:szCs w:val="12"/>
                <w:color w:val="auto"/>
                <w:w w:val="95"/>
              </w:rPr>
              <w:t>RTICLE</w:t>
            </w:r>
            <w:r>
              <w:rPr>
                <w:rFonts w:ascii="Arial" w:cs="Arial" w:eastAsia="Arial" w:hAnsi="Arial"/>
                <w:sz w:val="18"/>
                <w:szCs w:val="18"/>
                <w:color w:val="auto"/>
                <w:w w:val="95"/>
              </w:rPr>
              <w:t xml:space="preserve"> 2 THE SECURITIES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Denomination and Date of Securities; Payments of Interest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Paying Agent to Hold Money in Trust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Defaulted Interest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9540" w:type="dxa"/>
            <w:vAlign w:val="bottom"/>
          </w:tcPr>
          <w:p>
            <w:pPr>
              <w:jc w:val="center"/>
              <w:ind w:left="1610"/>
              <w:spacing w:after="0"/>
              <w:rPr>
                <w:sz w:val="20"/>
                <w:szCs w:val="20"/>
                <w:color w:val="auto"/>
              </w:rPr>
            </w:pPr>
            <w:r>
              <w:rPr>
                <w:rFonts w:ascii="Arial" w:cs="Arial" w:eastAsia="Arial" w:hAnsi="Arial"/>
                <w:sz w:val="18"/>
                <w:szCs w:val="18"/>
                <w:color w:val="auto"/>
                <w:w w:val="96"/>
              </w:rPr>
              <w:t>A</w:t>
            </w:r>
            <w:r>
              <w:rPr>
                <w:rFonts w:ascii="Arial" w:cs="Arial" w:eastAsia="Arial" w:hAnsi="Arial"/>
                <w:sz w:val="12"/>
                <w:szCs w:val="12"/>
                <w:color w:val="auto"/>
                <w:w w:val="96"/>
              </w:rPr>
              <w:t>RTICLE</w:t>
            </w:r>
            <w:r>
              <w:rPr>
                <w:rFonts w:ascii="Arial" w:cs="Arial" w:eastAsia="Arial" w:hAnsi="Arial"/>
                <w:sz w:val="18"/>
                <w:szCs w:val="18"/>
                <w:color w:val="auto"/>
                <w:w w:val="96"/>
              </w:rPr>
              <w:t xml:space="preserve"> 3 REDEMPTION</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40" w:type="dxa"/>
            <w:vAlign w:val="bottom"/>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 of Redemption; Partial Redemptions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Payment Of Securities Called For Redemption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9540" w:type="dxa"/>
            <w:vAlign w:val="bottom"/>
          </w:tcPr>
          <w:p>
            <w:pPr>
              <w:jc w:val="center"/>
              <w:ind w:left="1630"/>
              <w:spacing w:after="0"/>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4 COVENANTS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4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Additional Amounts</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040" w:type="dxa"/>
            <w:vAlign w:val="bottom"/>
          </w:tcPr>
          <w:p>
            <w:pPr>
              <w:jc w:val="center"/>
              <w:ind w:left="1130"/>
              <w:spacing w:after="0"/>
              <w:rPr>
                <w:sz w:val="20"/>
                <w:szCs w:val="20"/>
                <w:color w:val="auto"/>
              </w:rPr>
            </w:pPr>
            <w:r>
              <w:rPr>
                <w:rFonts w:ascii="Arial" w:cs="Arial" w:eastAsia="Arial" w:hAnsi="Arial"/>
                <w:sz w:val="18"/>
                <w:szCs w:val="18"/>
                <w:color w:val="auto"/>
                <w:w w:val="93"/>
              </w:rPr>
              <w:t>A</w:t>
            </w:r>
            <w:r>
              <w:rPr>
                <w:rFonts w:ascii="Arial" w:cs="Arial" w:eastAsia="Arial" w:hAnsi="Arial"/>
                <w:sz w:val="12"/>
                <w:szCs w:val="12"/>
                <w:color w:val="auto"/>
                <w:w w:val="93"/>
              </w:rPr>
              <w:t>RTICLE</w:t>
            </w:r>
            <w:r>
              <w:rPr>
                <w:rFonts w:ascii="Arial" w:cs="Arial" w:eastAsia="Arial" w:hAnsi="Arial"/>
                <w:sz w:val="18"/>
                <w:szCs w:val="18"/>
                <w:color w:val="auto"/>
                <w:w w:val="93"/>
              </w:rPr>
              <w:t xml:space="preserve"> 5 SUCCESSOR CORPORATION</w:t>
            </w:r>
          </w:p>
        </w:tc>
        <w:tc>
          <w:tcPr>
            <w:tcW w:w="1200" w:type="dxa"/>
            <w:vAlign w:val="bottom"/>
          </w:tcPr>
          <w:p>
            <w:pPr>
              <w:spacing w:after="0"/>
              <w:rPr>
                <w:sz w:val="24"/>
                <w:szCs w:val="24"/>
                <w:color w:val="auto"/>
              </w:rPr>
            </w:pPr>
          </w:p>
        </w:tc>
      </w:tr>
      <w:tr>
        <w:trPr>
          <w:trHeight w:val="418"/>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When Company May Merge, Etc</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040" w:type="dxa"/>
            <w:vAlign w:val="bottom"/>
          </w:tcPr>
          <w:p>
            <w:pPr>
              <w:jc w:val="center"/>
              <w:ind w:left="1130"/>
              <w:spacing w:after="0"/>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6 DEFAULT AND REMEDIES</w:t>
            </w:r>
          </w:p>
        </w:tc>
        <w:tc>
          <w:tcPr>
            <w:tcW w:w="1200" w:type="dxa"/>
            <w:vAlign w:val="bottom"/>
          </w:tcPr>
          <w:p>
            <w:pPr>
              <w:spacing w:after="0"/>
              <w:rPr>
                <w:sz w:val="24"/>
                <w:szCs w:val="24"/>
                <w:color w:val="auto"/>
              </w:rPr>
            </w:pPr>
          </w:p>
        </w:tc>
      </w:tr>
      <w:tr>
        <w:trPr>
          <w:trHeight w:val="418"/>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Undertaking for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Rights and Remedies Cumulative</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0040" w:type="dxa"/>
            <w:vAlign w:val="bottom"/>
          </w:tcPr>
          <w:p>
            <w:pPr>
              <w:jc w:val="center"/>
              <w:ind w:left="1110"/>
              <w:spacing w:after="0"/>
              <w:rPr>
                <w:sz w:val="20"/>
                <w:szCs w:val="20"/>
                <w:color w:val="auto"/>
              </w:rPr>
            </w:pPr>
            <w:r>
              <w:rPr>
                <w:rFonts w:ascii="Arial" w:cs="Arial" w:eastAsia="Arial" w:hAnsi="Arial"/>
                <w:sz w:val="18"/>
                <w:szCs w:val="18"/>
                <w:color w:val="auto"/>
                <w:w w:val="95"/>
              </w:rPr>
              <w:t>A</w:t>
            </w:r>
            <w:r>
              <w:rPr>
                <w:rFonts w:ascii="Arial" w:cs="Arial" w:eastAsia="Arial" w:hAnsi="Arial"/>
                <w:sz w:val="12"/>
                <w:szCs w:val="12"/>
                <w:color w:val="auto"/>
                <w:w w:val="95"/>
              </w:rPr>
              <w:t>RTICLE</w:t>
            </w:r>
            <w:r>
              <w:rPr>
                <w:rFonts w:ascii="Arial" w:cs="Arial" w:eastAsia="Arial" w:hAnsi="Arial"/>
                <w:sz w:val="18"/>
                <w:szCs w:val="18"/>
                <w:color w:val="auto"/>
                <w:w w:val="95"/>
              </w:rPr>
              <w:t xml:space="preserve"> 7 TRUSTEE</w:t>
            </w:r>
          </w:p>
        </w:tc>
        <w:tc>
          <w:tcPr>
            <w:tcW w:w="1200" w:type="dxa"/>
            <w:vAlign w:val="bottom"/>
          </w:tcPr>
          <w:p>
            <w:pPr>
              <w:spacing w:after="0"/>
              <w:rPr>
                <w:sz w:val="24"/>
                <w:szCs w:val="24"/>
                <w:color w:val="auto"/>
              </w:rPr>
            </w:pPr>
          </w:p>
        </w:tc>
      </w:tr>
      <w:tr>
        <w:trPr>
          <w:trHeight w:val="418"/>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Acceptance of Appointment by Successor</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040" w:type="dxa"/>
            <w:vAlign w:val="bottom"/>
          </w:tcPr>
          <w:p>
            <w:pPr>
              <w:jc w:val="center"/>
              <w:ind w:left="1130"/>
              <w:spacing w:after="0"/>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8 SATISFACTION AND DISCHARGE OF INDENTURE; UNCLAIMED MONEYS</w:t>
            </w:r>
          </w:p>
        </w:tc>
        <w:tc>
          <w:tcPr>
            <w:tcW w:w="1200" w:type="dxa"/>
            <w:vAlign w:val="bottom"/>
          </w:tcPr>
          <w:p>
            <w:pPr>
              <w:spacing w:after="0"/>
              <w:rPr>
                <w:sz w:val="24"/>
                <w:szCs w:val="24"/>
                <w:color w:val="auto"/>
              </w:rPr>
            </w:pPr>
          </w:p>
        </w:tc>
      </w:tr>
      <w:tr>
        <w:trPr>
          <w:trHeight w:val="418"/>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Return of Moneys Held by Trustee and Paying Agent Unclaimed for Two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Defeasance and Discharge of Indenture</w:t>
            </w: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Qualifying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620" w:type="dxa"/>
            <w:vAlign w:val="bottom"/>
          </w:tcPr>
          <w:p>
            <w:pPr>
              <w:ind w:left="33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9 AMENDMENTS, SUPPLEMENTS AND WAIVERS</w:t>
            </w:r>
          </w:p>
        </w:tc>
        <w:tc>
          <w:tcPr>
            <w:tcW w:w="1620" w:type="dxa"/>
            <w:vAlign w:val="bottom"/>
          </w:tcPr>
          <w:p>
            <w:pPr>
              <w:spacing w:after="0"/>
              <w:rPr>
                <w:sz w:val="24"/>
                <w:szCs w:val="24"/>
                <w:color w:val="auto"/>
              </w:rPr>
            </w:pP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w:t>
            </w:r>
          </w:p>
        </w:tc>
        <w:tc>
          <w:tcPr>
            <w:tcW w:w="1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9620" w:type="dxa"/>
            <w:vAlign w:val="bottom"/>
          </w:tcPr>
          <w:p>
            <w:pPr>
              <w:ind w:left="44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10 MISCELLANEOUS</w:t>
            </w:r>
          </w:p>
        </w:tc>
        <w:tc>
          <w:tcPr>
            <w:tcW w:w="1620" w:type="dxa"/>
            <w:vAlign w:val="bottom"/>
          </w:tcPr>
          <w:p>
            <w:pPr>
              <w:spacing w:after="0"/>
              <w:rPr>
                <w:sz w:val="24"/>
                <w:szCs w:val="24"/>
                <w:color w:val="auto"/>
              </w:rPr>
            </w:pP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Ownership</w:t>
            </w: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Payment Date Other Than a Business Day</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No Adverse Interpretation of Other Agreements</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Incorporators, Stockholders, Officers and Directors of Company Exempt from Individual Liability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Judgment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Force Majeure</w:t>
            </w: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340" w:firstLine="648"/>
        <w:spacing w:after="0" w:line="277" w:lineRule="auto"/>
        <w:rPr>
          <w:sz w:val="20"/>
          <w:szCs w:val="20"/>
          <w:color w:val="auto"/>
        </w:rPr>
      </w:pPr>
      <w:r>
        <w:rPr>
          <w:rFonts w:ascii="Arial" w:cs="Arial" w:eastAsia="Arial" w:hAnsi="Arial"/>
          <w:sz w:val="18"/>
          <w:szCs w:val="18"/>
          <w:color w:val="auto"/>
        </w:rPr>
        <w:t>SENIOR INDENTURE, dated as of , 20 , between AC Immune SA, a Swiss stock corporation organized under the laws of Switzerland, as the Company, and, as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the Company has duly authorized the issue from time to time of its senior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16"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color w:val="auto"/>
        </w:rPr>
        <w:t>deposits in London, or with respect to Securities denominated in a specified currency other than United States dollars, in the principal financial center of the country of the specified currency.</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Attention: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International Financial Reporting Standards as issued by the International Accounting Standards Board, as in effect as of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5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16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of a Security means the principal amount of, and, unless the context indicates otherwise, includes any premium payable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07"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83"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 xml:space="preserve"> Each of the following terms is defined in the section set forth opposite such 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4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Section</w:t>
            </w:r>
          </w:p>
        </w:tc>
      </w:tr>
      <w:tr>
        <w:trPr>
          <w:trHeight w:val="195"/>
        </w:trPr>
        <w:tc>
          <w:tcPr>
            <w:tcW w:w="8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Authenticating Agent</w:t>
            </w:r>
          </w:p>
        </w:tc>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91"/>
              </w:rPr>
              <w:t>2.02</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Cash Transaction</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7.03</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Dollars</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4.02</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Event of Default</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6.01</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Judgment Currency</w:t>
            </w:r>
          </w:p>
        </w:tc>
        <w:tc>
          <w:tcPr>
            <w:tcW w:w="4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10.15(a)</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mandatory sinking fund payment</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3.05</w:t>
            </w:r>
          </w:p>
        </w:tc>
      </w:tr>
      <w:tr>
        <w:trPr>
          <w:trHeight w:val="216"/>
        </w:trPr>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optional sinking fund payment</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3.05</w:t>
            </w:r>
          </w:p>
        </w:tc>
      </w:tr>
      <w:tr>
        <w:trPr>
          <w:trHeight w:val="230"/>
        </w:trPr>
        <w:tc>
          <w:tcPr>
            <w:tcW w:w="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Paying Agent</w:t>
            </w:r>
          </w:p>
        </w:tc>
        <w:tc>
          <w:tcPr>
            <w:tcW w:w="7220" w:type="dxa"/>
            <w:vAlign w:val="bottom"/>
            <w:gridSpan w:val="3"/>
          </w:tcPr>
          <w:p>
            <w:pPr>
              <w:jc w:val="center"/>
              <w:ind w:left="4970"/>
              <w:spacing w:after="0"/>
              <w:rPr>
                <w:sz w:val="20"/>
                <w:szCs w:val="20"/>
                <w:color w:val="auto"/>
              </w:rPr>
            </w:pPr>
            <w:r>
              <w:rPr>
                <w:rFonts w:ascii="Arial" w:cs="Arial" w:eastAsia="Arial" w:hAnsi="Arial"/>
                <w:sz w:val="18"/>
                <w:szCs w:val="18"/>
                <w:color w:val="auto"/>
                <w:w w:val="91"/>
              </w:rPr>
              <w:t>2.05</w:t>
            </w:r>
          </w:p>
        </w:tc>
      </w:tr>
      <w:tr>
        <w:trPr>
          <w:trHeight w:val="324"/>
        </w:trPr>
        <w:tc>
          <w:tcPr>
            <w:tcW w:w="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right"/>
              <w:ind w:right="327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3" w:name="page54"/>
    <w:bookmarkEnd w:id="53"/>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record date</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2.04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Registrar</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2.05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Required Currency</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89"/>
              </w:rPr>
              <w:t>10.15(a)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Security Register</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2.05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self-liquidating paper</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7.03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sinking fund payment date</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3.05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Surviving Entity</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5.01(a)</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tranche</w:t>
            </w:r>
          </w:p>
        </w:tc>
        <w:tc>
          <w:tcPr>
            <w:tcW w:w="4520" w:type="dxa"/>
            <w:vAlign w:val="bottom"/>
          </w:tcPr>
          <w:p>
            <w:pPr>
              <w:jc w:val="center"/>
              <w:ind w:left="3830"/>
              <w:spacing w:after="0"/>
              <w:rPr>
                <w:sz w:val="20"/>
                <w:szCs w:val="20"/>
                <w:color w:val="auto"/>
              </w:rPr>
            </w:pPr>
            <w:r>
              <w:rPr>
                <w:rFonts w:ascii="Arial" w:cs="Arial" w:eastAsia="Arial" w:hAnsi="Arial"/>
                <w:sz w:val="18"/>
                <w:szCs w:val="18"/>
                <w:color w:val="auto"/>
                <w:w w:val="91"/>
              </w:rPr>
              <w:t>2.14</w:t>
            </w:r>
          </w:p>
        </w:tc>
      </w:tr>
    </w:tbl>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xml:space="preserve">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Unless the context otherwise requires:</w:t>
      </w:r>
    </w:p>
    <w:p>
      <w:pPr>
        <w:spacing w:after="0" w:line="225" w:lineRule="exact"/>
        <w:rPr>
          <w:sz w:val="20"/>
          <w:szCs w:val="20"/>
          <w:color w:val="auto"/>
        </w:rPr>
      </w:pPr>
    </w:p>
    <w:p>
      <w:pPr>
        <w:ind w:left="1360" w:hanging="510"/>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1400" w:hanging="550"/>
        <w:spacing w:after="0"/>
        <w:tabs>
          <w:tab w:leader="none" w:pos="1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Article, Section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subdivision;</w:t>
      </w:r>
    </w:p>
    <w:p>
      <w:pPr>
        <w:spacing w:after="0" w:line="210" w:lineRule="exact"/>
        <w:rPr>
          <w:rFonts w:ascii="Arial" w:cs="Arial" w:eastAsia="Arial" w:hAnsi="Arial"/>
          <w:sz w:val="16"/>
          <w:szCs w:val="16"/>
          <w:color w:val="auto"/>
        </w:rPr>
      </w:pPr>
    </w:p>
    <w:p>
      <w:pPr>
        <w:ind w:left="1380" w:hanging="530"/>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225" w:lineRule="exact"/>
        <w:rPr>
          <w:rFonts w:ascii="Arial" w:cs="Arial" w:eastAsia="Arial" w:hAnsi="Arial"/>
          <w:sz w:val="18"/>
          <w:szCs w:val="18"/>
          <w:color w:val="auto"/>
        </w:rPr>
      </w:pPr>
    </w:p>
    <w:p>
      <w:pPr>
        <w:ind w:right="60" w:firstLine="850"/>
        <w:spacing w:after="0" w:line="277" w:lineRule="auto"/>
        <w:tabs>
          <w:tab w:leader="none" w:pos="13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xml:space="preserve">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xml:space="preserve"> Two Officers shall execute the Securities for the Company by facsimile or manual signature in the name and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24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The Trustee, at the expense of the Company, may appoint an authenticating agent (the “</w:t>
      </w:r>
      <w:r>
        <w:rPr>
          <w:rFonts w:ascii="Arial" w:cs="Arial" w:eastAsia="Arial" w:hAnsi="Arial"/>
          <w:sz w:val="18"/>
          <w:szCs w:val="18"/>
          <w:b w:val="1"/>
          <w:bCs w:val="1"/>
          <w:color w:val="auto"/>
        </w:rPr>
        <w:t>Authenticating Agent</w:t>
      </w:r>
      <w:r>
        <w:rPr>
          <w:rFonts w:ascii="Arial" w:cs="Arial" w:eastAsia="Arial" w:hAnsi="Arial"/>
          <w:sz w:val="18"/>
          <w:szCs w:val="18"/>
          <w:color w:val="auto"/>
        </w:rPr>
        <w:t>”) to authenticate Securities. The Authenticating Agent may authenticate Securities whenever the Trustee may do so. Each reference in this Indenture to authentication by the Trustee includes authentication by such Authenticating Agent.</w:t>
      </w:r>
    </w:p>
    <w:p>
      <w:pPr>
        <w:spacing w:after="0" w:line="18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 Security shall not be valid until the Trustee or Authenticating Agent manually signs the certificate of authentication on the Security. The signature shall be conclusive evidence that the Security has been authenticated under this Indenture.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8" w:lineRule="exact"/>
        <w:rPr>
          <w:sz w:val="20"/>
          <w:szCs w:val="20"/>
          <w:color w:val="auto"/>
        </w:rPr>
      </w:pPr>
    </w:p>
    <w:p>
      <w:pPr>
        <w:ind w:right="140" w:firstLine="850"/>
        <w:spacing w:after="0" w:line="277" w:lineRule="auto"/>
        <w:tabs>
          <w:tab w:leader="none" w:pos="13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170" w:lineRule="exact"/>
        <w:rPr>
          <w:rFonts w:ascii="Arial" w:cs="Arial" w:eastAsia="Arial" w:hAnsi="Arial"/>
          <w:sz w:val="18"/>
          <w:szCs w:val="18"/>
          <w:color w:val="auto"/>
        </w:rPr>
      </w:pPr>
    </w:p>
    <w:p>
      <w:pPr>
        <w:ind w:right="480" w:firstLine="850"/>
        <w:spacing w:after="0" w:line="277" w:lineRule="auto"/>
        <w:tabs>
          <w:tab w:leader="none" w:pos="13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such procedures as shall be referred to therein, established in compliance with this Indenture; and</w:t>
      </w:r>
    </w:p>
    <w:p>
      <w:pPr>
        <w:spacing w:after="0" w:line="225" w:lineRule="exact"/>
        <w:rPr>
          <w:sz w:val="20"/>
          <w:szCs w:val="20"/>
          <w:color w:val="auto"/>
        </w:rPr>
      </w:pPr>
    </w:p>
    <w:p>
      <w:pPr>
        <w:ind w:right="40" w:firstLine="850"/>
        <w:spacing w:after="0" w:line="291" w:lineRule="auto"/>
        <w:tabs>
          <w:tab w:leader="none" w:pos="13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66"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right="120"/>
        <w:spacing w:after="0" w:line="342" w:lineRule="auto"/>
        <w:rPr>
          <w:sz w:val="20"/>
          <w:szCs w:val="20"/>
          <w:color w:val="auto"/>
        </w:rPr>
      </w:pPr>
      <w:r>
        <w:rPr>
          <w:rFonts w:ascii="Arial" w:cs="Arial" w:eastAsia="Arial" w:hAnsi="Arial"/>
          <w:sz w:val="16"/>
          <w:szCs w:val="16"/>
          <w:color w:val="auto"/>
        </w:rPr>
        <w:t>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The Securities may be issued in one or more series and each such series shall rank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debt of the Company. There shall be established in or pursuant to Board Resolution or one or more indentures supplemental hereto, prior to the initial issuance of Securities of any series, subject to the last sentence of this Section 2.03,</w:t>
      </w:r>
    </w:p>
    <w:p>
      <w:pPr>
        <w:spacing w:after="0" w:line="184" w:lineRule="exact"/>
        <w:rPr>
          <w:sz w:val="20"/>
          <w:szCs w:val="20"/>
          <w:color w:val="auto"/>
        </w:rPr>
      </w:pPr>
    </w:p>
    <w:p>
      <w:pPr>
        <w:ind w:left="1360" w:hanging="510"/>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designation of the Securities of the series, which shall distinguish the Securities of the series from the Securities of all other series;</w:t>
      </w:r>
    </w:p>
    <w:p>
      <w:pPr>
        <w:spacing w:after="0" w:line="248" w:lineRule="exact"/>
        <w:rPr>
          <w:rFonts w:ascii="Arial" w:cs="Arial" w:eastAsia="Arial" w:hAnsi="Arial"/>
          <w:sz w:val="16"/>
          <w:szCs w:val="16"/>
          <w:color w:val="auto"/>
        </w:rPr>
      </w:pPr>
    </w:p>
    <w:p>
      <w:pPr>
        <w:jc w:val="both"/>
        <w:ind w:firstLine="850"/>
        <w:spacing w:after="0" w:line="259" w:lineRule="auto"/>
        <w:tabs>
          <w:tab w:leader="none" w:pos="13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6" w:lineRule="exact"/>
        <w:rPr>
          <w:rFonts w:ascii="Arial" w:cs="Arial" w:eastAsia="Arial" w:hAnsi="Arial"/>
          <w:sz w:val="18"/>
          <w:szCs w:val="18"/>
          <w:color w:val="auto"/>
        </w:rPr>
      </w:pPr>
    </w:p>
    <w:p>
      <w:pPr>
        <w:ind w:left="1360" w:hanging="510"/>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(which date or dates may be fixed or extendible);</w:t>
      </w:r>
    </w:p>
    <w:p>
      <w:pPr>
        <w:spacing w:after="0" w:line="236" w:lineRule="exact"/>
        <w:rPr>
          <w:rFonts w:ascii="Arial" w:cs="Arial" w:eastAsia="Arial" w:hAnsi="Arial"/>
          <w:sz w:val="17"/>
          <w:szCs w:val="17"/>
          <w:color w:val="auto"/>
        </w:rPr>
      </w:pPr>
    </w:p>
    <w:p>
      <w:pPr>
        <w:ind w:right="180" w:firstLine="850"/>
        <w:spacing w:after="0" w:line="286" w:lineRule="auto"/>
        <w:tabs>
          <w:tab w:leader="none" w:pos="13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65" w:lineRule="exact"/>
        <w:rPr>
          <w:rFonts w:ascii="Arial" w:cs="Arial" w:eastAsia="Arial" w:hAnsi="Arial"/>
          <w:sz w:val="17"/>
          <w:szCs w:val="17"/>
          <w:color w:val="auto"/>
        </w:rPr>
      </w:pPr>
    </w:p>
    <w:p>
      <w:pPr>
        <w:jc w:val="both"/>
        <w:ind w:right="220" w:firstLine="850"/>
        <w:spacing w:after="0" w:line="263" w:lineRule="auto"/>
        <w:tabs>
          <w:tab w:leader="none" w:pos="13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spacing w:after="0" w:line="183" w:lineRule="exact"/>
        <w:rPr>
          <w:rFonts w:ascii="Arial" w:cs="Arial" w:eastAsia="Arial" w:hAnsi="Arial"/>
          <w:sz w:val="18"/>
          <w:szCs w:val="18"/>
          <w:color w:val="auto"/>
        </w:rPr>
      </w:pPr>
    </w:p>
    <w:p>
      <w:pPr>
        <w:ind w:right="180" w:firstLine="850"/>
        <w:spacing w:after="0" w:line="263" w:lineRule="auto"/>
        <w:tabs>
          <w:tab w:leader="none" w:pos="13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83" w:lineRule="exact"/>
        <w:rPr>
          <w:rFonts w:ascii="Arial" w:cs="Arial" w:eastAsia="Arial" w:hAnsi="Arial"/>
          <w:sz w:val="18"/>
          <w:szCs w:val="18"/>
          <w:color w:val="auto"/>
        </w:rPr>
      </w:pPr>
    </w:p>
    <w:p>
      <w:pPr>
        <w:ind w:right="60" w:firstLine="850"/>
        <w:spacing w:after="0" w:line="263" w:lineRule="auto"/>
        <w:tabs>
          <w:tab w:leader="none" w:pos="13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of the series shall be redeemed, purchased or repaid, in whole or in part, pursuant to such obligation;</w:t>
      </w:r>
    </w:p>
    <w:p>
      <w:pPr>
        <w:spacing w:after="0" w:line="225" w:lineRule="exact"/>
        <w:rPr>
          <w:sz w:val="20"/>
          <w:szCs w:val="20"/>
          <w:color w:val="auto"/>
        </w:rPr>
      </w:pPr>
    </w:p>
    <w:p>
      <w:pPr>
        <w:ind w:left="1380" w:hanging="530"/>
        <w:spacing w:after="0"/>
        <w:tabs>
          <w:tab w:leader="none" w:pos="1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right="340" w:firstLine="850"/>
        <w:spacing w:after="0" w:line="277" w:lineRule="auto"/>
        <w:tabs>
          <w:tab w:leader="none" w:pos="1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right="180" w:firstLine="850"/>
        <w:spacing w:after="0" w:line="259" w:lineRule="auto"/>
        <w:tabs>
          <w:tab w:leader="none" w:pos="1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6" w:lineRule="exact"/>
        <w:rPr>
          <w:rFonts w:ascii="Arial" w:cs="Arial" w:eastAsia="Arial" w:hAnsi="Arial"/>
          <w:sz w:val="18"/>
          <w:szCs w:val="18"/>
          <w:color w:val="auto"/>
        </w:rPr>
      </w:pPr>
    </w:p>
    <w:p>
      <w:pPr>
        <w:ind w:firstLine="850"/>
        <w:spacing w:after="0" w:line="263" w:lineRule="auto"/>
        <w:tabs>
          <w:tab w:leader="none" w:pos="13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83" w:lineRule="exact"/>
        <w:rPr>
          <w:rFonts w:ascii="Arial" w:cs="Arial" w:eastAsia="Arial" w:hAnsi="Arial"/>
          <w:sz w:val="18"/>
          <w:szCs w:val="18"/>
          <w:color w:val="auto"/>
        </w:rPr>
      </w:pPr>
    </w:p>
    <w:p>
      <w:pPr>
        <w:ind w:left="1340" w:hanging="490"/>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Securities of the series or any portion thereof will be issuable as Global Securities;</w:t>
      </w:r>
    </w:p>
    <w:p>
      <w:pPr>
        <w:spacing w:after="0" w:line="225" w:lineRule="exact"/>
        <w:rPr>
          <w:rFonts w:ascii="Arial" w:cs="Arial" w:eastAsia="Arial" w:hAnsi="Arial"/>
          <w:sz w:val="18"/>
          <w:szCs w:val="18"/>
          <w:color w:val="auto"/>
        </w:rPr>
      </w:pPr>
    </w:p>
    <w:p>
      <w:pPr>
        <w:ind w:left="1420" w:hanging="570"/>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w:t>
      </w:r>
    </w:p>
    <w:p>
      <w:pPr>
        <w:spacing w:after="0" w:line="210" w:lineRule="exact"/>
        <w:rPr>
          <w:rFonts w:ascii="Arial" w:cs="Arial" w:eastAsia="Arial" w:hAnsi="Arial"/>
          <w:sz w:val="16"/>
          <w:szCs w:val="16"/>
          <w:color w:val="auto"/>
        </w:rPr>
      </w:pPr>
    </w:p>
    <w:p>
      <w:pPr>
        <w:ind w:right="60" w:firstLine="850"/>
        <w:spacing w:after="0" w:line="263" w:lineRule="auto"/>
        <w:tabs>
          <w:tab w:leader="none" w:pos="13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83" w:lineRule="exact"/>
        <w:rPr>
          <w:rFonts w:ascii="Arial" w:cs="Arial" w:eastAsia="Arial" w:hAnsi="Arial"/>
          <w:sz w:val="18"/>
          <w:szCs w:val="18"/>
          <w:color w:val="auto"/>
        </w:rPr>
      </w:pPr>
    </w:p>
    <w:p>
      <w:pPr>
        <w:ind w:firstLine="850"/>
        <w:spacing w:after="0" w:line="263" w:lineRule="auto"/>
        <w:tabs>
          <w:tab w:leader="none" w:pos="13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right="640" w:firstLine="850"/>
        <w:spacing w:after="0" w:line="277" w:lineRule="auto"/>
        <w:tabs>
          <w:tab w:leader="none" w:pos="13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the registrar or any other agents with respect to the Securities of the series;</w:t>
      </w:r>
    </w:p>
    <w:p>
      <w:pPr>
        <w:spacing w:after="0" w:line="170" w:lineRule="exact"/>
        <w:rPr>
          <w:rFonts w:ascii="Arial" w:cs="Arial" w:eastAsia="Arial" w:hAnsi="Arial"/>
          <w:sz w:val="18"/>
          <w:szCs w:val="18"/>
          <w:color w:val="auto"/>
        </w:rPr>
      </w:pPr>
    </w:p>
    <w:p>
      <w:pPr>
        <w:ind w:firstLine="850"/>
        <w:spacing w:after="0" w:line="263" w:lineRule="auto"/>
        <w:tabs>
          <w:tab w:leader="none" w:pos="13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8" w:name="page59"/>
    <w:bookmarkEnd w:id="58"/>
    <w:p>
      <w:pPr>
        <w:ind w:right="160" w:firstLine="850"/>
        <w:spacing w:after="0" w:line="277" w:lineRule="auto"/>
        <w:tabs>
          <w:tab w:leader="none" w:pos="13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70" w:lineRule="exact"/>
        <w:rPr>
          <w:rFonts w:ascii="Arial" w:cs="Arial" w:eastAsia="Arial" w:hAnsi="Arial"/>
          <w:sz w:val="18"/>
          <w:szCs w:val="18"/>
          <w:color w:val="auto"/>
        </w:rPr>
      </w:pPr>
    </w:p>
    <w:p>
      <w:pPr>
        <w:ind w:left="1360" w:hanging="510"/>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the series; and</w:t>
      </w:r>
    </w:p>
    <w:p>
      <w:pPr>
        <w:spacing w:after="0" w:line="225" w:lineRule="exact"/>
        <w:rPr>
          <w:rFonts w:ascii="Arial" w:cs="Arial" w:eastAsia="Arial" w:hAnsi="Arial"/>
          <w:sz w:val="18"/>
          <w:szCs w:val="18"/>
          <w:color w:val="auto"/>
        </w:rPr>
      </w:pPr>
    </w:p>
    <w:p>
      <w:pPr>
        <w:ind w:left="1340" w:hanging="490"/>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xml:space="preserve">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Arial" w:cs="Arial" w:eastAsia="Arial" w:hAnsi="Arial"/>
          <w:sz w:val="18"/>
          <w:szCs w:val="18"/>
          <w:b w:val="1"/>
          <w:bCs w:val="1"/>
          <w:color w:val="auto"/>
        </w:rPr>
        <w:t>record date</w:t>
      </w:r>
      <w:r>
        <w:rPr>
          <w:rFonts w:ascii="Arial" w:cs="Arial" w:eastAsia="Arial" w:hAnsi="Arial"/>
          <w:sz w:val="18"/>
          <w:szCs w:val="18"/>
          <w:color w:val="auto"/>
        </w:rPr>
        <w:t>” as used with respect to any interest payment date (except a date for payment of defaulted interest) for the Securities of any series shall mean the date</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color w:val="auto"/>
        </w:rPr>
        <w:t>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r>
        <w:rPr>
          <w:rFonts w:ascii="Arial" w:cs="Arial" w:eastAsia="Arial" w:hAnsi="Arial"/>
          <w:sz w:val="18"/>
          <w:szCs w:val="18"/>
          <w:color w:val="auto"/>
        </w:rPr>
        <w:t xml:space="preserve"> The Company shall maintain an office or agency where Securities may be presented for registration, 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and an office or agency where Securities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which shall be in the Borough of Manhattan, The City of New York. The Company shall cause the Registrar to keep a register of the Securities and of their registration, transfer and exchange (the “</w:t>
      </w:r>
      <w:r>
        <w:rPr>
          <w:rFonts w:ascii="Arial" w:cs="Arial" w:eastAsia="Arial" w:hAnsi="Arial"/>
          <w:sz w:val="18"/>
          <w:szCs w:val="18"/>
          <w:b w:val="1"/>
          <w:bCs w:val="1"/>
          <w:color w:val="auto"/>
        </w:rPr>
        <w:t>Security Register</w:t>
      </w:r>
      <w:r>
        <w:rPr>
          <w:rFonts w:ascii="Arial" w:cs="Arial" w:eastAsia="Arial" w:hAnsi="Arial"/>
          <w:sz w:val="18"/>
          <w:szCs w:val="18"/>
          <w:color w:val="auto"/>
        </w:rPr>
        <w:t>”). The Company may have one or more additional Paying Agents or transfer agents with respect to any series.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the Company nor an affiliate of the Company shall act as Paying Agent in connection with the defeasance of the Securities or the discharge of this Indenture under Article 8.</w:t>
      </w:r>
    </w:p>
    <w:p>
      <w:pPr>
        <w:spacing w:after="0" w:line="18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xml:space="preserve">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0" w:name="page61"/>
    <w:bookmarkEnd w:id="60"/>
    <w:p>
      <w:pPr>
        <w:ind w:right="140"/>
        <w:spacing w:after="0" w:line="257" w:lineRule="auto"/>
        <w:rPr>
          <w:sz w:val="20"/>
          <w:szCs w:val="20"/>
          <w:color w:val="auto"/>
        </w:rPr>
      </w:pPr>
      <w:r>
        <w:rPr>
          <w:rFonts w:ascii="Arial" w:cs="Arial" w:eastAsia="Arial" w:hAnsi="Arial"/>
          <w:sz w:val="18"/>
          <w:szCs w:val="18"/>
          <w:color w:val="auto"/>
        </w:rPr>
        <w:t>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6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firstLine="648"/>
        <w:spacing w:after="0" w:line="254" w:lineRule="auto"/>
        <w:rPr>
          <w:sz w:val="20"/>
          <w:szCs w:val="20"/>
          <w:color w:val="auto"/>
        </w:rPr>
      </w:pPr>
      <w:r>
        <w:rPr>
          <w:rFonts w:ascii="Arial" w:cs="Arial" w:eastAsia="Arial" w:hAnsi="Arial"/>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87" w:lineRule="exact"/>
        <w:rPr>
          <w:sz w:val="20"/>
          <w:szCs w:val="20"/>
          <w:color w:val="auto"/>
        </w:rPr>
      </w:pPr>
    </w:p>
    <w:p>
      <w:pPr>
        <w:ind w:firstLine="850"/>
        <w:spacing w:after="0" w:line="263" w:lineRule="auto"/>
        <w:tabs>
          <w:tab w:leader="none" w:pos="13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83" w:lineRule="exact"/>
        <w:rPr>
          <w:rFonts w:ascii="Arial" w:cs="Arial" w:eastAsia="Arial" w:hAnsi="Arial"/>
          <w:sz w:val="18"/>
          <w:szCs w:val="18"/>
          <w:color w:val="auto"/>
        </w:rPr>
      </w:pPr>
    </w:p>
    <w:p>
      <w:pPr>
        <w:jc w:val="both"/>
        <w:ind w:right="120" w:firstLine="850"/>
        <w:spacing w:after="0" w:line="263" w:lineRule="auto"/>
        <w:tabs>
          <w:tab w:leader="none" w:pos="13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right="140" w:firstLine="648"/>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2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xml:space="preserve">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3" w:name="page64"/>
    <w:bookmarkEnd w:id="63"/>
    <w:p>
      <w:pPr>
        <w:ind w:right="80"/>
        <w:spacing w:after="0" w:line="263" w:lineRule="auto"/>
        <w:rPr>
          <w:sz w:val="20"/>
          <w:szCs w:val="20"/>
          <w:color w:val="auto"/>
        </w:rPr>
      </w:pPr>
      <w:r>
        <w:rPr>
          <w:rFonts w:ascii="Arial" w:cs="Arial" w:eastAsia="Arial" w:hAnsi="Arial"/>
          <w:sz w:val="18"/>
          <w:szCs w:val="18"/>
          <w:color w:val="auto"/>
        </w:rPr>
        <w:t>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xml:space="preserve">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70"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6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definitive Securities of such series to be prepared without unreasonable delay. After the preparation of definitive</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6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xml:space="preserve">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xml:space="preserve">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xml:space="preserve">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74"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r>
        <w:rPr>
          <w:rFonts w:ascii="Arial" w:cs="Arial" w:eastAsia="Arial" w:hAnsi="Arial"/>
          <w:sz w:val="18"/>
          <w:szCs w:val="18"/>
          <w:color w:val="auto"/>
        </w:rPr>
        <w:t xml:space="preserve"> A series of Securities may include one or more tranches (each a “</w:t>
      </w:r>
      <w:r>
        <w:rPr>
          <w:rFonts w:ascii="Arial" w:cs="Arial" w:eastAsia="Arial" w:hAnsi="Arial"/>
          <w:sz w:val="18"/>
          <w:szCs w:val="18"/>
          <w:b w:val="1"/>
          <w:bCs w:val="1"/>
          <w:color w:val="auto"/>
        </w:rPr>
        <w:t>tranche</w:t>
      </w:r>
      <w:r>
        <w:rPr>
          <w:rFonts w:ascii="Arial" w:cs="Arial" w:eastAsia="Arial" w:hAnsi="Arial"/>
          <w:sz w:val="18"/>
          <w:szCs w:val="18"/>
          <w:color w:val="auto"/>
        </w:rPr>
        <w:t>”) of Securities, including Securities issued in a Periodic Offering. The Securities of different tranches may have one or more different terms, including authentication dates and public offering prices, but all the Securities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5" w:name="page66"/>
    <w:bookmarkEnd w:id="65"/>
    <w:p>
      <w:pPr>
        <w:spacing w:after="0" w:line="290" w:lineRule="auto"/>
        <w:rPr>
          <w:sz w:val="20"/>
          <w:szCs w:val="20"/>
          <w:color w:val="auto"/>
        </w:rPr>
      </w:pPr>
      <w:r>
        <w:rPr>
          <w:rFonts w:ascii="Arial" w:cs="Arial" w:eastAsia="Arial" w:hAnsi="Arial"/>
          <w:sz w:val="16"/>
          <w:szCs w:val="16"/>
          <w:color w:val="auto"/>
        </w:rPr>
        <w:t>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6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of such Security, a new Security or Securities of such series and tenor in principal amount equal to the unredeemed portion thereof will be issued.</w:t>
      </w:r>
    </w:p>
    <w:p>
      <w:pPr>
        <w:spacing w:after="0" w:line="23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7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80"/>
        <w:spacing w:after="0" w:line="254" w:lineRule="auto"/>
        <w:rPr>
          <w:sz w:val="20"/>
          <w:szCs w:val="20"/>
          <w:color w:val="auto"/>
        </w:rPr>
      </w:pPr>
      <w:r>
        <w:rPr>
          <w:rFonts w:ascii="Arial" w:cs="Arial" w:eastAsia="Arial" w:hAnsi="Arial"/>
          <w:sz w:val="18"/>
          <w:szCs w:val="18"/>
          <w:color w:val="auto"/>
        </w:rPr>
        <w:t xml:space="preserve">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interest becoming due on or prior to the date fixed for redemption shall be payable to the Holders registered as such on the relevant record date subject to the terms and provisions of Sections 2.04 and 2.13 hereof.</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Exclusion of Certain Securities from Eligibility for Selection for Redemption.</w:t>
      </w:r>
      <w:r>
        <w:rPr>
          <w:rFonts w:ascii="Arial" w:cs="Arial" w:eastAsia="Arial" w:hAnsi="Arial"/>
          <w:sz w:val="16"/>
          <w:szCs w:val="16"/>
          <w:color w:val="auto"/>
        </w:rPr>
        <w:t xml:space="preserve">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ind w:right="60"/>
        <w:spacing w:after="0" w:line="301" w:lineRule="auto"/>
        <w:rPr>
          <w:sz w:val="20"/>
          <w:szCs w:val="20"/>
          <w:color w:val="auto"/>
        </w:rPr>
      </w:pPr>
      <w:r>
        <w:rPr>
          <w:rFonts w:ascii="Arial" w:cs="Arial" w:eastAsia="Arial" w:hAnsi="Arial"/>
          <w:sz w:val="16"/>
          <w:szCs w:val="16"/>
          <w:color w:val="auto"/>
        </w:rPr>
        <w:t>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15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60"/>
        <w:spacing w:after="0" w:line="287" w:lineRule="auto"/>
        <w:rPr>
          <w:sz w:val="20"/>
          <w:szCs w:val="20"/>
          <w:color w:val="auto"/>
        </w:rPr>
      </w:pPr>
      <w:r>
        <w:rPr>
          <w:rFonts w:ascii="Arial" w:cs="Arial" w:eastAsia="Arial" w:hAnsi="Arial"/>
          <w:sz w:val="16"/>
          <w:szCs w:val="16"/>
          <w:color w:val="auto"/>
        </w:rPr>
        <w:t>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6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Securities.</w:t>
      </w:r>
      <w:r>
        <w:rPr>
          <w:rFonts w:ascii="Arial" w:cs="Arial" w:eastAsia="Arial" w:hAnsi="Arial"/>
          <w:sz w:val="17"/>
          <w:szCs w:val="17"/>
          <w:color w:val="auto"/>
        </w:rPr>
        <w:t xml:space="preserve">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17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7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xml:space="preserve">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1" w:name="page72"/>
    <w:bookmarkEnd w:id="71"/>
    <w:p>
      <w:pPr>
        <w:ind w:right="140" w:firstLine="648"/>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Securityholders’ Lists.</w:t>
      </w:r>
      <w:r>
        <w:rPr>
          <w:rFonts w:ascii="Arial" w:cs="Arial" w:eastAsia="Arial" w:hAnsi="Arial"/>
          <w:sz w:val="16"/>
          <w:szCs w:val="16"/>
          <w:color w:val="auto"/>
        </w:rPr>
        <w:t xml:space="preserve"> The Company will furnish or cause to be furnished to the Trustee a list in such form as the Trustee may reasonably require of the names and addresses of the holders of the Securities pursuant to Section 312 of the Trust Indenture Act of 1939 (a) semi-annually not more than 15 days after each record date for the payment of semi-annual interest on the Securities, as hereinabove specified, as of such record date, and</w:t>
      </w:r>
    </w:p>
    <w:p>
      <w:pPr>
        <w:spacing w:after="0" w:line="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 such other times as the Trustee may request in writing, within thirty days after receipt by the Company of any such request as of a date not more than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 days prior to the time such information is furnished.</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r>
        <w:rPr>
          <w:rFonts w:ascii="Arial" w:cs="Arial" w:eastAsia="Arial" w:hAnsi="Arial"/>
          <w:sz w:val="18"/>
          <w:szCs w:val="18"/>
          <w:color w:val="auto"/>
        </w:rPr>
        <w:t xml:space="preserve">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xml:space="preserve">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8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Additional Amounts.</w:t>
      </w:r>
      <w:r>
        <w:rPr>
          <w:rFonts w:ascii="Arial" w:cs="Arial" w:eastAsia="Arial" w:hAnsi="Arial"/>
          <w:sz w:val="17"/>
          <w:szCs w:val="17"/>
          <w:color w:val="auto"/>
        </w:rPr>
        <w:t xml:space="preserve">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right="280"/>
        <w:spacing w:after="0" w:line="263" w:lineRule="auto"/>
        <w:rPr>
          <w:sz w:val="20"/>
          <w:szCs w:val="20"/>
          <w:color w:val="auto"/>
        </w:rPr>
      </w:pPr>
      <w:r>
        <w:rPr>
          <w:rFonts w:ascii="Arial" w:cs="Arial" w:eastAsia="Arial" w:hAnsi="Arial"/>
          <w:sz w:val="18"/>
          <w:szCs w:val="18"/>
          <w:color w:val="auto"/>
        </w:rPr>
        <w:t>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 CORPORATION</w:t>
      </w:r>
    </w:p>
    <w:p>
      <w:pPr>
        <w:spacing w:after="0" w:line="211"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xml:space="preserve">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49" w:lineRule="exact"/>
        <w:rPr>
          <w:sz w:val="20"/>
          <w:szCs w:val="20"/>
          <w:color w:val="auto"/>
        </w:rPr>
      </w:pPr>
    </w:p>
    <w:p>
      <w:pPr>
        <w:ind w:firstLine="850"/>
        <w:spacing w:after="0" w:line="263" w:lineRule="auto"/>
        <w:tabs>
          <w:tab w:leader="none" w:pos="13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or the United States of America or any State or territory thereof;</w:t>
      </w:r>
    </w:p>
    <w:p>
      <w:pPr>
        <w:spacing w:after="0" w:line="183" w:lineRule="exact"/>
        <w:rPr>
          <w:rFonts w:ascii="Arial" w:cs="Arial" w:eastAsia="Arial" w:hAnsi="Arial"/>
          <w:sz w:val="18"/>
          <w:szCs w:val="18"/>
          <w:color w:val="auto"/>
        </w:rPr>
      </w:pPr>
    </w:p>
    <w:p>
      <w:pPr>
        <w:ind w:right="240" w:firstLine="850"/>
        <w:spacing w:after="0" w:line="263" w:lineRule="auto"/>
        <w:tabs>
          <w:tab w:leader="none" w:pos="13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83" w:lineRule="exact"/>
        <w:rPr>
          <w:rFonts w:ascii="Arial" w:cs="Arial" w:eastAsia="Arial" w:hAnsi="Arial"/>
          <w:sz w:val="18"/>
          <w:szCs w:val="18"/>
          <w:color w:val="auto"/>
        </w:rPr>
      </w:pPr>
    </w:p>
    <w:p>
      <w:pPr>
        <w:ind w:left="1360" w:hanging="510"/>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or series of transactions on a pro forma basis, no Default has occurred and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 and</w:t>
      </w:r>
    </w:p>
    <w:p>
      <w:pPr>
        <w:spacing w:after="0" w:line="210" w:lineRule="exact"/>
        <w:rPr>
          <w:rFonts w:ascii="Arial" w:cs="Arial" w:eastAsia="Arial" w:hAnsi="Arial"/>
          <w:sz w:val="17"/>
          <w:szCs w:val="17"/>
          <w:color w:val="auto"/>
        </w:rPr>
      </w:pPr>
    </w:p>
    <w:p>
      <w:pPr>
        <w:ind w:right="100" w:firstLine="850"/>
        <w:spacing w:after="0" w:line="257" w:lineRule="auto"/>
        <w:tabs>
          <w:tab w:leader="none" w:pos="13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firstLine="648"/>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xml:space="preserve">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DEFAULT AND REMEDIES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with respect to the Securities of any series if:</w:t>
      </w:r>
    </w:p>
    <w:p>
      <w:pPr>
        <w:spacing w:after="0" w:line="229" w:lineRule="exact"/>
        <w:rPr>
          <w:sz w:val="20"/>
          <w:szCs w:val="20"/>
          <w:color w:val="auto"/>
        </w:rPr>
      </w:pPr>
    </w:p>
    <w:p>
      <w:pPr>
        <w:ind w:right="640" w:firstLine="850"/>
        <w:spacing w:after="0" w:line="308" w:lineRule="auto"/>
        <w:tabs>
          <w:tab w:leader="none" w:pos="13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46" w:lineRule="exact"/>
        <w:rPr>
          <w:rFonts w:ascii="Arial" w:cs="Arial" w:eastAsia="Arial" w:hAnsi="Arial"/>
          <w:sz w:val="17"/>
          <w:szCs w:val="17"/>
          <w:color w:val="auto"/>
        </w:rPr>
      </w:pPr>
    </w:p>
    <w:p>
      <w:pPr>
        <w:ind w:right="440" w:firstLine="850"/>
        <w:spacing w:after="0" w:line="277" w:lineRule="auto"/>
        <w:tabs>
          <w:tab w:leader="none" w:pos="13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40" w:firstLine="850"/>
        <w:spacing w:after="0" w:line="296" w:lineRule="auto"/>
        <w:tabs>
          <w:tab w:leader="none" w:pos="135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61" w:lineRule="exact"/>
        <w:rPr>
          <w:rFonts w:ascii="Arial" w:cs="Arial" w:eastAsia="Arial" w:hAnsi="Arial"/>
          <w:sz w:val="16"/>
          <w:szCs w:val="16"/>
          <w:color w:val="auto"/>
        </w:rPr>
      </w:pPr>
    </w:p>
    <w:p>
      <w:pPr>
        <w:ind w:right="40" w:firstLine="850"/>
        <w:spacing w:after="0" w:line="259" w:lineRule="auto"/>
        <w:tabs>
          <w:tab w:leader="none" w:pos="13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right="420" w:firstLine="850"/>
        <w:spacing w:after="0" w:line="277" w:lineRule="auto"/>
        <w:tabs>
          <w:tab w:leader="none" w:pos="13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4" w:name="page75"/>
    <w:bookmarkEnd w:id="74"/>
    <w:p>
      <w:pPr>
        <w:ind w:right="480"/>
        <w:spacing w:after="0" w:line="308" w:lineRule="auto"/>
        <w:rPr>
          <w:sz w:val="20"/>
          <w:szCs w:val="20"/>
          <w:color w:val="auto"/>
        </w:rPr>
      </w:pPr>
      <w:r>
        <w:rPr>
          <w:rFonts w:ascii="Arial" w:cs="Arial" w:eastAsia="Arial" w:hAnsi="Arial"/>
          <w:sz w:val="17"/>
          <w:szCs w:val="17"/>
          <w:color w:val="auto"/>
        </w:rPr>
        <w:t>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46" w:lineRule="exact"/>
        <w:rPr>
          <w:sz w:val="20"/>
          <w:szCs w:val="20"/>
          <w:color w:val="auto"/>
        </w:rPr>
      </w:pPr>
    </w:p>
    <w:p>
      <w:pPr>
        <w:ind w:left="1340" w:hanging="490"/>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xml:space="preserve"> (a)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178" w:lineRule="exact"/>
        <w:rPr>
          <w:sz w:val="20"/>
          <w:szCs w:val="20"/>
          <w:color w:val="auto"/>
        </w:rPr>
      </w:pPr>
    </w:p>
    <w:p>
      <w:pPr>
        <w:ind w:firstLine="850"/>
        <w:spacing w:after="0" w:line="259" w:lineRule="auto"/>
        <w:tabs>
          <w:tab w:leader="none" w:pos="13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5" w:name="page76"/>
    <w:bookmarkEnd w:id="75"/>
    <w:p>
      <w:pPr>
        <w:ind w:right="40"/>
        <w:spacing w:after="0" w:line="257" w:lineRule="auto"/>
        <w:rPr>
          <w:sz w:val="20"/>
          <w:szCs w:val="20"/>
          <w:color w:val="auto"/>
        </w:rPr>
      </w:pPr>
      <w:r>
        <w:rPr>
          <w:rFonts w:ascii="Arial" w:cs="Arial" w:eastAsia="Arial" w:hAnsi="Arial"/>
          <w:sz w:val="18"/>
          <w:szCs w:val="18"/>
          <w:color w:val="auto"/>
        </w:rPr>
        <w:t>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88"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Other Remedies.</w:t>
      </w:r>
      <w:r>
        <w:rPr>
          <w:rFonts w:ascii="Arial" w:cs="Arial" w:eastAsia="Arial" w:hAnsi="Arial"/>
          <w:sz w:val="16"/>
          <w:szCs w:val="16"/>
          <w:color w:val="auto"/>
        </w:rPr>
        <w:t xml:space="preserve">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xml:space="preserve">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r>
        <w:rPr>
          <w:rFonts w:ascii="Arial" w:cs="Arial" w:eastAsia="Arial" w:hAnsi="Arial"/>
          <w:sz w:val="18"/>
          <w:szCs w:val="18"/>
          <w:color w:val="auto"/>
        </w:rPr>
        <w:t xml:space="preserve"> Subject to Sections 7.01 and 7.02(e), the Holders of at least a majority in aggregate principal amount (or, if any Securities are Original Issue Discount Securities, such portion of the principal as is then accelerable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right="60"/>
        <w:spacing w:after="0" w:line="255" w:lineRule="auto"/>
        <w:rPr>
          <w:sz w:val="20"/>
          <w:szCs w:val="20"/>
          <w:color w:val="auto"/>
        </w:rPr>
      </w:pPr>
      <w:r>
        <w:rPr>
          <w:rFonts w:ascii="Arial" w:cs="Arial" w:eastAsia="Arial" w:hAnsi="Arial"/>
          <w:sz w:val="18"/>
          <w:szCs w:val="18"/>
          <w:color w:val="auto"/>
        </w:rPr>
        <w:t>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Limitation on Suits.</w:t>
      </w:r>
      <w:r>
        <w:rPr>
          <w:rFonts w:ascii="Arial" w:cs="Arial" w:eastAsia="Arial" w:hAnsi="Arial"/>
          <w:sz w:val="16"/>
          <w:szCs w:val="16"/>
          <w:color w:val="auto"/>
        </w:rPr>
        <w:t xml:space="preserve"> No Holder of any Security of any series may institute any proceeding, judicial or otherwise, with respect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Securities of such series, or for the appointment of a receiver or trustee, or for any other remedy hereunder, unless:</w:t>
      </w:r>
    </w:p>
    <w:p>
      <w:pPr>
        <w:spacing w:after="0" w:line="211" w:lineRule="exact"/>
        <w:rPr>
          <w:sz w:val="20"/>
          <w:szCs w:val="20"/>
          <w:color w:val="auto"/>
        </w:rPr>
      </w:pPr>
    </w:p>
    <w:p>
      <w:pPr>
        <w:ind w:left="1360" w:hanging="510"/>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has previously given to the Trustee written notice of a continuing Event of Default with respect to the Securities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right="260" w:firstLine="850"/>
        <w:spacing w:after="0" w:line="277" w:lineRule="auto"/>
        <w:tabs>
          <w:tab w:leader="none" w:pos="13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600" w:firstLine="850"/>
        <w:spacing w:after="0" w:line="277" w:lineRule="auto"/>
        <w:tabs>
          <w:tab w:leader="none" w:pos="13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1380" w:hanging="530"/>
        <w:spacing w:after="0"/>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360" w:firstLine="850"/>
        <w:spacing w:after="0" w:line="277" w:lineRule="auto"/>
        <w:tabs>
          <w:tab w:leader="none" w:pos="13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xml:space="preserve">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xml:space="preserve"> If an Event of Default with respect to the Securities of any series in payment of Principal or interest specified in clause (a) or (b) of Section 6.01 occurs and is continuing, the Trustee may recover judgment in its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ind w:right="40"/>
        <w:spacing w:after="0" w:line="257" w:lineRule="auto"/>
        <w:rPr>
          <w:sz w:val="20"/>
          <w:szCs w:val="20"/>
          <w:color w:val="auto"/>
        </w:rPr>
      </w:pPr>
      <w:r>
        <w:rPr>
          <w:rFonts w:ascii="Arial" w:cs="Arial" w:eastAsia="Arial" w:hAnsi="Arial"/>
          <w:sz w:val="18"/>
          <w:szCs w:val="18"/>
          <w:color w:val="auto"/>
        </w:rPr>
        <w:t>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Trustee May File Proofs of Claim.</w:t>
      </w:r>
      <w:r>
        <w:rPr>
          <w:rFonts w:ascii="Arial" w:cs="Arial" w:eastAsia="Arial" w:hAnsi="Arial"/>
          <w:sz w:val="16"/>
          <w:szCs w:val="16"/>
          <w:color w:val="auto"/>
        </w:rPr>
        <w:t xml:space="preserve">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left="660" w:firstLine="648"/>
        <w:spacing w:after="0" w:line="301"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such payments to be made ratably to the persons entitled thereto, without discrimination or preference;</w:t>
      </w:r>
    </w:p>
    <w:p>
      <w:pPr>
        <w:spacing w:after="0" w:line="225" w:lineRule="exact"/>
        <w:rPr>
          <w:sz w:val="20"/>
          <w:szCs w:val="20"/>
          <w:color w:val="auto"/>
        </w:rPr>
      </w:pPr>
    </w:p>
    <w:p>
      <w:pPr>
        <w:ind w:left="660" w:firstLine="648"/>
        <w:spacing w:after="0" w:line="253" w:lineRule="auto"/>
        <w:rPr>
          <w:sz w:val="20"/>
          <w:szCs w:val="20"/>
          <w:color w:val="auto"/>
        </w:rPr>
      </w:pPr>
      <w:r>
        <w:rPr>
          <w:rFonts w:ascii="Arial" w:cs="Arial" w:eastAsia="Arial" w:hAnsi="Arial"/>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To the payment of the remainder, if any, to the Company or any other person lawfully entitled thereto.</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xml:space="preserve">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7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xml:space="preserve">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9" w:name="page80"/>
    <w:bookmarkEnd w:id="79"/>
    <w:p>
      <w:pPr>
        <w:jc w:val="both"/>
        <w:ind w:right="80"/>
        <w:spacing w:after="0" w:line="308" w:lineRule="auto"/>
        <w:rPr>
          <w:sz w:val="20"/>
          <w:szCs w:val="20"/>
          <w:color w:val="auto"/>
        </w:rPr>
      </w:pPr>
      <w:r>
        <w:rPr>
          <w:rFonts w:ascii="Arial" w:cs="Arial" w:eastAsia="Arial" w:hAnsi="Arial"/>
          <w:sz w:val="17"/>
          <w:szCs w:val="17"/>
          <w:color w:val="auto"/>
        </w:rPr>
        <w:t>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xml:space="preserve">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r>
        <w:rPr>
          <w:rFonts w:ascii="Arial" w:cs="Arial" w:eastAsia="Arial" w:hAnsi="Arial"/>
          <w:sz w:val="18"/>
          <w:szCs w:val="18"/>
          <w:color w:val="auto"/>
        </w:rPr>
        <w:t xml:space="preserve"> Subject to Trust Indenture Act Sections 315(a) through (d):</w:t>
      </w:r>
    </w:p>
    <w:p>
      <w:pPr>
        <w:spacing w:after="0" w:line="225" w:lineRule="exact"/>
        <w:rPr>
          <w:sz w:val="20"/>
          <w:szCs w:val="20"/>
          <w:color w:val="auto"/>
        </w:rPr>
      </w:pPr>
    </w:p>
    <w:p>
      <w:pPr>
        <w:jc w:val="both"/>
        <w:ind w:right="260" w:firstLine="850"/>
        <w:spacing w:after="0" w:line="257" w:lineRule="auto"/>
        <w:tabs>
          <w:tab w:leader="none" w:pos="13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7" w:lineRule="exact"/>
        <w:rPr>
          <w:rFonts w:ascii="Arial" w:cs="Arial" w:eastAsia="Arial" w:hAnsi="Arial"/>
          <w:sz w:val="18"/>
          <w:szCs w:val="18"/>
          <w:color w:val="auto"/>
        </w:rPr>
      </w:pPr>
    </w:p>
    <w:p>
      <w:pPr>
        <w:ind w:firstLine="850"/>
        <w:spacing w:after="0" w:line="273" w:lineRule="auto"/>
        <w:tabs>
          <w:tab w:leader="none" w:pos="1367" w:val="left"/>
        </w:tabs>
        <w:numPr>
          <w:ilvl w:val="0"/>
          <w:numId w:val="52"/>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right="40"/>
        <w:spacing w:after="0" w:line="277" w:lineRule="auto"/>
        <w:rPr>
          <w:sz w:val="20"/>
          <w:szCs w:val="20"/>
          <w:color w:val="auto"/>
        </w:rPr>
      </w:pPr>
      <w:r>
        <w:rPr>
          <w:rFonts w:ascii="Arial" w:cs="Arial" w:eastAsia="Arial" w:hAnsi="Arial"/>
          <w:sz w:val="18"/>
          <w:szCs w:val="18"/>
          <w:color w:val="auto"/>
        </w:rPr>
        <w:t>and such certificate, in the absence of negligence or bad faith on the part of the Trustee, shall be full warrant to the Trustee for any action taken, suffered or omitted by it under the provisions of this Indenture upon the faith thereof;</w:t>
      </w:r>
    </w:p>
    <w:p>
      <w:pPr>
        <w:spacing w:after="0" w:line="170" w:lineRule="exact"/>
        <w:rPr>
          <w:sz w:val="20"/>
          <w:szCs w:val="20"/>
          <w:color w:val="auto"/>
        </w:rPr>
      </w:pPr>
    </w:p>
    <w:p>
      <w:pPr>
        <w:ind w:right="540" w:firstLine="850"/>
        <w:spacing w:after="0" w:line="277" w:lineRule="auto"/>
        <w:tabs>
          <w:tab w:leader="none" w:pos="13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40" w:firstLine="850"/>
        <w:spacing w:after="0" w:line="263" w:lineRule="auto"/>
        <w:tabs>
          <w:tab w:leader="none" w:pos="13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3" w:lineRule="exact"/>
        <w:rPr>
          <w:rFonts w:ascii="Arial" w:cs="Arial" w:eastAsia="Arial" w:hAnsi="Arial"/>
          <w:sz w:val="18"/>
          <w:szCs w:val="18"/>
          <w:color w:val="auto"/>
        </w:rPr>
      </w:pPr>
    </w:p>
    <w:p>
      <w:pPr>
        <w:jc w:val="both"/>
        <w:ind w:right="440" w:firstLine="850"/>
        <w:spacing w:after="0" w:line="263" w:lineRule="auto"/>
        <w:tabs>
          <w:tab w:leader="none" w:pos="13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spacing w:after="0" w:line="183" w:lineRule="exact"/>
        <w:rPr>
          <w:rFonts w:ascii="Arial" w:cs="Arial" w:eastAsia="Arial" w:hAnsi="Arial"/>
          <w:sz w:val="18"/>
          <w:szCs w:val="18"/>
          <w:color w:val="auto"/>
        </w:rPr>
      </w:pPr>
    </w:p>
    <w:p>
      <w:pPr>
        <w:ind w:right="20" w:firstLine="850"/>
        <w:spacing w:after="0" w:line="259" w:lineRule="auto"/>
        <w:tabs>
          <w:tab w:leader="none" w:pos="13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500" w:firstLine="850"/>
        <w:spacing w:after="0" w:line="342" w:lineRule="auto"/>
        <w:tabs>
          <w:tab w:leader="none" w:pos="13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23" w:lineRule="exact"/>
        <w:rPr>
          <w:rFonts w:ascii="Arial" w:cs="Arial" w:eastAsia="Arial" w:hAnsi="Arial"/>
          <w:sz w:val="16"/>
          <w:szCs w:val="16"/>
          <w:color w:val="auto"/>
        </w:rPr>
      </w:pPr>
    </w:p>
    <w:p>
      <w:pPr>
        <w:ind w:firstLine="850"/>
        <w:spacing w:after="0" w:line="291" w:lineRule="auto"/>
        <w:tabs>
          <w:tab w:leader="none" w:pos="13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xml:space="preserve"> The Trustee, in its individual or any other capacity, may become the owner or pledgee of Securities and may otherwise deal</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1" w:name="page82"/>
    <w:bookmarkEnd w:id="81"/>
    <w:p>
      <w:pPr>
        <w:jc w:val="both"/>
        <w:ind w:right="40"/>
        <w:spacing w:after="0" w:line="263" w:lineRule="auto"/>
        <w:rPr>
          <w:sz w:val="20"/>
          <w:szCs w:val="20"/>
          <w:color w:val="auto"/>
        </w:rPr>
      </w:pPr>
      <w:r>
        <w:rPr>
          <w:rFonts w:ascii="Arial" w:cs="Arial" w:eastAsia="Arial" w:hAnsi="Arial"/>
          <w:sz w:val="18"/>
          <w:szCs w:val="18"/>
          <w:color w:val="auto"/>
        </w:rPr>
        <w:t>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spacing w:after="0" w:line="180" w:lineRule="exact"/>
        <w:rPr>
          <w:sz w:val="20"/>
          <w:szCs w:val="20"/>
          <w:color w:val="auto"/>
        </w:rPr>
      </w:pPr>
    </w:p>
    <w:p>
      <w:pPr>
        <w:ind w:firstLine="850"/>
        <w:spacing w:after="0" w:line="312" w:lineRule="auto"/>
        <w:tabs>
          <w:tab w:leader="none" w:pos="1357"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transaction</w:t>
      </w:r>
      <w:r>
        <w:rPr>
          <w:rFonts w:ascii="Arial" w:cs="Arial" w:eastAsia="Arial" w:hAnsi="Arial"/>
          <w:sz w:val="17"/>
          <w:szCs w:val="17"/>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39" w:lineRule="exact"/>
        <w:rPr>
          <w:rFonts w:ascii="Arial" w:cs="Arial" w:eastAsia="Arial" w:hAnsi="Arial"/>
          <w:sz w:val="17"/>
          <w:szCs w:val="17"/>
          <w:color w:val="auto"/>
        </w:rPr>
      </w:pPr>
    </w:p>
    <w:p>
      <w:pPr>
        <w:ind w:right="20" w:firstLine="850"/>
        <w:spacing w:after="0" w:line="256" w:lineRule="auto"/>
        <w:tabs>
          <w:tab w:leader="none" w:pos="13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self-liquidating paper</w:t>
      </w:r>
      <w:r>
        <w:rPr>
          <w:rFonts w:ascii="Arial" w:cs="Arial" w:eastAsia="Arial" w:hAnsi="Arial"/>
          <w:sz w:val="18"/>
          <w:szCs w:val="18"/>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9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xml:space="preserve">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xml:space="preserv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82" w:name="page83"/>
    <w:bookmarkEnd w:id="82"/>
    <w:p>
      <w:pPr>
        <w:jc w:val="both"/>
        <w:ind w:right="300"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r>
        <w:rPr>
          <w:rFonts w:ascii="Arial" w:cs="Arial" w:eastAsia="Arial" w:hAnsi="Arial"/>
          <w:sz w:val="17"/>
          <w:szCs w:val="17"/>
          <w:color w:val="auto"/>
        </w:rPr>
        <w:t xml:space="preserve">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6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7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xml:space="preserve"> A resignation or removal of the Trustee as Trustee with respect to the Securities of any series and appointment of a successor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right="560"/>
        <w:spacing w:after="0" w:line="277" w:lineRule="auto"/>
        <w:rPr>
          <w:sz w:val="20"/>
          <w:szCs w:val="20"/>
          <w:color w:val="auto"/>
        </w:rPr>
      </w:pPr>
      <w:r>
        <w:rPr>
          <w:rFonts w:ascii="Arial" w:cs="Arial" w:eastAsia="Arial" w:hAnsi="Arial"/>
          <w:sz w:val="18"/>
          <w:szCs w:val="18"/>
          <w:color w:val="auto"/>
        </w:rPr>
        <w:t>Trustee as Trustee with respect to the Securities of any series shall become effective only upon the successor Trustee’s acceptance of appointment as provided in this Section 7.08.</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spacing w:after="0" w:line="19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Acceptance of Appointment by Successor.</w:t>
      </w:r>
      <w:r>
        <w:rPr>
          <w:rFonts w:ascii="Arial" w:cs="Arial" w:eastAsia="Arial" w:hAnsi="Arial"/>
          <w:sz w:val="17"/>
          <w:szCs w:val="17"/>
          <w:color w:val="auto"/>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retiring Trustee and shall duly assign, transfer and deliver to such successor Trustee all property and money held by such retiring Trustee hereunder.</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Successor Trustee By Merger, Etc.</w:t>
      </w:r>
      <w:r>
        <w:rPr>
          <w:rFonts w:ascii="Arial" w:cs="Arial" w:eastAsia="Arial" w:hAnsi="Arial"/>
          <w:sz w:val="16"/>
          <w:szCs w:val="16"/>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360" w:firstLine="648"/>
        <w:spacing w:after="0" w:line="34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Eligibility.</w:t>
      </w:r>
      <w:r>
        <w:rPr>
          <w:rFonts w:ascii="Arial" w:cs="Arial" w:eastAsia="Arial" w:hAnsi="Arial"/>
          <w:sz w:val="16"/>
          <w:szCs w:val="16"/>
          <w:color w:val="auto"/>
        </w:rPr>
        <w:t xml:space="preserve">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2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xml:space="preserve">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 UNCLAIMED MONEYS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Indenture.</w:t>
      </w:r>
      <w:r>
        <w:rPr>
          <w:rFonts w:ascii="Arial" w:cs="Arial" w:eastAsia="Arial" w:hAnsi="Arial"/>
          <w:sz w:val="16"/>
          <w:szCs w:val="16"/>
          <w:color w:val="auto"/>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6" w:name="page87"/>
    <w:bookmarkEnd w:id="86"/>
    <w:p>
      <w:pPr>
        <w:ind w:right="40"/>
        <w:spacing w:after="0" w:line="254" w:lineRule="auto"/>
        <w:rPr>
          <w:sz w:val="20"/>
          <w:szCs w:val="20"/>
          <w:color w:val="auto"/>
        </w:rPr>
      </w:pPr>
      <w:r>
        <w:rPr>
          <w:rFonts w:ascii="Arial" w:cs="Arial" w:eastAsia="Arial" w:hAnsi="Arial"/>
          <w:sz w:val="18"/>
          <w:szCs w:val="18"/>
          <w:color w:val="auto"/>
        </w:rPr>
        <w:t>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9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xml:space="preserve">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Defeasance and Discharge of Indenture.</w:t>
      </w:r>
      <w:r>
        <w:rPr>
          <w:rFonts w:ascii="Arial" w:cs="Arial" w:eastAsia="Arial" w:hAnsi="Arial"/>
          <w:sz w:val="18"/>
          <w:szCs w:val="18"/>
          <w:color w:val="auto"/>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7" w:name="page88"/>
    <w:bookmarkEnd w:id="87"/>
    <w:p>
      <w:pPr>
        <w:ind w:right="120"/>
        <w:spacing w:after="0" w:line="296" w:lineRule="auto"/>
        <w:rPr>
          <w:sz w:val="20"/>
          <w:szCs w:val="20"/>
          <w:color w:val="auto"/>
        </w:rPr>
      </w:pPr>
      <w:r>
        <w:rPr>
          <w:rFonts w:ascii="Arial" w:cs="Arial" w:eastAsia="Arial" w:hAnsi="Arial"/>
          <w:sz w:val="16"/>
          <w:szCs w:val="16"/>
          <w:color w:val="auto"/>
        </w:rPr>
        <w:t>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spacing w:after="0" w:line="377" w:lineRule="exact"/>
        <w:rPr>
          <w:sz w:val="20"/>
          <w:szCs w:val="20"/>
          <w:color w:val="auto"/>
        </w:rPr>
      </w:pPr>
    </w:p>
    <w:p>
      <w:pPr>
        <w:ind w:left="660" w:right="180" w:firstLine="968"/>
        <w:spacing w:after="0" w:line="287" w:lineRule="auto"/>
        <w:tabs>
          <w:tab w:leader="none" w:pos="21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w:t>
      </w:r>
    </w:p>
    <w:p>
      <w:pPr>
        <w:spacing w:after="0" w:line="2" w:lineRule="exact"/>
        <w:rPr>
          <w:rFonts w:ascii="Arial" w:cs="Arial" w:eastAsia="Arial" w:hAnsi="Arial"/>
          <w:sz w:val="16"/>
          <w:szCs w:val="16"/>
          <w:color w:val="auto"/>
        </w:rPr>
      </w:pPr>
    </w:p>
    <w:p>
      <w:pPr>
        <w:ind w:left="660" w:right="20" w:hanging="4"/>
        <w:spacing w:after="0" w:line="268" w:lineRule="auto"/>
        <w:tabs>
          <w:tab w:leader="none" w:pos="9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78" w:lineRule="exact"/>
        <w:rPr>
          <w:rFonts w:ascii="Arial" w:cs="Arial" w:eastAsia="Arial" w:hAnsi="Arial"/>
          <w:sz w:val="17"/>
          <w:szCs w:val="17"/>
          <w:color w:val="auto"/>
        </w:rPr>
      </w:pPr>
    </w:p>
    <w:p>
      <w:pPr>
        <w:ind w:left="660" w:firstLine="968"/>
        <w:spacing w:after="0" w:line="279" w:lineRule="auto"/>
        <w:tabs>
          <w:tab w:leader="none" w:pos="2167"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spacing w:after="0" w:line="171" w:lineRule="exact"/>
        <w:rPr>
          <w:rFonts w:ascii="Arial" w:cs="Arial" w:eastAsia="Arial" w:hAnsi="Arial"/>
          <w:sz w:val="17"/>
          <w:szCs w:val="17"/>
          <w:color w:val="auto"/>
        </w:rPr>
      </w:pPr>
    </w:p>
    <w:p>
      <w:pPr>
        <w:ind w:left="2220" w:hanging="592"/>
        <w:spacing w:after="0"/>
        <w:tabs>
          <w:tab w:leader="none" w:pos="2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no Default under either clause (d) or clause (e) of Section 6.01 shall have occurred and be continuing at such time;</w:t>
      </w:r>
    </w:p>
    <w:p>
      <w:pPr>
        <w:spacing w:after="0" w:line="236" w:lineRule="exact"/>
        <w:rPr>
          <w:rFonts w:ascii="Arial" w:cs="Arial" w:eastAsia="Arial" w:hAnsi="Arial"/>
          <w:sz w:val="17"/>
          <w:szCs w:val="17"/>
          <w:color w:val="auto"/>
        </w:rPr>
      </w:pPr>
    </w:p>
    <w:p>
      <w:pPr>
        <w:ind w:left="660" w:right="340" w:firstLine="968"/>
        <w:spacing w:after="0" w:line="277" w:lineRule="auto"/>
        <w:tabs>
          <w:tab w:leader="none" w:pos="2207"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at such time the Securities of such series are listed on a national securities exchange, the Company has delivered to the Trustee an Opinion of</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Counsel to the effect that the Securities of such series will not be delisted as a result of such deposit, defeasance and discharge;</w:t>
      </w:r>
    </w:p>
    <w:p>
      <w:pPr>
        <w:spacing w:after="0" w:line="225" w:lineRule="exact"/>
        <w:rPr>
          <w:sz w:val="20"/>
          <w:szCs w:val="20"/>
          <w:color w:val="auto"/>
        </w:rPr>
      </w:pPr>
    </w:p>
    <w:p>
      <w:pPr>
        <w:ind w:left="660" w:right="420" w:firstLine="968"/>
        <w:spacing w:after="0" w:line="277" w:lineRule="auto"/>
        <w:tabs>
          <w:tab w:leader="none" w:pos="21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and discharge under this Section have been complied with; and</w:t>
      </w:r>
    </w:p>
    <w:p>
      <w:pPr>
        <w:spacing w:after="0" w:line="170" w:lineRule="exact"/>
        <w:rPr>
          <w:rFonts w:ascii="Arial" w:cs="Arial" w:eastAsia="Arial" w:hAnsi="Arial"/>
          <w:sz w:val="18"/>
          <w:szCs w:val="18"/>
          <w:color w:val="auto"/>
        </w:rPr>
      </w:pPr>
    </w:p>
    <w:p>
      <w:pPr>
        <w:ind w:left="660" w:right="40" w:firstLine="968"/>
        <w:spacing w:after="0" w:line="263" w:lineRule="auto"/>
        <w:tabs>
          <w:tab w:leader="none" w:pos="22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xml:space="preserve">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spacing w:after="0" w:line="187" w:lineRule="exact"/>
        <w:rPr>
          <w:sz w:val="20"/>
          <w:szCs w:val="20"/>
          <w:color w:val="auto"/>
        </w:rPr>
      </w:pPr>
    </w:p>
    <w:p>
      <w:pPr>
        <w:ind w:firstLine="850"/>
        <w:spacing w:after="0" w:line="269" w:lineRule="auto"/>
        <w:tabs>
          <w:tab w:leader="none" w:pos="1357"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78" w:lineRule="exact"/>
        <w:rPr>
          <w:rFonts w:ascii="Arial" w:cs="Arial" w:eastAsia="Arial" w:hAnsi="Arial"/>
          <w:sz w:val="17"/>
          <w:szCs w:val="17"/>
          <w:color w:val="auto"/>
        </w:rPr>
      </w:pPr>
    </w:p>
    <w:p>
      <w:pPr>
        <w:ind w:right="20" w:firstLine="850"/>
        <w:spacing w:after="0" w:line="259" w:lineRule="auto"/>
        <w:tabs>
          <w:tab w:leader="none" w:pos="13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9" w:name="page90"/>
    <w:bookmarkEnd w:id="89"/>
    <w:p>
      <w:pPr>
        <w:ind w:right="280" w:firstLine="850"/>
        <w:spacing w:after="0" w:line="277" w:lineRule="auto"/>
        <w:tabs>
          <w:tab w:leader="none" w:pos="13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with respect to the outstanding Securities of such series shall have occurred and be continuing at the time of such deposit immediately after giving effect to such deposit;</w:t>
      </w:r>
    </w:p>
    <w:p>
      <w:pPr>
        <w:spacing w:after="0" w:line="170" w:lineRule="exact"/>
        <w:rPr>
          <w:rFonts w:ascii="Arial" w:cs="Arial" w:eastAsia="Arial" w:hAnsi="Arial"/>
          <w:sz w:val="18"/>
          <w:szCs w:val="18"/>
          <w:color w:val="auto"/>
        </w:rPr>
      </w:pPr>
    </w:p>
    <w:p>
      <w:pPr>
        <w:ind w:right="300" w:firstLine="850"/>
        <w:spacing w:after="0" w:line="342" w:lineRule="auto"/>
        <w:tabs>
          <w:tab w:leader="none" w:pos="136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23" w:lineRule="exact"/>
        <w:rPr>
          <w:rFonts w:ascii="Arial" w:cs="Arial" w:eastAsia="Arial" w:hAnsi="Arial"/>
          <w:sz w:val="16"/>
          <w:szCs w:val="16"/>
          <w:color w:val="auto"/>
        </w:rPr>
      </w:pPr>
    </w:p>
    <w:p>
      <w:pPr>
        <w:ind w:right="340" w:firstLine="850"/>
        <w:spacing w:after="0" w:line="277" w:lineRule="auto"/>
        <w:tabs>
          <w:tab w:leader="none" w:pos="13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70" w:lineRule="exact"/>
        <w:rPr>
          <w:rFonts w:ascii="Arial" w:cs="Arial" w:eastAsia="Arial" w:hAnsi="Arial"/>
          <w:sz w:val="18"/>
          <w:szCs w:val="18"/>
          <w:color w:val="auto"/>
        </w:rPr>
      </w:pPr>
    </w:p>
    <w:p>
      <w:pPr>
        <w:ind w:right="100" w:firstLine="850"/>
        <w:spacing w:after="0" w:line="263"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xml:space="preserve"> The Company shall pay and indemnify the Trustee (or other qualifying trustee, collectively for purposes of this Section 8.08 and Section 8.02, the “</w:t>
      </w:r>
      <w:r>
        <w:rPr>
          <w:rFonts w:ascii="Arial" w:cs="Arial" w:eastAsia="Arial" w:hAnsi="Arial"/>
          <w:sz w:val="18"/>
          <w:szCs w:val="18"/>
          <w:b w:val="1"/>
          <w:bCs w:val="1"/>
          <w:color w:val="auto"/>
        </w:rPr>
        <w:t>Trustee</w:t>
      </w:r>
      <w:r>
        <w:rPr>
          <w:rFonts w:ascii="Arial" w:cs="Arial" w:eastAsia="Arial" w:hAnsi="Arial"/>
          <w:sz w:val="18"/>
          <w:szCs w:val="18"/>
          <w:color w:val="auto"/>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xml:space="preserve">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90" w:name="page91"/>
    <w:bookmarkEnd w:id="90"/>
    <w:p>
      <w:pPr>
        <w:ind w:right="100" w:firstLine="648"/>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xml:space="preserve">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SUPPLEMENTS AND WAIVERS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xml:space="preserve"> The Company and the Trustee may amend or supplement this Indenture or the Securities of any series without notice to or the consent of any Holder:</w:t>
      </w:r>
    </w:p>
    <w:p>
      <w:pPr>
        <w:spacing w:after="0" w:line="170" w:lineRule="exact"/>
        <w:rPr>
          <w:sz w:val="20"/>
          <w:szCs w:val="20"/>
          <w:color w:val="auto"/>
        </w:rPr>
      </w:pPr>
    </w:p>
    <w:p>
      <w:pPr>
        <w:ind w:left="1360" w:hanging="510"/>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left="1360" w:hanging="510"/>
        <w:spacing w:after="0"/>
        <w:tabs>
          <w:tab w:leader="none" w:pos="13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connection with the qualification of this Indenture under the Trust Indenture Act;</w:t>
      </w:r>
    </w:p>
    <w:p>
      <w:pPr>
        <w:spacing w:after="0" w:line="248" w:lineRule="exact"/>
        <w:rPr>
          <w:rFonts w:ascii="Arial" w:cs="Arial" w:eastAsia="Arial" w:hAnsi="Arial"/>
          <w:sz w:val="16"/>
          <w:szCs w:val="16"/>
          <w:color w:val="auto"/>
        </w:rPr>
      </w:pPr>
    </w:p>
    <w:p>
      <w:pPr>
        <w:ind w:right="280" w:firstLine="850"/>
        <w:spacing w:after="0" w:line="263" w:lineRule="auto"/>
        <w:tabs>
          <w:tab w:leader="none" w:pos="13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83" w:lineRule="exact"/>
        <w:rPr>
          <w:rFonts w:ascii="Arial" w:cs="Arial" w:eastAsia="Arial" w:hAnsi="Arial"/>
          <w:sz w:val="18"/>
          <w:szCs w:val="18"/>
          <w:color w:val="auto"/>
        </w:rPr>
      </w:pPr>
    </w:p>
    <w:p>
      <w:pPr>
        <w:ind w:left="1360" w:hanging="510"/>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225" w:lineRule="exact"/>
        <w:rPr>
          <w:rFonts w:ascii="Arial" w:cs="Arial" w:eastAsia="Arial" w:hAnsi="Arial"/>
          <w:sz w:val="18"/>
          <w:szCs w:val="18"/>
          <w:color w:val="auto"/>
        </w:rPr>
      </w:pPr>
    </w:p>
    <w:p>
      <w:pPr>
        <w:ind w:left="1340" w:hanging="490"/>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conform any provision to the applicable corresponding provision set forth in the offering document for the offering of such series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color w:val="auto"/>
        </w:rPr>
      </w:pPr>
    </w:p>
    <w:p>
      <w:pPr>
        <w:ind w:left="1380" w:hanging="530"/>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With Consent of Holders.</w:t>
      </w:r>
      <w:r>
        <w:rPr>
          <w:rFonts w:ascii="Arial" w:cs="Arial" w:eastAsia="Arial" w:hAnsi="Arial"/>
          <w:sz w:val="16"/>
          <w:szCs w:val="16"/>
          <w:color w:val="auto"/>
        </w:rPr>
        <w:t xml:space="preserve">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waive future compliance by the Company with any provision of this Indenture or the Securities of such series.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Notwithstanding the provisions of this Section 9.02, without the consent of each Holder affected thereby, an amendment or waiver, including a waiver pursuant to Section 6.04, may not:</w:t>
      </w:r>
    </w:p>
    <w:p>
      <w:pPr>
        <w:spacing w:after="0" w:line="170" w:lineRule="exact"/>
        <w:rPr>
          <w:sz w:val="20"/>
          <w:szCs w:val="20"/>
          <w:color w:val="auto"/>
        </w:rPr>
      </w:pPr>
    </w:p>
    <w:p>
      <w:pPr>
        <w:ind w:left="1360" w:hanging="510"/>
        <w:spacing w:after="0"/>
        <w:tabs>
          <w:tab w:leader="none" w:pos="1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sinking fund obligation or any installment of interest on, such Holder’s Security,</w:t>
      </w:r>
    </w:p>
    <w:p>
      <w:pPr>
        <w:spacing w:after="0" w:line="248" w:lineRule="exact"/>
        <w:rPr>
          <w:rFonts w:ascii="Arial" w:cs="Arial" w:eastAsia="Arial" w:hAnsi="Arial"/>
          <w:sz w:val="16"/>
          <w:szCs w:val="16"/>
          <w:color w:val="auto"/>
        </w:rPr>
      </w:pPr>
    </w:p>
    <w:p>
      <w:pPr>
        <w:ind w:left="1380" w:hanging="530"/>
        <w:spacing w:after="0"/>
        <w:tabs>
          <w:tab w:leader="none" w:pos="1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reduce the Principal amount thereof or the rate of interest thereon (including any amount in respect of original issue discount);</w:t>
      </w:r>
    </w:p>
    <w:p>
      <w:pPr>
        <w:spacing w:after="0" w:line="236" w:lineRule="exact"/>
        <w:rPr>
          <w:rFonts w:ascii="Arial" w:cs="Arial" w:eastAsia="Arial" w:hAnsi="Arial"/>
          <w:sz w:val="17"/>
          <w:szCs w:val="17"/>
          <w:color w:val="auto"/>
        </w:rPr>
      </w:pPr>
    </w:p>
    <w:p>
      <w:pPr>
        <w:ind w:firstLine="850"/>
        <w:spacing w:after="0" w:line="277" w:lineRule="auto"/>
        <w:tabs>
          <w:tab w:leader="none" w:pos="13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70" w:lineRule="exact"/>
        <w:rPr>
          <w:rFonts w:ascii="Arial" w:cs="Arial" w:eastAsia="Arial" w:hAnsi="Arial"/>
          <w:sz w:val="18"/>
          <w:szCs w:val="18"/>
          <w:color w:val="auto"/>
        </w:rPr>
      </w:pPr>
    </w:p>
    <w:p>
      <w:pPr>
        <w:jc w:val="both"/>
        <w:ind w:right="160" w:firstLine="850"/>
        <w:spacing w:after="0" w:line="263" w:lineRule="auto"/>
        <w:tabs>
          <w:tab w:leader="none" w:pos="13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Revocation and Effect of Consent.</w:t>
      </w:r>
      <w:r>
        <w:rPr>
          <w:rFonts w:ascii="Arial" w:cs="Arial" w:eastAsia="Arial" w:hAnsi="Arial"/>
          <w:sz w:val="17"/>
          <w:szCs w:val="17"/>
          <w:color w:val="auto"/>
        </w:rPr>
        <w:t xml:space="preserve">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2" w:name="page93"/>
    <w:bookmarkEnd w:id="92"/>
    <w:p>
      <w:pPr>
        <w:ind w:right="380"/>
        <w:spacing w:after="0" w:line="277" w:lineRule="auto"/>
        <w:rPr>
          <w:sz w:val="20"/>
          <w:szCs w:val="20"/>
          <w:color w:val="auto"/>
        </w:rPr>
      </w:pPr>
      <w:r>
        <w:rPr>
          <w:rFonts w:ascii="Arial" w:cs="Arial" w:eastAsia="Arial" w:hAnsi="Arial"/>
          <w:sz w:val="18"/>
          <w:szCs w:val="18"/>
          <w:color w:val="auto"/>
        </w:rPr>
        <w:t>become effective with respect to any Securities affected thereby on receipt by the Trustee of written consents from the requisite Holders of outstanding Securities affected thereby.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9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xml:space="preserve">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xml:space="preserve">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9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xml:space="preserve"> Every supplemental indenture executed pursuant to this Article 9 shall conform to the requirements of the Trust Indenture Act as then in effect.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xml:space="preserve">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CH-1015 Lausanne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right="300" w:firstLine="648"/>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xml:space="preserve"> Upon any request or application by the Company to the Trustee to take any action under this Indenture, the Company shall furnish to the Trustee:</w:t>
      </w:r>
    </w:p>
    <w:p>
      <w:pPr>
        <w:spacing w:after="0" w:line="170" w:lineRule="exact"/>
        <w:rPr>
          <w:sz w:val="20"/>
          <w:szCs w:val="20"/>
          <w:color w:val="auto"/>
        </w:rPr>
      </w:pPr>
    </w:p>
    <w:p>
      <w:pPr>
        <w:ind w:right="160" w:firstLine="850"/>
        <w:spacing w:after="0" w:line="277" w:lineRule="auto"/>
        <w:tabs>
          <w:tab w:leader="none" w:pos="13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380" w:hanging="530"/>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xml:space="preserve"> Each certificate or opinion with respect to compliance with a condition or covenant provided for in this Indenture (other than the certificate required by Section 4.04) shall include:</w:t>
      </w:r>
    </w:p>
    <w:p>
      <w:pPr>
        <w:spacing w:after="0" w:line="170" w:lineRule="exact"/>
        <w:rPr>
          <w:sz w:val="20"/>
          <w:szCs w:val="20"/>
          <w:color w:val="auto"/>
        </w:rPr>
      </w:pPr>
    </w:p>
    <w:p>
      <w:pPr>
        <w:ind w:left="1360" w:hanging="510"/>
        <w:spacing w:after="0"/>
        <w:tabs>
          <w:tab w:leader="none" w:pos="1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220" w:firstLine="850"/>
        <w:spacing w:after="0" w:line="277" w:lineRule="auto"/>
        <w:tabs>
          <w:tab w:leader="none" w:pos="13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170" w:lineRule="exact"/>
        <w:rPr>
          <w:rFonts w:ascii="Arial" w:cs="Arial" w:eastAsia="Arial" w:hAnsi="Arial"/>
          <w:sz w:val="18"/>
          <w:szCs w:val="18"/>
          <w:color w:val="auto"/>
        </w:rPr>
      </w:pPr>
    </w:p>
    <w:p>
      <w:pPr>
        <w:ind w:right="420" w:firstLine="850"/>
        <w:spacing w:after="0" w:line="277" w:lineRule="auto"/>
        <w:tabs>
          <w:tab w:leader="none" w:pos="13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right="460" w:firstLine="850"/>
        <w:spacing w:after="0" w:line="342" w:lineRule="auto"/>
        <w:tabs>
          <w:tab w:leader="none" w:pos="13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each such person, such condition or covenant has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matters of fact, an Opinion of Counsel may rely on an Officers’ Certificate or certificates of public officials.</w:t>
      </w:r>
    </w:p>
    <w:p>
      <w:pPr>
        <w:spacing w:after="0" w:line="12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xml:space="preserve">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r>
        <w:rPr>
          <w:rFonts w:ascii="Arial" w:cs="Arial" w:eastAsia="Arial" w:hAnsi="Arial"/>
          <w:sz w:val="18"/>
          <w:szCs w:val="18"/>
          <w:color w:val="auto"/>
        </w:rPr>
        <w:t xml:space="preserve"> The Trustee may make reasonable rules for action by or at a meeting of Holders. The Paying Agent or Registrar may make reasonable rules for its functions.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Payment Date Other Than a Business Day.</w:t>
      </w:r>
      <w:r>
        <w:rPr>
          <w:rFonts w:ascii="Arial" w:cs="Arial" w:eastAsia="Arial" w:hAnsi="Arial"/>
          <w:sz w:val="18"/>
          <w:szCs w:val="18"/>
          <w:color w:val="auto"/>
        </w:rPr>
        <w:t xml:space="preserve"> Except as otherwise provided with respect to a series of Securities, if any date for payment of Principal or interest on any Security shall not be a Business Day at any place of payment, then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right="60"/>
        <w:spacing w:after="0" w:line="263" w:lineRule="auto"/>
        <w:rPr>
          <w:sz w:val="20"/>
          <w:szCs w:val="20"/>
          <w:color w:val="auto"/>
        </w:rPr>
      </w:pPr>
      <w:r>
        <w:rPr>
          <w:rFonts w:ascii="Arial" w:cs="Arial" w:eastAsia="Arial" w:hAnsi="Arial"/>
          <w:sz w:val="18"/>
          <w:szCs w:val="18"/>
          <w:color w:val="auto"/>
        </w:rPr>
        <w:t>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laws of the State of New York shall govern this Indenture and the Securities.</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xml:space="preserve"> This Indenture may not be used to interpret another indenture or loan or debt agreement of the Company or any Subsidiary of the Company. Any such indenture or agreement may not be used to interpret this Indenture.</w:t>
      </w:r>
    </w:p>
    <w:p>
      <w:pPr>
        <w:spacing w:after="0" w:line="124"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xml:space="preserve">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xml:space="preserve">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xml:space="preserve">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xml:space="preserve">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xml:space="preserve">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Judgment Currency.</w:t>
      </w:r>
      <w:r>
        <w:rPr>
          <w:rFonts w:ascii="Arial" w:cs="Arial" w:eastAsia="Arial" w:hAnsi="Arial"/>
          <w:sz w:val="17"/>
          <w:szCs w:val="17"/>
          <w:color w:val="auto"/>
        </w:rPr>
        <w:t xml:space="preserve">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7"/>
          <w:szCs w:val="17"/>
          <w:b w:val="1"/>
          <w:b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b w:val="1"/>
          <w:bCs w:val="1"/>
          <w:color w:val="auto"/>
        </w:rPr>
        <w:t>Judgment Currency</w:t>
      </w:r>
      <w:r>
        <w:rPr>
          <w:rFonts w:ascii="Arial" w:cs="Arial" w:eastAsia="Arial" w:hAnsi="Arial"/>
          <w:sz w:val="17"/>
          <w:szCs w:val="17"/>
          <w:color w:val="auto"/>
        </w:rPr>
        <w:t>”), the rate of exchange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6" w:name="page97"/>
    <w:bookmarkEnd w:id="96"/>
    <w:p>
      <w:pPr>
        <w:spacing w:after="0" w:line="288" w:lineRule="auto"/>
        <w:rPr>
          <w:sz w:val="20"/>
          <w:szCs w:val="20"/>
          <w:color w:val="auto"/>
        </w:rPr>
      </w:pPr>
      <w:r>
        <w:rPr>
          <w:rFonts w:ascii="Arial" w:cs="Arial" w:eastAsia="Arial" w:hAnsi="Arial"/>
          <w:sz w:val="16"/>
          <w:szCs w:val="16"/>
          <w:color w:val="auto"/>
        </w:rPr>
        <w:t>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(SEAL)</w:t>
            </w:r>
          </w:p>
        </w:tc>
        <w:tc>
          <w:tcPr>
            <w:tcW w:w="6060" w:type="dxa"/>
            <w:vAlign w:val="bottom"/>
            <w:gridSpan w:val="3"/>
          </w:tcPr>
          <w:p>
            <w:pPr>
              <w:ind w:left="240"/>
              <w:spacing w:after="0"/>
              <w:rPr>
                <w:sz w:val="20"/>
                <w:szCs w:val="20"/>
                <w:color w:val="auto"/>
              </w:rPr>
            </w:pPr>
            <w:r>
              <w:rPr>
                <w:rFonts w:ascii="Arial" w:cs="Arial" w:eastAsia="Arial" w:hAnsi="Arial"/>
                <w:sz w:val="18"/>
                <w:szCs w:val="18"/>
                <w:color w:val="auto"/>
              </w:rPr>
              <w:t>AC Immune 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6060" w:type="dxa"/>
            <w:vAlign w:val="bottom"/>
            <w:gridSpan w:val="3"/>
          </w:tcPr>
          <w:p>
            <w:pPr>
              <w:ind w:left="240"/>
              <w:spacing w:after="0"/>
              <w:rPr>
                <w:sz w:val="20"/>
                <w:szCs w:val="20"/>
                <w:color w:val="auto"/>
              </w:rPr>
            </w:pPr>
            <w:r>
              <w:rPr>
                <w:rFonts w:ascii="Arial" w:cs="Arial" w:eastAsia="Arial" w:hAnsi="Arial"/>
                <w:sz w:val="18"/>
                <w:szCs w:val="18"/>
                <w:color w:val="auto"/>
              </w:rPr>
              <w:t>as the Company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vMerge w:val="continue"/>
          </w:tcPr>
          <w:p>
            <w:pPr>
              <w:spacing w:after="0"/>
              <w:rPr>
                <w:sz w:val="18"/>
                <w:szCs w:val="18"/>
                <w:color w:val="auto"/>
              </w:rPr>
            </w:pPr>
          </w:p>
        </w:tc>
        <w:tc>
          <w:tcPr>
            <w:tcW w:w="6060" w:type="dxa"/>
            <w:vAlign w:val="bottom"/>
            <w:gridSpan w:val="3"/>
            <w:vMerge w:val="restart"/>
          </w:tcPr>
          <w:p>
            <w:pPr>
              <w:ind w:left="2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6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8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(SEAL)</w:t>
            </w:r>
          </w:p>
        </w:tc>
        <w:tc>
          <w:tcPr>
            <w:tcW w:w="6060" w:type="dxa"/>
            <w:vAlign w:val="bottom"/>
            <w:gridSpan w:val="3"/>
            <w:vMerge w:val="restart"/>
          </w:tcPr>
          <w:p>
            <w:pPr>
              <w:ind w:left="220"/>
              <w:spacing w:after="0"/>
              <w:rPr>
                <w:sz w:val="20"/>
                <w:szCs w:val="20"/>
                <w:color w:val="auto"/>
              </w:rPr>
            </w:pPr>
            <w:r>
              <w:rPr>
                <w:rFonts w:ascii="Arial" w:cs="Arial" w:eastAsia="Arial" w:hAnsi="Arial"/>
                <w:sz w:val="18"/>
                <w:szCs w:val="18"/>
                <w:color w:val="auto"/>
              </w:rPr>
              <w:t>as the Trustee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6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vMerge w:val="continue"/>
          </w:tcPr>
          <w:p>
            <w:pPr>
              <w:spacing w:after="0"/>
              <w:rPr>
                <w:sz w:val="18"/>
                <w:szCs w:val="18"/>
                <w:color w:val="auto"/>
              </w:rPr>
            </w:pPr>
          </w:p>
        </w:tc>
        <w:tc>
          <w:tcPr>
            <w:tcW w:w="6060" w:type="dxa"/>
            <w:vAlign w:val="bottom"/>
            <w:gridSpan w:val="3"/>
            <w:vMerge w:val="restart"/>
          </w:tcPr>
          <w:p>
            <w:pPr>
              <w:ind w:left="2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6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8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5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163195</wp:posOffset>
            </wp:positionV>
            <wp:extent cx="38404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180340</wp:posOffset>
            </wp:positionV>
            <wp:extent cx="3840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3320" w:type="dxa"/>
            <w:vAlign w:val="bottom"/>
          </w:tcPr>
          <w:p>
            <w:pPr>
              <w:ind w:left="2260"/>
              <w:spacing w:after="0"/>
              <w:rPr>
                <w:sz w:val="20"/>
                <w:szCs w:val="20"/>
                <w:color w:val="auto"/>
              </w:rPr>
            </w:pPr>
            <w:r>
              <w:rPr>
                <w:rFonts w:ascii="Arial" w:cs="Arial" w:eastAsia="Arial" w:hAnsi="Arial"/>
                <w:sz w:val="18"/>
                <w:szCs w:val="18"/>
                <w:b w:val="1"/>
                <w:bCs w:val="1"/>
                <w:color w:val="auto"/>
              </w:rPr>
              <w:t>Dated as of</w:t>
            </w:r>
          </w:p>
        </w:tc>
        <w:tc>
          <w:tcPr>
            <w:tcW w:w="2720" w:type="dxa"/>
            <w:vAlign w:val="bottom"/>
          </w:tcPr>
          <w:p>
            <w:pPr>
              <w:jc w:val="right"/>
              <w:ind w:right="2150"/>
              <w:spacing w:after="0"/>
              <w:rPr>
                <w:sz w:val="20"/>
                <w:szCs w:val="20"/>
                <w:color w:val="auto"/>
              </w:rPr>
            </w:pPr>
            <w:r>
              <w:rPr>
                <w:rFonts w:ascii="Arial" w:cs="Arial" w:eastAsia="Arial" w:hAnsi="Arial"/>
                <w:sz w:val="18"/>
                <w:szCs w:val="18"/>
                <w:b w:val="1"/>
                <w:bCs w:val="1"/>
                <w:color w:val="auto"/>
              </w:rPr>
              <w:t>, 20</w:t>
            </w:r>
          </w:p>
        </w:tc>
        <w:tc>
          <w:tcPr>
            <w:tcW w:w="2600" w:type="dxa"/>
            <w:vAlign w:val="bottom"/>
          </w:tcPr>
          <w:p>
            <w:pPr>
              <w:spacing w:after="0"/>
              <w:rPr>
                <w:sz w:val="20"/>
                <w:szCs w:val="20"/>
                <w:color w:val="auto"/>
              </w:rPr>
            </w:pPr>
          </w:p>
        </w:tc>
      </w:tr>
      <w:tr>
        <w:trPr>
          <w:trHeight w:val="229"/>
        </w:trPr>
        <w:tc>
          <w:tcPr>
            <w:tcW w:w="2600" w:type="dxa"/>
            <w:vAlign w:val="bottom"/>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2600" w:type="dxa"/>
            <w:vAlign w:val="bottom"/>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791"/>
        </w:trPr>
        <w:tc>
          <w:tcPr>
            <w:tcW w:w="26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398"/>
        </w:trPr>
        <w:tc>
          <w:tcPr>
            <w:tcW w:w="27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72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ARTICLE 1</w:t>
            </w:r>
          </w:p>
        </w:tc>
        <w:tc>
          <w:tcPr>
            <w:tcW w:w="2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DEFINITIONS AND INCORPORATION BY REFERENCE</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272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ARTICLE 2</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5"/>
              </w:rPr>
              <w:t>THE SECURITIES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Denomination and Date of Securities; Payments of Interest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Paying Agent to Hold Money in Trust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Defaulted Interest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45"/>
        </w:trPr>
        <w:tc>
          <w:tcPr>
            <w:tcW w:w="272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ARTICLE 3</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REDEMPTION</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 of Redemption; Partial Redemptions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Payment Of Securities Called For Redemption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i w:val="1"/>
                <w:iCs w:val="1"/>
                <w:color w:val="auto"/>
              </w:rPr>
              <w:t>for Redemption</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8"/>
        </w:trPr>
        <w:tc>
          <w:tcPr>
            <w:tcW w:w="272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ARTICLE 4</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6"/>
              </w:rPr>
              <w:t>COVENANTS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Additional Amounts</w:t>
            </w:r>
          </w:p>
        </w:tc>
        <w:tc>
          <w:tcPr>
            <w:tcW w:w="44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CORPORATION</w:t>
      </w:r>
    </w:p>
    <w:p>
      <w:pPr>
        <w:sectPr>
          <w:pgSz w:w="11900" w:h="16838" w:orient="portrait"/>
          <w:cols w:equalWidth="0" w:num="1">
            <w:col w:w="11240"/>
          </w:cols>
          <w:pgMar w:left="320" w:top="58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46" w:lineRule="exact"/>
        <w:rPr>
          <w:sz w:val="20"/>
          <w:szCs w:val="20"/>
          <w:color w:val="auto"/>
        </w:rPr>
      </w:pPr>
    </w:p>
    <w:p>
      <w:pPr>
        <w:sectPr>
          <w:pgSz w:w="11900" w:h="16838" w:orient="portrait"/>
          <w:cols w:equalWidth="0" w:num="2">
            <w:col w:w="10340" w:space="720"/>
            <w:col w:w="180"/>
          </w:cols>
          <w:pgMar w:left="320" w:top="5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Successor Substituted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ectPr>
          <w:pgSz w:w="11900" w:h="16838" w:orient="portrait"/>
          <w:cols w:equalWidth="0" w:num="2">
            <w:col w:w="4900" w:space="720"/>
            <w:col w:w="5620"/>
          </w:cols>
          <w:pgMar w:left="320" w:top="584" w:right="3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6"/>
              </w:rPr>
              <w:t>ARTICLE 6</w:t>
            </w:r>
          </w:p>
        </w:tc>
        <w:tc>
          <w:tcPr>
            <w:tcW w:w="1380" w:type="dxa"/>
            <w:vAlign w:val="bottom"/>
          </w:tcPr>
          <w:p>
            <w:pPr>
              <w:spacing w:after="0"/>
              <w:rPr>
                <w:sz w:val="18"/>
                <w:szCs w:val="18"/>
                <w:color w:val="auto"/>
              </w:rPr>
            </w:pPr>
          </w:p>
        </w:tc>
      </w:tr>
      <w:tr>
        <w:trPr>
          <w:trHeight w:val="230"/>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6"/>
              </w:rPr>
              <w:t>DEFAULT AND REMEDIES</w:t>
            </w:r>
          </w:p>
        </w:tc>
        <w:tc>
          <w:tcPr>
            <w:tcW w:w="1380" w:type="dxa"/>
            <w:vAlign w:val="bottom"/>
          </w:tcPr>
          <w:p>
            <w:pPr>
              <w:spacing w:after="0"/>
              <w:rPr>
                <w:sz w:val="20"/>
                <w:szCs w:val="20"/>
                <w:color w:val="auto"/>
              </w:rPr>
            </w:pPr>
          </w:p>
        </w:tc>
      </w:tr>
      <w:tr>
        <w:trPr>
          <w:trHeight w:val="418"/>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Undertaking for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Rights and Remedies Cumulative</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5"/>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6"/>
              </w:rPr>
              <w:t>ARTICLE 7</w:t>
            </w:r>
          </w:p>
        </w:tc>
        <w:tc>
          <w:tcPr>
            <w:tcW w:w="1380" w:type="dxa"/>
            <w:vAlign w:val="bottom"/>
          </w:tcPr>
          <w:p>
            <w:pPr>
              <w:spacing w:after="0"/>
              <w:rPr>
                <w:sz w:val="24"/>
                <w:szCs w:val="24"/>
                <w:color w:val="auto"/>
              </w:rPr>
            </w:pPr>
          </w:p>
        </w:tc>
      </w:tr>
      <w:tr>
        <w:trPr>
          <w:trHeight w:val="230"/>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5"/>
              </w:rPr>
              <w:t>TRUSTEE</w:t>
            </w:r>
          </w:p>
        </w:tc>
        <w:tc>
          <w:tcPr>
            <w:tcW w:w="1380" w:type="dxa"/>
            <w:vAlign w:val="bottom"/>
          </w:tcPr>
          <w:p>
            <w:pPr>
              <w:spacing w:after="0"/>
              <w:rPr>
                <w:sz w:val="20"/>
                <w:szCs w:val="20"/>
                <w:color w:val="auto"/>
              </w:rPr>
            </w:pPr>
          </w:p>
        </w:tc>
      </w:tr>
      <w:tr>
        <w:trPr>
          <w:trHeight w:val="418"/>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Acceptance of Appointment by Successor</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6"/>
              </w:rPr>
              <w:t>ARTICLE 8</w:t>
            </w:r>
          </w:p>
        </w:tc>
        <w:tc>
          <w:tcPr>
            <w:tcW w:w="1380" w:type="dxa"/>
            <w:vAlign w:val="bottom"/>
          </w:tcPr>
          <w:p>
            <w:pPr>
              <w:spacing w:after="0"/>
              <w:rPr>
                <w:sz w:val="24"/>
                <w:szCs w:val="24"/>
                <w:color w:val="auto"/>
              </w:rPr>
            </w:pPr>
          </w:p>
        </w:tc>
      </w:tr>
      <w:tr>
        <w:trPr>
          <w:trHeight w:val="230"/>
        </w:trPr>
        <w:tc>
          <w:tcPr>
            <w:tcW w:w="9860" w:type="dxa"/>
            <w:vAlign w:val="bottom"/>
          </w:tcPr>
          <w:p>
            <w:pPr>
              <w:jc w:val="center"/>
              <w:ind w:left="1290"/>
              <w:spacing w:after="0"/>
              <w:rPr>
                <w:sz w:val="20"/>
                <w:szCs w:val="20"/>
                <w:color w:val="auto"/>
              </w:rPr>
            </w:pPr>
            <w:r>
              <w:rPr>
                <w:rFonts w:ascii="Arial" w:cs="Arial" w:eastAsia="Arial" w:hAnsi="Arial"/>
                <w:sz w:val="18"/>
                <w:szCs w:val="18"/>
                <w:color w:val="auto"/>
                <w:w w:val="97"/>
              </w:rPr>
              <w:t>SATISFACTION AND DISCHARGE OF INDENTURE; UNCLAIMED MONEYS</w:t>
            </w:r>
          </w:p>
        </w:tc>
        <w:tc>
          <w:tcPr>
            <w:tcW w:w="1380" w:type="dxa"/>
            <w:vAlign w:val="bottom"/>
          </w:tcPr>
          <w:p>
            <w:pPr>
              <w:spacing w:after="0"/>
              <w:rPr>
                <w:sz w:val="20"/>
                <w:szCs w:val="20"/>
                <w:color w:val="auto"/>
              </w:rPr>
            </w:pPr>
          </w:p>
        </w:tc>
      </w:tr>
      <w:tr>
        <w:trPr>
          <w:trHeight w:val="418"/>
        </w:trPr>
        <w:tc>
          <w:tcPr>
            <w:tcW w:w="986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60" w:type="dxa"/>
            <w:vAlign w:val="bottom"/>
          </w:tcPr>
          <w:p>
            <w:pPr>
              <w:spacing w:after="0"/>
              <w:rPr>
                <w:sz w:val="20"/>
                <w:szCs w:val="20"/>
                <w:color w:val="auto"/>
              </w:rPr>
            </w:pPr>
            <w:r>
              <w:rPr>
                <w:rFonts w:ascii="Arial" w:cs="Arial" w:eastAsia="Arial" w:hAnsi="Arial"/>
                <w:sz w:val="18"/>
                <w:szCs w:val="18"/>
                <w:i w:val="1"/>
                <w:iCs w:val="1"/>
                <w:color w:val="auto"/>
              </w:rPr>
              <w:t>Securities</w:t>
            </w:r>
          </w:p>
        </w:tc>
        <w:tc>
          <w:tcPr>
            <w:tcW w:w="1380" w:type="dxa"/>
            <w:vAlign w:val="bottom"/>
          </w:tcPr>
          <w:p>
            <w:pPr>
              <w:spacing w:after="0"/>
              <w:rPr>
                <w:sz w:val="18"/>
                <w:szCs w:val="18"/>
                <w:color w:val="auto"/>
              </w:rPr>
            </w:pP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Return of Moneys Held by Trustee and Paying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320" w:type="dxa"/>
            <w:vAlign w:val="bottom"/>
          </w:tcPr>
          <w:p>
            <w:pPr>
              <w:spacing w:after="0"/>
              <w:rPr>
                <w:sz w:val="20"/>
                <w:szCs w:val="20"/>
                <w:color w:val="auto"/>
              </w:rPr>
            </w:pPr>
            <w:r>
              <w:rPr>
                <w:rFonts w:ascii="Arial" w:cs="Arial" w:eastAsia="Arial" w:hAnsi="Arial"/>
                <w:sz w:val="18"/>
                <w:szCs w:val="18"/>
                <w:i w:val="1"/>
                <w:iCs w:val="1"/>
                <w:color w:val="auto"/>
              </w:rPr>
              <w:t>Unclaimed for Two Years</w:t>
            </w:r>
          </w:p>
        </w:tc>
        <w:tc>
          <w:tcPr>
            <w:tcW w:w="1920" w:type="dxa"/>
            <w:vAlign w:val="bottom"/>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Defeasance and Discharge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Qualifying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9320" w:type="dxa"/>
            <w:vAlign w:val="bottom"/>
          </w:tcPr>
          <w:p>
            <w:pPr>
              <w:jc w:val="center"/>
              <w:ind w:left="1830"/>
              <w:spacing w:after="0"/>
              <w:rPr>
                <w:sz w:val="20"/>
                <w:szCs w:val="20"/>
                <w:color w:val="auto"/>
              </w:rPr>
            </w:pPr>
            <w:r>
              <w:rPr>
                <w:rFonts w:ascii="Arial" w:cs="Arial" w:eastAsia="Arial" w:hAnsi="Arial"/>
                <w:sz w:val="18"/>
                <w:szCs w:val="18"/>
                <w:color w:val="auto"/>
                <w:w w:val="96"/>
              </w:rPr>
              <w:t>ARTICLE 9</w:t>
            </w:r>
          </w:p>
        </w:tc>
        <w:tc>
          <w:tcPr>
            <w:tcW w:w="1920" w:type="dxa"/>
            <w:vAlign w:val="bottom"/>
          </w:tcPr>
          <w:p>
            <w:pPr>
              <w:spacing w:after="0"/>
              <w:rPr>
                <w:sz w:val="24"/>
                <w:szCs w:val="24"/>
                <w:color w:val="auto"/>
              </w:rPr>
            </w:pPr>
          </w:p>
        </w:tc>
      </w:tr>
      <w:tr>
        <w:trPr>
          <w:trHeight w:val="230"/>
        </w:trPr>
        <w:tc>
          <w:tcPr>
            <w:tcW w:w="9320" w:type="dxa"/>
            <w:vAlign w:val="bottom"/>
          </w:tcPr>
          <w:p>
            <w:pPr>
              <w:jc w:val="center"/>
              <w:ind w:left="1850"/>
              <w:spacing w:after="0"/>
              <w:rPr>
                <w:sz w:val="20"/>
                <w:szCs w:val="20"/>
                <w:color w:val="auto"/>
              </w:rPr>
            </w:pPr>
            <w:r>
              <w:rPr>
                <w:rFonts w:ascii="Arial" w:cs="Arial" w:eastAsia="Arial" w:hAnsi="Arial"/>
                <w:sz w:val="18"/>
                <w:szCs w:val="18"/>
                <w:color w:val="auto"/>
                <w:w w:val="96"/>
              </w:rPr>
              <w:t>AMENDMENTS, SUPPLEMENTS AND WAIVERS</w:t>
            </w:r>
          </w:p>
        </w:tc>
        <w:tc>
          <w:tcPr>
            <w:tcW w:w="1920" w:type="dxa"/>
            <w:vAlign w:val="bottom"/>
          </w:tcPr>
          <w:p>
            <w:pPr>
              <w:spacing w:after="0"/>
              <w:rPr>
                <w:sz w:val="20"/>
                <w:szCs w:val="20"/>
                <w:color w:val="auto"/>
              </w:rPr>
            </w:pPr>
          </w:p>
        </w:tc>
      </w:tr>
      <w:tr>
        <w:trPr>
          <w:trHeight w:val="418"/>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9320" w:type="dxa"/>
            <w:vAlign w:val="bottom"/>
          </w:tcPr>
          <w:p>
            <w:pPr>
              <w:jc w:val="center"/>
              <w:ind w:left="1850"/>
              <w:spacing w:after="0"/>
              <w:rPr>
                <w:sz w:val="20"/>
                <w:szCs w:val="20"/>
                <w:color w:val="auto"/>
              </w:rPr>
            </w:pPr>
            <w:r>
              <w:rPr>
                <w:rFonts w:ascii="Arial" w:cs="Arial" w:eastAsia="Arial" w:hAnsi="Arial"/>
                <w:sz w:val="18"/>
                <w:szCs w:val="18"/>
                <w:color w:val="auto"/>
                <w:w w:val="96"/>
              </w:rPr>
              <w:t>ARTICLE 10</w:t>
            </w:r>
          </w:p>
        </w:tc>
        <w:tc>
          <w:tcPr>
            <w:tcW w:w="1920" w:type="dxa"/>
            <w:vAlign w:val="bottom"/>
          </w:tcPr>
          <w:p>
            <w:pPr>
              <w:spacing w:after="0"/>
              <w:rPr>
                <w:sz w:val="24"/>
                <w:szCs w:val="24"/>
                <w:color w:val="auto"/>
              </w:rPr>
            </w:pPr>
          </w:p>
        </w:tc>
      </w:tr>
      <w:tr>
        <w:trPr>
          <w:trHeight w:val="230"/>
        </w:trPr>
        <w:tc>
          <w:tcPr>
            <w:tcW w:w="9320" w:type="dxa"/>
            <w:vAlign w:val="bottom"/>
          </w:tcPr>
          <w:p>
            <w:pPr>
              <w:jc w:val="center"/>
              <w:ind w:left="1850"/>
              <w:spacing w:after="0"/>
              <w:rPr>
                <w:sz w:val="20"/>
                <w:szCs w:val="20"/>
                <w:color w:val="auto"/>
              </w:rPr>
            </w:pPr>
            <w:r>
              <w:rPr>
                <w:rFonts w:ascii="Arial" w:cs="Arial" w:eastAsia="Arial" w:hAnsi="Arial"/>
                <w:sz w:val="18"/>
                <w:szCs w:val="18"/>
                <w:color w:val="auto"/>
                <w:w w:val="97"/>
              </w:rPr>
              <w:t>MISCELLANEOUS</w:t>
            </w:r>
          </w:p>
        </w:tc>
        <w:tc>
          <w:tcPr>
            <w:tcW w:w="1920" w:type="dxa"/>
            <w:vAlign w:val="bottom"/>
          </w:tcPr>
          <w:p>
            <w:pPr>
              <w:spacing w:after="0"/>
              <w:rPr>
                <w:sz w:val="20"/>
                <w:szCs w:val="20"/>
                <w:color w:val="auto"/>
              </w:rPr>
            </w:pPr>
          </w:p>
        </w:tc>
      </w:tr>
      <w:tr>
        <w:trPr>
          <w:trHeight w:val="418"/>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Ownership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Payment Date Other Than a Business Day</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No Adverse Interpretation of Other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Incorporators, Stockholders, Officers and Directors of</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i w:val="1"/>
                <w:iCs w:val="1"/>
                <w:color w:val="auto"/>
              </w:rPr>
              <w:t>Company Exempt from Individual Liability</w:t>
            </w:r>
          </w:p>
        </w:tc>
        <w:tc>
          <w:tcPr>
            <w:tcW w:w="1920" w:type="dxa"/>
            <w:vAlign w:val="bottom"/>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Judgment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Force Majeure</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9320" w:type="dxa"/>
            <w:vAlign w:val="bottom"/>
          </w:tcPr>
          <w:p>
            <w:pPr>
              <w:jc w:val="center"/>
              <w:ind w:left="1830"/>
              <w:spacing w:after="0"/>
              <w:rPr>
                <w:sz w:val="20"/>
                <w:szCs w:val="20"/>
                <w:color w:val="auto"/>
              </w:rPr>
            </w:pPr>
            <w:r>
              <w:rPr>
                <w:rFonts w:ascii="Arial" w:cs="Arial" w:eastAsia="Arial" w:hAnsi="Arial"/>
                <w:sz w:val="18"/>
                <w:szCs w:val="18"/>
                <w:color w:val="auto"/>
                <w:w w:val="94"/>
              </w:rPr>
              <w:t>ARTICLE 11</w:t>
            </w:r>
          </w:p>
        </w:tc>
        <w:tc>
          <w:tcPr>
            <w:tcW w:w="1920" w:type="dxa"/>
            <w:vAlign w:val="bottom"/>
          </w:tcPr>
          <w:p>
            <w:pPr>
              <w:spacing w:after="0"/>
              <w:rPr>
                <w:sz w:val="24"/>
                <w:szCs w:val="24"/>
                <w:color w:val="auto"/>
              </w:rPr>
            </w:pPr>
          </w:p>
        </w:tc>
      </w:tr>
      <w:tr>
        <w:trPr>
          <w:trHeight w:val="230"/>
        </w:trPr>
        <w:tc>
          <w:tcPr>
            <w:tcW w:w="9320" w:type="dxa"/>
            <w:vAlign w:val="bottom"/>
          </w:tcPr>
          <w:p>
            <w:pPr>
              <w:jc w:val="center"/>
              <w:ind w:left="1830"/>
              <w:spacing w:after="0"/>
              <w:rPr>
                <w:sz w:val="20"/>
                <w:szCs w:val="20"/>
                <w:color w:val="auto"/>
              </w:rPr>
            </w:pPr>
            <w:r>
              <w:rPr>
                <w:rFonts w:ascii="Arial" w:cs="Arial" w:eastAsia="Arial" w:hAnsi="Arial"/>
                <w:sz w:val="18"/>
                <w:szCs w:val="18"/>
                <w:color w:val="auto"/>
                <w:w w:val="95"/>
              </w:rPr>
              <w:t>SUBORDINATION OF SECURITIES</w:t>
            </w:r>
          </w:p>
        </w:tc>
        <w:tc>
          <w:tcPr>
            <w:tcW w:w="1920" w:type="dxa"/>
            <w:vAlign w:val="bottom"/>
          </w:tcPr>
          <w:p>
            <w:pPr>
              <w:spacing w:after="0"/>
              <w:rPr>
                <w:sz w:val="20"/>
                <w:szCs w:val="20"/>
                <w:color w:val="auto"/>
              </w:rPr>
            </w:pPr>
          </w:p>
        </w:tc>
      </w:tr>
      <w:tr>
        <w:trPr>
          <w:trHeight w:val="418"/>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Agreement to Subordinate</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Payments to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Subrogation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11.04.</w:t>
            </w:r>
          </w:p>
        </w:tc>
        <w:tc>
          <w:tcPr>
            <w:tcW w:w="6500" w:type="dxa"/>
            <w:vAlign w:val="bottom"/>
          </w:tcPr>
          <w:p>
            <w:pPr>
              <w:ind w:left="40"/>
              <w:spacing w:after="0"/>
              <w:rPr>
                <w:sz w:val="20"/>
                <w:szCs w:val="20"/>
                <w:color w:val="auto"/>
              </w:rPr>
            </w:pPr>
            <w:r>
              <w:rPr>
                <w:rFonts w:ascii="Arial" w:cs="Arial" w:eastAsia="Arial" w:hAnsi="Arial"/>
                <w:sz w:val="18"/>
                <w:szCs w:val="18"/>
                <w:i w:val="1"/>
                <w:iCs w:val="1"/>
                <w:color w:val="auto"/>
              </w:rPr>
              <w:t>Authorization by Securityholders</w:t>
            </w:r>
          </w:p>
        </w:tc>
        <w:tc>
          <w:tcPr>
            <w:tcW w:w="3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11.05.</w:t>
            </w:r>
          </w:p>
        </w:tc>
        <w:tc>
          <w:tcPr>
            <w:tcW w:w="6500" w:type="dxa"/>
            <w:vAlign w:val="bottom"/>
          </w:tcPr>
          <w:p>
            <w:pPr>
              <w:ind w:left="40"/>
              <w:spacing w:after="0"/>
              <w:rPr>
                <w:sz w:val="20"/>
                <w:szCs w:val="20"/>
                <w:color w:val="auto"/>
              </w:rPr>
            </w:pPr>
            <w:r>
              <w:rPr>
                <w:rFonts w:ascii="Arial" w:cs="Arial" w:eastAsia="Arial" w:hAnsi="Arial"/>
                <w:sz w:val="18"/>
                <w:szCs w:val="18"/>
                <w:i w:val="1"/>
                <w:iCs w:val="1"/>
                <w:color w:val="auto"/>
              </w:rPr>
              <w:t>Notice to Trustee</w:t>
            </w:r>
          </w:p>
        </w:tc>
        <w:tc>
          <w:tcPr>
            <w:tcW w:w="3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11.06.</w:t>
            </w:r>
          </w:p>
        </w:tc>
        <w:tc>
          <w:tcPr>
            <w:tcW w:w="6500" w:type="dxa"/>
            <w:vAlign w:val="bottom"/>
          </w:tcPr>
          <w:p>
            <w:pPr>
              <w:ind w:left="40"/>
              <w:spacing w:after="0"/>
              <w:rPr>
                <w:sz w:val="20"/>
                <w:szCs w:val="20"/>
                <w:color w:val="auto"/>
              </w:rPr>
            </w:pPr>
            <w:r>
              <w:rPr>
                <w:rFonts w:ascii="Arial" w:cs="Arial" w:eastAsia="Arial" w:hAnsi="Arial"/>
                <w:sz w:val="18"/>
                <w:szCs w:val="18"/>
                <w:i w:val="1"/>
                <w:iCs w:val="1"/>
                <w:color w:val="auto"/>
              </w:rPr>
              <w:t>Trustee’s Relation to Senior Indebtedness</w:t>
            </w:r>
          </w:p>
        </w:tc>
        <w:tc>
          <w:tcPr>
            <w:tcW w:w="3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2"/>
              </w:rPr>
              <w:t>Section 11.07.</w:t>
            </w:r>
          </w:p>
        </w:tc>
        <w:tc>
          <w:tcPr>
            <w:tcW w:w="6500" w:type="dxa"/>
            <w:vAlign w:val="bottom"/>
          </w:tcPr>
          <w:p>
            <w:pPr>
              <w:ind w:left="40"/>
              <w:spacing w:after="0"/>
              <w:rPr>
                <w:sz w:val="20"/>
                <w:szCs w:val="20"/>
                <w:color w:val="auto"/>
              </w:rPr>
            </w:pPr>
            <w:r>
              <w:rPr>
                <w:rFonts w:ascii="Arial" w:cs="Arial" w:eastAsia="Arial" w:hAnsi="Arial"/>
                <w:sz w:val="18"/>
                <w:szCs w:val="18"/>
                <w:i w:val="1"/>
                <w:iCs w:val="1"/>
                <w:color w:val="auto"/>
              </w:rPr>
              <w:t>No Impairment of Subordination</w:t>
            </w:r>
          </w:p>
        </w:tc>
        <w:tc>
          <w:tcPr>
            <w:tcW w:w="36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ind w:right="80" w:firstLine="648"/>
        <w:spacing w:after="0" w:line="277" w:lineRule="auto"/>
        <w:rPr>
          <w:sz w:val="20"/>
          <w:szCs w:val="20"/>
          <w:color w:val="auto"/>
        </w:rPr>
      </w:pPr>
      <w:r>
        <w:rPr>
          <w:rFonts w:ascii="Arial" w:cs="Arial" w:eastAsia="Arial" w:hAnsi="Arial"/>
          <w:sz w:val="18"/>
          <w:szCs w:val="18"/>
          <w:color w:val="auto"/>
        </w:rPr>
        <w:t>SUBORDINATED INDENTURE, dated as of , 20 , between AC Immune SA, a Swiss stock corporation organized under the laws of Switzerland, as the Company, and , as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has duly authorized the issue from time to time of its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16"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right="240"/>
        <w:spacing w:after="0" w:line="277" w:lineRule="auto"/>
        <w:rPr>
          <w:sz w:val="20"/>
          <w:szCs w:val="20"/>
          <w:color w:val="auto"/>
        </w:rPr>
      </w:pPr>
      <w:r>
        <w:rPr>
          <w:rFonts w:ascii="Arial" w:cs="Arial" w:eastAsia="Arial" w:hAnsi="Arial"/>
          <w:sz w:val="18"/>
          <w:szCs w:val="18"/>
          <w:color w:val="auto"/>
        </w:rPr>
        <w:t>deposits in London, or with respect to Securities denominated in a specified currency other than United States dollars, in the principal financial center of the country of the specified currency.</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Attention: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 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w:t>
      </w:r>
      <w:r>
        <w:rPr>
          <w:rFonts w:ascii="Arial" w:cs="Arial" w:eastAsia="Arial" w:hAnsi="Arial"/>
          <w:sz w:val="16"/>
          <w:szCs w:val="16"/>
          <w:b w:val="1"/>
          <w:bCs w:val="1"/>
          <w:color w:val="auto"/>
        </w:rPr>
        <w:t>Guarantee</w:t>
      </w:r>
      <w:r>
        <w:rPr>
          <w:rFonts w:ascii="Arial" w:cs="Arial" w:eastAsia="Arial" w:hAnsi="Arial"/>
          <w:sz w:val="16"/>
          <w:szCs w:val="16"/>
          <w:color w:val="auto"/>
        </w:rPr>
        <w:t xml:space="preserve"> shall not include endorsements for collection or deposit in the ordinary course of business. The term “</w:t>
      </w:r>
      <w:r>
        <w:rPr>
          <w:rFonts w:ascii="Arial" w:cs="Arial" w:eastAsia="Arial" w:hAnsi="Arial"/>
          <w:sz w:val="16"/>
          <w:szCs w:val="16"/>
          <w:b w:val="1"/>
          <w:bCs w:val="1"/>
          <w:color w:val="auto"/>
        </w:rPr>
        <w:t>Guarantee</w:t>
      </w:r>
      <w:r>
        <w:rPr>
          <w:rFonts w:ascii="Arial" w:cs="Arial" w:eastAsia="Arial" w:hAnsi="Arial"/>
          <w:sz w:val="16"/>
          <w:szCs w:val="16"/>
          <w:color w:val="auto"/>
        </w:rPr>
        <w:t>” when used as a verb has a corresponding meaning.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5" w:name="page106"/>
    <w:bookmarkEnd w:id="10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International Financial Reporting Standards as issued by the International Accounting Standards Board, as in effect as of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spacing w:after="0" w:line="154"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5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6" w:name="page107"/>
    <w:bookmarkEnd w:id="106"/>
    <w:p>
      <w:pPr>
        <w:ind w:right="360"/>
        <w:spacing w:after="0" w:line="277" w:lineRule="auto"/>
        <w:rPr>
          <w:sz w:val="20"/>
          <w:szCs w:val="20"/>
          <w:color w:val="auto"/>
        </w:rPr>
      </w:pPr>
      <w:r>
        <w:rPr>
          <w:rFonts w:ascii="Arial" w:cs="Arial" w:eastAsia="Arial" w:hAnsi="Arial"/>
          <w:sz w:val="18"/>
          <w:szCs w:val="18"/>
          <w:color w:val="auto"/>
        </w:rPr>
        <w:t>interest, if any, thereon, the stated maturity or maturities thereof and the redemption provisions, if any, with respect thereto, are to be determined by the Company or its agents upon the issuance of such Securities.</w:t>
      </w:r>
    </w:p>
    <w:p>
      <w:pPr>
        <w:spacing w:after="0" w:line="16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of a Security means the principal amount of, and, unless the context indicates otherwise, includes any premium payable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07"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spacing w:after="0" w:line="18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Payables</w:t>
      </w:r>
      <w:r>
        <w:rPr>
          <w:rFonts w:ascii="Arial" w:cs="Arial" w:eastAsia="Arial" w:hAnsi="Arial"/>
          <w:sz w:val="18"/>
          <w:szCs w:val="18"/>
          <w:color w:val="auto"/>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jc w:val="both"/>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83"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 Each of the following terms is defined in the section set forth opposite such 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72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Section</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Authenticating Agent</w:t>
            </w:r>
          </w:p>
        </w:tc>
        <w:tc>
          <w:tcPr>
            <w:tcW w:w="7260" w:type="dxa"/>
            <w:vAlign w:val="bottom"/>
          </w:tcPr>
          <w:p>
            <w:pPr>
              <w:jc w:val="center"/>
              <w:ind w:left="4490"/>
              <w:spacing w:after="0" w:line="195" w:lineRule="exact"/>
              <w:rPr>
                <w:sz w:val="20"/>
                <w:szCs w:val="20"/>
                <w:color w:val="auto"/>
              </w:rPr>
            </w:pPr>
            <w:r>
              <w:rPr>
                <w:rFonts w:ascii="Arial" w:cs="Arial" w:eastAsia="Arial" w:hAnsi="Arial"/>
                <w:sz w:val="18"/>
                <w:szCs w:val="18"/>
                <w:color w:val="auto"/>
                <w:w w:val="91"/>
              </w:rPr>
              <w:t>2.02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Cash Transaction</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7.03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Event of Default</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6.01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Judgment Currency</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89"/>
              </w:rPr>
              <w:t>10.15(a)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mandatory sinking fund payment</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3.05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optional sinking fund payment</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3.05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Paying Agent</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2.05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record date</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2.04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Registrar</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2.05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Required Currency</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89"/>
              </w:rPr>
              <w:t>10.15(a)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Security Register</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2.05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self-liquidating paper</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7.03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sinking fund payment date</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3.05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Surviving Entity</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5.01(a)</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tranche</w:t>
            </w:r>
          </w:p>
        </w:tc>
        <w:tc>
          <w:tcPr>
            <w:tcW w:w="7260" w:type="dxa"/>
            <w:vAlign w:val="bottom"/>
          </w:tcPr>
          <w:p>
            <w:pPr>
              <w:jc w:val="center"/>
              <w:ind w:left="4490"/>
              <w:spacing w:after="0"/>
              <w:rPr>
                <w:sz w:val="20"/>
                <w:szCs w:val="20"/>
                <w:color w:val="auto"/>
              </w:rPr>
            </w:pPr>
            <w:r>
              <w:rPr>
                <w:rFonts w:ascii="Arial" w:cs="Arial" w:eastAsia="Arial" w:hAnsi="Arial"/>
                <w:sz w:val="18"/>
                <w:szCs w:val="18"/>
                <w:color w:val="auto"/>
                <w:w w:val="91"/>
              </w:rPr>
              <w:t>2.14</w:t>
            </w:r>
          </w:p>
        </w:tc>
      </w:tr>
      <w:tr>
        <w:trPr>
          <w:trHeight w:val="324"/>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580" w:right="339" w:bottom="1440" w:gutter="0" w:footer="0" w:header="0"/>
        </w:sectPr>
      </w:pPr>
    </w:p>
    <w:bookmarkStart w:id="108" w:name="page109"/>
    <w:bookmarkEnd w:id="108"/>
    <w:p>
      <w:pPr>
        <w:ind w:right="380" w:firstLine="648"/>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“institutional trustee” means the Trustee;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225" w:lineRule="exact"/>
        <w:rPr>
          <w:sz w:val="20"/>
          <w:szCs w:val="20"/>
          <w:color w:val="auto"/>
        </w:rPr>
      </w:pPr>
    </w:p>
    <w:p>
      <w:pPr>
        <w:ind w:left="1360" w:hanging="510"/>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1360" w:hanging="510"/>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Article, Section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subdivision;</w:t>
      </w:r>
    </w:p>
    <w:p>
      <w:pPr>
        <w:spacing w:after="0" w:line="210" w:lineRule="exact"/>
        <w:rPr>
          <w:rFonts w:ascii="Arial" w:cs="Arial" w:eastAsia="Arial" w:hAnsi="Arial"/>
          <w:sz w:val="16"/>
          <w:szCs w:val="16"/>
          <w:color w:val="auto"/>
        </w:rPr>
      </w:pPr>
    </w:p>
    <w:p>
      <w:pPr>
        <w:ind w:left="1380" w:hanging="53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225" w:lineRule="exact"/>
        <w:rPr>
          <w:rFonts w:ascii="Arial" w:cs="Arial" w:eastAsia="Arial" w:hAnsi="Arial"/>
          <w:sz w:val="18"/>
          <w:szCs w:val="18"/>
          <w:color w:val="auto"/>
        </w:rPr>
      </w:pPr>
    </w:p>
    <w:p>
      <w:pPr>
        <w:ind w:right="60" w:firstLine="850"/>
        <w:spacing w:after="0" w:line="277" w:lineRule="auto"/>
        <w:tabs>
          <w:tab w:leader="none" w:pos="13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9" w:name="page110"/>
    <w:bookmarkEnd w:id="109"/>
    <w:p>
      <w:pPr>
        <w:ind w:right="20"/>
        <w:spacing w:after="0" w:line="277" w:lineRule="auto"/>
        <w:rPr>
          <w:sz w:val="20"/>
          <w:szCs w:val="20"/>
          <w:color w:val="auto"/>
        </w:rPr>
      </w:pPr>
      <w:r>
        <w:rPr>
          <w:rFonts w:ascii="Arial" w:cs="Arial" w:eastAsia="Arial" w:hAnsi="Arial"/>
          <w:sz w:val="18"/>
          <w:szCs w:val="18"/>
          <w:color w:val="auto"/>
        </w:rPr>
        <w:t>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Trustee, at the expense of the Company, may appoint an authenticating agent (the “Authenticating Agent”) to authenticate Securities. The Authenticating Agent may authenticate Securities whenever the Trustee may do so. Each reference in this Indenture to authentication by the Trustee includes authentication by such Authenticating Agent.</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Security shall not be valid until the Trustee or Authenticating Agent manually signs the certificate of authentication on the Security. The signature shall be conclusive evidence that the Security has been authenticated under this Indenture.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8" w:lineRule="exact"/>
        <w:rPr>
          <w:sz w:val="20"/>
          <w:szCs w:val="20"/>
          <w:color w:val="auto"/>
        </w:rPr>
      </w:pPr>
    </w:p>
    <w:p>
      <w:pPr>
        <w:ind w:right="180" w:firstLine="850"/>
        <w:spacing w:after="0" w:line="277" w:lineRule="auto"/>
        <w:tabs>
          <w:tab w:leader="none" w:pos="13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170" w:lineRule="exact"/>
        <w:rPr>
          <w:rFonts w:ascii="Arial" w:cs="Arial" w:eastAsia="Arial" w:hAnsi="Arial"/>
          <w:sz w:val="18"/>
          <w:szCs w:val="18"/>
          <w:color w:val="auto"/>
        </w:rPr>
      </w:pPr>
    </w:p>
    <w:p>
      <w:pPr>
        <w:ind w:right="80" w:firstLine="850"/>
        <w:spacing w:after="0" w:line="263" w:lineRule="auto"/>
        <w:tabs>
          <w:tab w:leader="none" w:pos="13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183" w:lineRule="exact"/>
        <w:rPr>
          <w:rFonts w:ascii="Arial" w:cs="Arial" w:eastAsia="Arial" w:hAnsi="Arial"/>
          <w:sz w:val="18"/>
          <w:szCs w:val="18"/>
          <w:color w:val="auto"/>
        </w:rPr>
      </w:pPr>
    </w:p>
    <w:p>
      <w:pPr>
        <w:ind w:firstLine="850"/>
        <w:spacing w:after="0" w:line="296" w:lineRule="auto"/>
        <w:tabs>
          <w:tab w:leader="none" w:pos="135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10" w:name="page111"/>
    <w:bookmarkEnd w:id="110"/>
    <w:p>
      <w:pPr>
        <w:ind w:right="260"/>
        <w:spacing w:after="0" w:line="342" w:lineRule="auto"/>
        <w:rPr>
          <w:sz w:val="20"/>
          <w:szCs w:val="20"/>
          <w:color w:val="auto"/>
        </w:rPr>
      </w:pPr>
      <w:r>
        <w:rPr>
          <w:rFonts w:ascii="Arial" w:cs="Arial" w:eastAsia="Arial" w:hAnsi="Arial"/>
          <w:sz w:val="16"/>
          <w:szCs w:val="16"/>
          <w:color w:val="auto"/>
        </w:rPr>
        <w:t>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2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Securities may be issued in one or more series and each such series shall rank equally and pari passu with the Securities of each other series, but all Securities hereunder shall be subordinate and junior in right of payment, to the extent and manner</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1" w:name="page112"/>
    <w:bookmarkEnd w:id="111"/>
    <w:p>
      <w:pPr>
        <w:ind w:right="340"/>
        <w:spacing w:after="0" w:line="277" w:lineRule="auto"/>
        <w:rPr>
          <w:sz w:val="20"/>
          <w:szCs w:val="20"/>
          <w:color w:val="auto"/>
        </w:rPr>
      </w:pPr>
      <w:r>
        <w:rPr>
          <w:rFonts w:ascii="Arial" w:cs="Arial" w:eastAsia="Arial" w:hAnsi="Arial"/>
          <w:sz w:val="18"/>
          <w:szCs w:val="18"/>
          <w:color w:val="auto"/>
        </w:rPr>
        <w:t>set forth in Article 11, to all Senior Indebtedness. There shall be established in or pursuant to Board Resolution or one or more indentures supplemental hereto, prior to the initial issuance of Securities of any series, subject to the last sentence of this Section 2.03,</w:t>
      </w:r>
    </w:p>
    <w:p>
      <w:pPr>
        <w:spacing w:after="0" w:line="170" w:lineRule="exact"/>
        <w:rPr>
          <w:sz w:val="20"/>
          <w:szCs w:val="20"/>
          <w:color w:val="auto"/>
        </w:rPr>
      </w:pPr>
    </w:p>
    <w:p>
      <w:pPr>
        <w:ind w:left="1360" w:hanging="510"/>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designation of the Securities of the series, which shall distinguish the Securities of the series from the Securities of all other series;</w:t>
      </w:r>
    </w:p>
    <w:p>
      <w:pPr>
        <w:spacing w:after="0" w:line="248" w:lineRule="exact"/>
        <w:rPr>
          <w:rFonts w:ascii="Arial" w:cs="Arial" w:eastAsia="Arial" w:hAnsi="Arial"/>
          <w:sz w:val="16"/>
          <w:szCs w:val="16"/>
          <w:color w:val="auto"/>
        </w:rPr>
      </w:pPr>
    </w:p>
    <w:p>
      <w:pPr>
        <w:jc w:val="both"/>
        <w:ind w:firstLine="850"/>
        <w:spacing w:after="0" w:line="259" w:lineRule="auto"/>
        <w:tabs>
          <w:tab w:leader="none" w:pos="13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6" w:lineRule="exact"/>
        <w:rPr>
          <w:rFonts w:ascii="Arial" w:cs="Arial" w:eastAsia="Arial" w:hAnsi="Arial"/>
          <w:sz w:val="18"/>
          <w:szCs w:val="18"/>
          <w:color w:val="auto"/>
        </w:rPr>
      </w:pPr>
    </w:p>
    <w:p>
      <w:pPr>
        <w:ind w:left="1360" w:hanging="510"/>
        <w:spacing w:after="0"/>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(which date or dates may be fixed or extendible);</w:t>
      </w:r>
    </w:p>
    <w:p>
      <w:pPr>
        <w:spacing w:after="0" w:line="236" w:lineRule="exact"/>
        <w:rPr>
          <w:rFonts w:ascii="Arial" w:cs="Arial" w:eastAsia="Arial" w:hAnsi="Arial"/>
          <w:sz w:val="17"/>
          <w:szCs w:val="17"/>
          <w:color w:val="auto"/>
        </w:rPr>
      </w:pPr>
    </w:p>
    <w:p>
      <w:pPr>
        <w:ind w:right="180" w:firstLine="850"/>
        <w:spacing w:after="0" w:line="286" w:lineRule="auto"/>
        <w:tabs>
          <w:tab w:leader="none" w:pos="136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65" w:lineRule="exact"/>
        <w:rPr>
          <w:rFonts w:ascii="Arial" w:cs="Arial" w:eastAsia="Arial" w:hAnsi="Arial"/>
          <w:sz w:val="17"/>
          <w:szCs w:val="17"/>
          <w:color w:val="auto"/>
        </w:rPr>
      </w:pPr>
    </w:p>
    <w:p>
      <w:pPr>
        <w:jc w:val="both"/>
        <w:ind w:right="220" w:firstLine="850"/>
        <w:spacing w:after="0" w:line="263" w:lineRule="auto"/>
        <w:tabs>
          <w:tab w:leader="none" w:pos="13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spacing w:after="0" w:line="183" w:lineRule="exact"/>
        <w:rPr>
          <w:rFonts w:ascii="Arial" w:cs="Arial" w:eastAsia="Arial" w:hAnsi="Arial"/>
          <w:sz w:val="18"/>
          <w:szCs w:val="18"/>
          <w:color w:val="auto"/>
        </w:rPr>
      </w:pPr>
    </w:p>
    <w:p>
      <w:pPr>
        <w:ind w:right="180" w:firstLine="850"/>
        <w:spacing w:after="0" w:line="263" w:lineRule="auto"/>
        <w:tabs>
          <w:tab w:leader="none" w:pos="13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83" w:lineRule="exact"/>
        <w:rPr>
          <w:rFonts w:ascii="Arial" w:cs="Arial" w:eastAsia="Arial" w:hAnsi="Arial"/>
          <w:sz w:val="18"/>
          <w:szCs w:val="18"/>
          <w:color w:val="auto"/>
        </w:rPr>
      </w:pPr>
    </w:p>
    <w:p>
      <w:pPr>
        <w:ind w:right="60" w:firstLine="850"/>
        <w:spacing w:after="0" w:line="311" w:lineRule="auto"/>
        <w:tabs>
          <w:tab w:leader="none" w:pos="136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148" w:lineRule="exact"/>
        <w:rPr>
          <w:rFonts w:ascii="Arial" w:cs="Arial" w:eastAsia="Arial" w:hAnsi="Arial"/>
          <w:sz w:val="16"/>
          <w:szCs w:val="16"/>
          <w:color w:val="auto"/>
        </w:rPr>
      </w:pPr>
    </w:p>
    <w:p>
      <w:pPr>
        <w:ind w:left="1380" w:hanging="530"/>
        <w:spacing w:after="0"/>
        <w:tabs>
          <w:tab w:leader="none" w:pos="13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right="380" w:firstLine="850"/>
        <w:spacing w:after="0" w:line="277" w:lineRule="auto"/>
        <w:tabs>
          <w:tab w:leader="none" w:pos="13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p>
      <w:pPr>
        <w:ind w:right="180" w:firstLine="850"/>
        <w:spacing w:after="0" w:line="259" w:lineRule="auto"/>
        <w:tabs>
          <w:tab w:leader="none" w:pos="13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6" w:lineRule="exact"/>
        <w:rPr>
          <w:rFonts w:ascii="Arial" w:cs="Arial" w:eastAsia="Arial" w:hAnsi="Arial"/>
          <w:sz w:val="18"/>
          <w:szCs w:val="18"/>
          <w:color w:val="auto"/>
        </w:rPr>
      </w:pPr>
    </w:p>
    <w:p>
      <w:pPr>
        <w:ind w:firstLine="850"/>
        <w:spacing w:after="0" w:line="263" w:lineRule="auto"/>
        <w:tabs>
          <w:tab w:leader="none" w:pos="13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83" w:lineRule="exact"/>
        <w:rPr>
          <w:rFonts w:ascii="Arial" w:cs="Arial" w:eastAsia="Arial" w:hAnsi="Arial"/>
          <w:sz w:val="18"/>
          <w:szCs w:val="18"/>
          <w:color w:val="auto"/>
        </w:rPr>
      </w:pPr>
    </w:p>
    <w:p>
      <w:pPr>
        <w:ind w:left="1340" w:hanging="490"/>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Securities of the series or any portion thereof will be issuable as Global Securities;</w:t>
      </w:r>
    </w:p>
    <w:p>
      <w:pPr>
        <w:spacing w:after="0" w:line="225" w:lineRule="exact"/>
        <w:rPr>
          <w:rFonts w:ascii="Arial" w:cs="Arial" w:eastAsia="Arial" w:hAnsi="Arial"/>
          <w:sz w:val="18"/>
          <w:szCs w:val="18"/>
          <w:color w:val="auto"/>
        </w:rPr>
      </w:pPr>
    </w:p>
    <w:p>
      <w:pPr>
        <w:ind w:left="1420" w:hanging="570"/>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w:t>
      </w:r>
    </w:p>
    <w:p>
      <w:pPr>
        <w:spacing w:after="0" w:line="210" w:lineRule="exact"/>
        <w:rPr>
          <w:rFonts w:ascii="Arial" w:cs="Arial" w:eastAsia="Arial" w:hAnsi="Arial"/>
          <w:sz w:val="16"/>
          <w:szCs w:val="16"/>
          <w:color w:val="auto"/>
        </w:rPr>
      </w:pPr>
    </w:p>
    <w:p>
      <w:pPr>
        <w:ind w:right="60" w:firstLine="850"/>
        <w:spacing w:after="0" w:line="263" w:lineRule="auto"/>
        <w:tabs>
          <w:tab w:leader="none" w:pos="13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83" w:lineRule="exact"/>
        <w:rPr>
          <w:rFonts w:ascii="Arial" w:cs="Arial" w:eastAsia="Arial" w:hAnsi="Arial"/>
          <w:sz w:val="18"/>
          <w:szCs w:val="18"/>
          <w:color w:val="auto"/>
        </w:rPr>
      </w:pPr>
    </w:p>
    <w:p>
      <w:pPr>
        <w:ind w:firstLine="850"/>
        <w:spacing w:after="0" w:line="263" w:lineRule="auto"/>
        <w:tabs>
          <w:tab w:leader="none" w:pos="13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right="640" w:firstLine="850"/>
        <w:spacing w:after="0" w:line="277" w:lineRule="auto"/>
        <w:tabs>
          <w:tab w:leader="none" w:pos="13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the registrar or any other agents with respect to the Securities of the series;</w:t>
      </w:r>
    </w:p>
    <w:p>
      <w:pPr>
        <w:spacing w:after="0" w:line="170" w:lineRule="exact"/>
        <w:rPr>
          <w:rFonts w:ascii="Arial" w:cs="Arial" w:eastAsia="Arial" w:hAnsi="Arial"/>
          <w:sz w:val="18"/>
          <w:szCs w:val="18"/>
          <w:color w:val="auto"/>
        </w:rPr>
      </w:pPr>
    </w:p>
    <w:p>
      <w:pPr>
        <w:ind w:firstLine="850"/>
        <w:spacing w:after="0" w:line="263" w:lineRule="auto"/>
        <w:tabs>
          <w:tab w:leader="none" w:pos="13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183" w:lineRule="exact"/>
        <w:rPr>
          <w:rFonts w:ascii="Arial" w:cs="Arial" w:eastAsia="Arial" w:hAnsi="Arial"/>
          <w:sz w:val="18"/>
          <w:szCs w:val="18"/>
          <w:color w:val="auto"/>
        </w:rPr>
      </w:pPr>
    </w:p>
    <w:p>
      <w:pPr>
        <w:ind w:right="140" w:firstLine="850"/>
        <w:spacing w:after="0" w:line="277" w:lineRule="auto"/>
        <w:tabs>
          <w:tab w:leader="none" w:pos="13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70" w:lineRule="exact"/>
        <w:rPr>
          <w:rFonts w:ascii="Arial" w:cs="Arial" w:eastAsia="Arial" w:hAnsi="Arial"/>
          <w:sz w:val="18"/>
          <w:szCs w:val="18"/>
          <w:color w:val="auto"/>
        </w:rPr>
      </w:pPr>
    </w:p>
    <w:p>
      <w:pPr>
        <w:ind w:left="1360" w:hanging="510"/>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the series; and</w:t>
      </w:r>
    </w:p>
    <w:p>
      <w:pPr>
        <w:spacing w:after="0" w:line="225" w:lineRule="exact"/>
        <w:rPr>
          <w:rFonts w:ascii="Arial" w:cs="Arial" w:eastAsia="Arial" w:hAnsi="Arial"/>
          <w:sz w:val="18"/>
          <w:szCs w:val="18"/>
          <w:color w:val="auto"/>
        </w:rPr>
      </w:pPr>
    </w:p>
    <w:p>
      <w:pPr>
        <w:ind w:left="1340" w:hanging="490"/>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13" w:name="page114"/>
    <w:bookmarkEnd w:id="113"/>
    <w:p>
      <w:pPr>
        <w:ind w:firstLine="648"/>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spacing w:after="0" w:line="12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Arial" w:cs="Arial" w:eastAsia="Arial" w:hAnsi="Arial"/>
          <w:sz w:val="16"/>
          <w:szCs w:val="16"/>
          <w:b w:val="1"/>
          <w:bCs w:val="1"/>
          <w:color w:val="auto"/>
        </w:rPr>
        <w:t>record date</w:t>
      </w:r>
      <w:r>
        <w:rPr>
          <w:rFonts w:ascii="Arial" w:cs="Arial" w:eastAsia="Arial" w:hAnsi="Arial"/>
          <w:sz w:val="16"/>
          <w:szCs w:val="16"/>
          <w:color w:val="auto"/>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6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r>
        <w:rPr>
          <w:rFonts w:ascii="Arial" w:cs="Arial" w:eastAsia="Arial" w:hAnsi="Arial"/>
          <w:sz w:val="18"/>
          <w:szCs w:val="18"/>
          <w:color w:val="auto"/>
        </w:rPr>
        <w:t>. The Company shall maintain an office or agency where Securities may be presented for registration, 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and an office or agency where Securities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which shall be in the Borough of Manhattan, The City of New York.</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4" w:name="page115"/>
    <w:bookmarkEnd w:id="114"/>
    <w:p>
      <w:pPr>
        <w:ind w:right="740" w:firstLine="648"/>
        <w:spacing w:after="0" w:line="312" w:lineRule="auto"/>
        <w:rPr>
          <w:sz w:val="20"/>
          <w:szCs w:val="20"/>
          <w:color w:val="auto"/>
        </w:rPr>
      </w:pPr>
      <w:r>
        <w:rPr>
          <w:rFonts w:ascii="Arial" w:cs="Arial" w:eastAsia="Arial" w:hAnsi="Arial"/>
          <w:sz w:val="17"/>
          <w:szCs w:val="17"/>
          <w:color w:val="auto"/>
        </w:rPr>
        <w:t>The Company shall cause the Registrar to keep a register of the Securities and of their registration, transfer and exchange (the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Register</w:t>
      </w:r>
      <w:r>
        <w:rPr>
          <w:rFonts w:ascii="Arial" w:cs="Arial" w:eastAsia="Arial" w:hAnsi="Arial"/>
          <w:sz w:val="17"/>
          <w:szCs w:val="17"/>
          <w:color w:val="auto"/>
        </w:rPr>
        <w:t>”). The Company may have one or more additional Paying Agents or transfer agents with respect to any series.</w:t>
      </w:r>
    </w:p>
    <w:p>
      <w:pPr>
        <w:spacing w:after="0" w:line="14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the Company nor an affiliate of the Company shall act as Paying Agent in connection with the defeasance of the Securities or the discharge of this Indenture under Article 8.</w:t>
      </w:r>
    </w:p>
    <w:p>
      <w:pPr>
        <w:spacing w:after="0" w:line="18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6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6" w:name="page117"/>
    <w:bookmarkEnd w:id="116"/>
    <w:p>
      <w:pPr>
        <w:jc w:val="both"/>
        <w:ind w:right="400"/>
        <w:spacing w:after="0" w:line="263" w:lineRule="auto"/>
        <w:rPr>
          <w:sz w:val="20"/>
          <w:szCs w:val="20"/>
          <w:color w:val="auto"/>
        </w:rPr>
      </w:pPr>
      <w:r>
        <w:rPr>
          <w:rFonts w:ascii="Arial" w:cs="Arial" w:eastAsia="Arial" w:hAnsi="Arial"/>
          <w:sz w:val="18"/>
          <w:szCs w:val="18"/>
          <w:color w:val="auto"/>
        </w:rPr>
        <w:t>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87" w:lineRule="exact"/>
        <w:rPr>
          <w:sz w:val="20"/>
          <w:szCs w:val="20"/>
          <w:color w:val="auto"/>
        </w:rPr>
      </w:pPr>
    </w:p>
    <w:p>
      <w:pPr>
        <w:ind w:firstLine="850"/>
        <w:spacing w:after="0" w:line="263" w:lineRule="auto"/>
        <w:tabs>
          <w:tab w:leader="none" w:pos="13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83" w:lineRule="exact"/>
        <w:rPr>
          <w:rFonts w:ascii="Arial" w:cs="Arial" w:eastAsia="Arial" w:hAnsi="Arial"/>
          <w:sz w:val="18"/>
          <w:szCs w:val="18"/>
          <w:color w:val="auto"/>
        </w:rPr>
      </w:pPr>
    </w:p>
    <w:p>
      <w:pPr>
        <w:jc w:val="both"/>
        <w:ind w:right="120" w:firstLine="850"/>
        <w:spacing w:after="0" w:line="263" w:lineRule="auto"/>
        <w:tabs>
          <w:tab w:leader="none" w:pos="13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ind w:right="20" w:firstLine="648"/>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2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8"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8" w:name="page119"/>
    <w:bookmarkEnd w:id="118"/>
    <w:p>
      <w:pPr>
        <w:ind w:right="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70"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Securities</w:t>
      </w:r>
      <w:r>
        <w:rPr>
          <w:rFonts w:ascii="Arial" w:cs="Arial" w:eastAsia="Arial" w:hAnsi="Arial"/>
          <w:sz w:val="17"/>
          <w:szCs w:val="17"/>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18"/>
          <w:szCs w:val="18"/>
          <w:color w:val="auto"/>
        </w:rPr>
        <w:t>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74" w:lineRule="exact"/>
        <w:rPr>
          <w:sz w:val="20"/>
          <w:szCs w:val="20"/>
          <w:color w:val="auto"/>
        </w:rPr>
      </w:pPr>
    </w:p>
    <w:p>
      <w:pPr>
        <w:ind w:right="160" w:firstLine="648"/>
        <w:spacing w:after="0" w:line="292"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Series May Include Tranches</w:t>
      </w:r>
      <w:r>
        <w:rPr>
          <w:rFonts w:ascii="Arial" w:cs="Arial" w:eastAsia="Arial" w:hAnsi="Arial"/>
          <w:sz w:val="16"/>
          <w:szCs w:val="16"/>
          <w:color w:val="auto"/>
        </w:rPr>
        <w:t>. A series of Securities may include one or more tranches (each a “</w:t>
      </w:r>
      <w:r>
        <w:rPr>
          <w:rFonts w:ascii="Arial" w:cs="Arial" w:eastAsia="Arial" w:hAnsi="Arial"/>
          <w:sz w:val="16"/>
          <w:szCs w:val="16"/>
          <w:b w:val="1"/>
          <w:bCs w:val="1"/>
          <w:color w:val="auto"/>
        </w:rPr>
        <w:t>tranche</w:t>
      </w:r>
      <w:r>
        <w:rPr>
          <w:rFonts w:ascii="Arial" w:cs="Arial" w:eastAsia="Arial" w:hAnsi="Arial"/>
          <w:sz w:val="16"/>
          <w:szCs w:val="16"/>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t>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6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1" w:name="page122"/>
    <w:bookmarkEnd w:id="121"/>
    <w:p>
      <w:pPr>
        <w:ind w:right="60" w:firstLine="648"/>
        <w:spacing w:after="0" w:line="286" w:lineRule="auto"/>
        <w:rPr>
          <w:sz w:val="20"/>
          <w:szCs w:val="20"/>
          <w:color w:val="auto"/>
        </w:rPr>
      </w:pPr>
      <w:r>
        <w:rPr>
          <w:rFonts w:ascii="Arial" w:cs="Arial" w:eastAsia="Arial" w:hAnsi="Arial"/>
          <w:sz w:val="16"/>
          <w:szCs w:val="16"/>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7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Payment Of Securities Called For Redemption</w:t>
      </w:r>
      <w:r>
        <w:rPr>
          <w:rFonts w:ascii="Arial" w:cs="Arial" w:eastAsia="Arial" w:hAnsi="Arial"/>
          <w:sz w:val="16"/>
          <w:szCs w:val="16"/>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jc w:val="both"/>
        <w:ind w:right="100"/>
        <w:spacing w:after="0" w:line="259" w:lineRule="auto"/>
        <w:rPr>
          <w:sz w:val="20"/>
          <w:szCs w:val="20"/>
          <w:color w:val="auto"/>
        </w:rPr>
      </w:pPr>
      <w:r>
        <w:rPr>
          <w:rFonts w:ascii="Arial" w:cs="Arial" w:eastAsia="Arial" w:hAnsi="Arial"/>
          <w:sz w:val="18"/>
          <w:szCs w:val="18"/>
          <w:color w:val="auto"/>
        </w:rPr>
        <w:t>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Exclusion of Certain Securities from Eligibility for Selection for Redemption</w:t>
      </w:r>
      <w:r>
        <w:rPr>
          <w:rFonts w:ascii="Arial" w:cs="Arial" w:eastAsia="Arial" w:hAnsi="Arial"/>
          <w:sz w:val="16"/>
          <w:szCs w:val="16"/>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ind w:firstLine="648"/>
        <w:spacing w:after="0" w:line="286" w:lineRule="auto"/>
        <w:rPr>
          <w:sz w:val="20"/>
          <w:szCs w:val="20"/>
          <w:color w:val="auto"/>
        </w:rPr>
      </w:pPr>
      <w:r>
        <w:rPr>
          <w:rFonts w:ascii="Arial" w:cs="Arial" w:eastAsia="Arial" w:hAnsi="Arial"/>
          <w:sz w:val="16"/>
          <w:szCs w:val="16"/>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ind w:right="80"/>
        <w:spacing w:after="0" w:line="271" w:lineRule="auto"/>
        <w:rPr>
          <w:sz w:val="20"/>
          <w:szCs w:val="20"/>
          <w:color w:val="auto"/>
        </w:rPr>
      </w:pPr>
      <w:r>
        <w:rPr>
          <w:rFonts w:ascii="Arial" w:cs="Arial" w:eastAsia="Arial" w:hAnsi="Arial"/>
          <w:sz w:val="17"/>
          <w:szCs w:val="17"/>
          <w:color w:val="auto"/>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7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Securities</w:t>
      </w:r>
      <w:r>
        <w:rPr>
          <w:rFonts w:ascii="Arial" w:cs="Arial" w:eastAsia="Arial" w:hAnsi="Arial"/>
          <w:sz w:val="17"/>
          <w:szCs w:val="17"/>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5" w:name="page126"/>
    <w:bookmarkEnd w:id="125"/>
    <w:p>
      <w:pPr>
        <w:ind w:right="40" w:firstLine="648"/>
        <w:spacing w:after="0" w:line="287"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7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7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r>
        <w:rPr>
          <w:rFonts w:ascii="Arial" w:cs="Arial" w:eastAsia="Arial" w:hAnsi="Arial"/>
          <w:sz w:val="18"/>
          <w:szCs w:val="18"/>
          <w:color w:val="auto"/>
        </w:rPr>
        <w:t xml:space="preserve"> . The Company will furnish or cause to be furnished to the Trustee a list in such form as the Trustee may reasonably require of the names and addresses of the holders of the Securities pursuant to Section 312 of the Trust</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26" w:name="page127"/>
    <w:bookmarkEnd w:id="126"/>
    <w:p>
      <w:pPr>
        <w:ind w:right="540"/>
        <w:spacing w:after="0" w:line="286" w:lineRule="auto"/>
        <w:rPr>
          <w:sz w:val="20"/>
          <w:szCs w:val="20"/>
          <w:color w:val="auto"/>
        </w:rPr>
      </w:pPr>
      <w:r>
        <w:rPr>
          <w:rFonts w:ascii="Arial" w:cs="Arial" w:eastAsia="Arial" w:hAnsi="Arial"/>
          <w:sz w:val="17"/>
          <w:szCs w:val="17"/>
          <w:color w:val="auto"/>
        </w:rPr>
        <w:t>Indenture 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r>
        <w:rPr>
          <w:rFonts w:ascii="Arial" w:cs="Arial" w:eastAsia="Arial" w:hAnsi="Arial"/>
          <w:sz w:val="18"/>
          <w:szCs w:val="18"/>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Additional Amounts</w:t>
      </w:r>
      <w:r>
        <w:rPr>
          <w:rFonts w:ascii="Arial" w:cs="Arial" w:eastAsia="Arial" w:hAnsi="Arial"/>
          <w:sz w:val="16"/>
          <w:szCs w:val="16"/>
          <w:color w:val="auto"/>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7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7" w:name="page128"/>
    <w:bookmarkEnd w:id="127"/>
    <w:p>
      <w:pPr>
        <w:ind w:right="160"/>
        <w:spacing w:after="0" w:line="277" w:lineRule="auto"/>
        <w:rPr>
          <w:sz w:val="20"/>
          <w:szCs w:val="20"/>
          <w:color w:val="auto"/>
        </w:rPr>
      </w:pPr>
      <w:r>
        <w:rPr>
          <w:rFonts w:ascii="Arial" w:cs="Arial" w:eastAsia="Arial" w:hAnsi="Arial"/>
          <w:sz w:val="18"/>
          <w:szCs w:val="18"/>
          <w:color w:val="auto"/>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 CORPORATION</w:t>
      </w:r>
    </w:p>
    <w:p>
      <w:pPr>
        <w:spacing w:after="0" w:line="211"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49" w:lineRule="exact"/>
        <w:rPr>
          <w:sz w:val="20"/>
          <w:szCs w:val="20"/>
          <w:color w:val="auto"/>
        </w:rPr>
      </w:pPr>
    </w:p>
    <w:p>
      <w:pPr>
        <w:ind w:firstLine="850"/>
        <w:spacing w:after="0" w:line="263" w:lineRule="auto"/>
        <w:tabs>
          <w:tab w:leader="none" w:pos="13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or the United States of America or any State or territory thereof;</w:t>
      </w:r>
    </w:p>
    <w:p>
      <w:pPr>
        <w:spacing w:after="0" w:line="183" w:lineRule="exact"/>
        <w:rPr>
          <w:rFonts w:ascii="Arial" w:cs="Arial" w:eastAsia="Arial" w:hAnsi="Arial"/>
          <w:sz w:val="18"/>
          <w:szCs w:val="18"/>
          <w:color w:val="auto"/>
        </w:rPr>
      </w:pPr>
    </w:p>
    <w:p>
      <w:pPr>
        <w:ind w:right="240" w:firstLine="850"/>
        <w:spacing w:after="0" w:line="263" w:lineRule="auto"/>
        <w:tabs>
          <w:tab w:leader="none" w:pos="13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83" w:lineRule="exact"/>
        <w:rPr>
          <w:rFonts w:ascii="Arial" w:cs="Arial" w:eastAsia="Arial" w:hAnsi="Arial"/>
          <w:sz w:val="18"/>
          <w:szCs w:val="18"/>
          <w:color w:val="auto"/>
        </w:rPr>
      </w:pPr>
    </w:p>
    <w:p>
      <w:pPr>
        <w:ind w:left="1360" w:hanging="510"/>
        <w:spacing w:after="0"/>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or series of transactions on a pro forma basis, no Default has occurred and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 and</w:t>
      </w:r>
    </w:p>
    <w:p>
      <w:pPr>
        <w:spacing w:after="0" w:line="210" w:lineRule="exact"/>
        <w:rPr>
          <w:rFonts w:ascii="Arial" w:cs="Arial" w:eastAsia="Arial" w:hAnsi="Arial"/>
          <w:sz w:val="17"/>
          <w:szCs w:val="17"/>
          <w:color w:val="auto"/>
        </w:rPr>
      </w:pPr>
    </w:p>
    <w:p>
      <w:pPr>
        <w:ind w:right="100" w:firstLine="850"/>
        <w:spacing w:after="0" w:line="257" w:lineRule="auto"/>
        <w:tabs>
          <w:tab w:leader="none" w:pos="13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8" w:name="page129"/>
    <w:bookmarkEnd w:id="128"/>
    <w:p>
      <w:pPr>
        <w:jc w:val="center"/>
        <w:ind w:right="-7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DEFAULT AND REMEDIES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with respect to the Securities of any series if:</w:t>
      </w:r>
    </w:p>
    <w:p>
      <w:pPr>
        <w:spacing w:after="0" w:line="229" w:lineRule="exact"/>
        <w:rPr>
          <w:sz w:val="20"/>
          <w:szCs w:val="20"/>
          <w:color w:val="auto"/>
        </w:rPr>
      </w:pPr>
    </w:p>
    <w:p>
      <w:pPr>
        <w:ind w:right="620" w:firstLine="850"/>
        <w:spacing w:after="0" w:line="308" w:lineRule="auto"/>
        <w:tabs>
          <w:tab w:leader="none" w:pos="1357"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46" w:lineRule="exact"/>
        <w:rPr>
          <w:rFonts w:ascii="Arial" w:cs="Arial" w:eastAsia="Arial" w:hAnsi="Arial"/>
          <w:sz w:val="17"/>
          <w:szCs w:val="17"/>
          <w:color w:val="auto"/>
        </w:rPr>
      </w:pPr>
    </w:p>
    <w:p>
      <w:pPr>
        <w:ind w:right="420" w:firstLine="850"/>
        <w:spacing w:after="0" w:line="277" w:lineRule="auto"/>
        <w:tabs>
          <w:tab w:leader="none" w:pos="13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20" w:firstLine="850"/>
        <w:spacing w:after="0" w:line="296" w:lineRule="auto"/>
        <w:tabs>
          <w:tab w:leader="none" w:pos="135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61" w:lineRule="exact"/>
        <w:rPr>
          <w:rFonts w:ascii="Arial" w:cs="Arial" w:eastAsia="Arial" w:hAnsi="Arial"/>
          <w:sz w:val="16"/>
          <w:szCs w:val="16"/>
          <w:color w:val="auto"/>
        </w:rPr>
      </w:pPr>
    </w:p>
    <w:p>
      <w:pPr>
        <w:ind w:right="20" w:firstLine="850"/>
        <w:spacing w:after="0" w:line="259" w:lineRule="auto"/>
        <w:tabs>
          <w:tab w:leader="none" w:pos="13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firstLine="850"/>
        <w:spacing w:after="0" w:line="259" w:lineRule="auto"/>
        <w:tabs>
          <w:tab w:leader="none" w:pos="13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86" w:lineRule="exact"/>
        <w:rPr>
          <w:rFonts w:ascii="Arial" w:cs="Arial" w:eastAsia="Arial" w:hAnsi="Arial"/>
          <w:sz w:val="18"/>
          <w:szCs w:val="18"/>
          <w:color w:val="auto"/>
        </w:rPr>
      </w:pPr>
    </w:p>
    <w:p>
      <w:pPr>
        <w:ind w:left="1340" w:hanging="490"/>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r>
        <w:rPr>
          <w:rFonts w:ascii="Arial" w:cs="Arial" w:eastAsia="Arial" w:hAnsi="Arial"/>
          <w:sz w:val="18"/>
          <w:szCs w:val="18"/>
          <w:color w:val="auto"/>
        </w:rPr>
        <w:t>. (a) If an Event of Default other than as described in clauses (d) or (e) of Section 6.01 with respect to the Securities of any series then outstanding occurs and is continuing, then, and in each and every such case, except for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29" w:name="page130"/>
    <w:bookmarkEnd w:id="129"/>
    <w:p>
      <w:pPr>
        <w:ind w:right="280"/>
        <w:spacing w:after="0" w:line="273" w:lineRule="auto"/>
        <w:rPr>
          <w:sz w:val="20"/>
          <w:szCs w:val="20"/>
          <w:color w:val="auto"/>
        </w:rPr>
      </w:pPr>
      <w:r>
        <w:rPr>
          <w:rFonts w:ascii="Arial" w:cs="Arial" w:eastAsia="Arial" w:hAnsi="Arial"/>
          <w:sz w:val="17"/>
          <w:szCs w:val="17"/>
          <w:color w:val="auto"/>
        </w:rPr>
        <w:t>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178" w:lineRule="exact"/>
        <w:rPr>
          <w:sz w:val="20"/>
          <w:szCs w:val="20"/>
          <w:color w:val="auto"/>
        </w:rPr>
      </w:pPr>
    </w:p>
    <w:p>
      <w:pPr>
        <w:ind w:firstLine="850"/>
        <w:spacing w:after="0" w:line="259" w:lineRule="auto"/>
        <w:tabs>
          <w:tab w:leader="none" w:pos="13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0" w:name="page131"/>
    <w:bookmarkEnd w:id="130"/>
    <w:p>
      <w:pPr>
        <w:ind w:right="260" w:firstLine="648"/>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Other Remedies</w:t>
      </w:r>
      <w:r>
        <w:rPr>
          <w:rFonts w:ascii="Arial" w:cs="Arial" w:eastAsia="Arial" w:hAnsi="Arial"/>
          <w:sz w:val="16"/>
          <w:szCs w:val="16"/>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Control by Majority</w:t>
      </w:r>
      <w:r>
        <w:rPr>
          <w:rFonts w:ascii="Arial" w:cs="Arial" w:eastAsia="Arial" w:hAnsi="Arial"/>
          <w:sz w:val="16"/>
          <w:szCs w:val="16"/>
          <w:color w:val="auto"/>
        </w:rPr>
        <w:t xml:space="preserve">.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may institute any proceeding, judicial or otherwise, with respect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Securities of such series, or for the appointment of a receiver or trustee, or for any other remedy hereunder, unless:</w:t>
      </w:r>
    </w:p>
    <w:p>
      <w:pPr>
        <w:spacing w:after="0" w:line="211" w:lineRule="exact"/>
        <w:rPr>
          <w:sz w:val="20"/>
          <w:szCs w:val="20"/>
          <w:color w:val="auto"/>
        </w:rPr>
      </w:pPr>
    </w:p>
    <w:p>
      <w:pPr>
        <w:ind w:left="1360" w:hanging="510"/>
        <w:spacing w:after="0"/>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Holder has previously given to the Trustee written notice of a continuing Event of Default with respect to the Securities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right="260" w:firstLine="850"/>
        <w:spacing w:after="0" w:line="277" w:lineRule="auto"/>
        <w:tabs>
          <w:tab w:leader="none" w:pos="13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600" w:firstLine="850"/>
        <w:spacing w:after="0" w:line="277" w:lineRule="auto"/>
        <w:tabs>
          <w:tab w:leader="none" w:pos="13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1380" w:hanging="530"/>
        <w:spacing w:after="0"/>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360" w:firstLine="850"/>
        <w:spacing w:after="0" w:line="277" w:lineRule="auto"/>
        <w:tabs>
          <w:tab w:leader="none" w:pos="13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9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 The Trustee may file such proofs of claim and other papers or documents as may be necessary or advisable in order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2" w:name="page133"/>
    <w:bookmarkEnd w:id="132"/>
    <w:p>
      <w:pPr>
        <w:spacing w:after="0" w:line="290" w:lineRule="auto"/>
        <w:rPr>
          <w:sz w:val="20"/>
          <w:szCs w:val="20"/>
          <w:color w:val="auto"/>
        </w:rPr>
      </w:pPr>
      <w:r>
        <w:rPr>
          <w:rFonts w:ascii="Arial" w:cs="Arial" w:eastAsia="Arial" w:hAnsi="Arial"/>
          <w:sz w:val="16"/>
          <w:szCs w:val="16"/>
          <w:color w:val="auto"/>
        </w:rPr>
        <w:t>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left="660" w:right="60" w:firstLine="648"/>
        <w:spacing w:after="0" w:line="275"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6" w:lineRule="exact"/>
        <w:rPr>
          <w:sz w:val="20"/>
          <w:szCs w:val="20"/>
          <w:color w:val="auto"/>
        </w:rPr>
      </w:pPr>
    </w:p>
    <w:p>
      <w:pPr>
        <w:ind w:left="660" w:right="40" w:firstLine="648"/>
        <w:spacing w:after="0" w:line="296"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ind w:left="660"/>
        <w:spacing w:after="0" w:line="259" w:lineRule="auto"/>
        <w:rPr>
          <w:sz w:val="20"/>
          <w:szCs w:val="20"/>
          <w:color w:val="auto"/>
        </w:rPr>
      </w:pPr>
      <w:r>
        <w:rPr>
          <w:rFonts w:ascii="Arial" w:cs="Arial" w:eastAsia="Arial" w:hAnsi="Arial"/>
          <w:sz w:val="18"/>
          <w:szCs w:val="18"/>
          <w:color w:val="auto"/>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To the payment of the remainder, if any, to the Company or any other person lawfully entitled thereto.</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78"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4" w:name="page135"/>
    <w:bookmarkEnd w:id="134"/>
    <w:p>
      <w:pPr>
        <w:ind w:left="51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r>
        <w:rPr>
          <w:rFonts w:ascii="Arial" w:cs="Arial" w:eastAsia="Arial" w:hAnsi="Arial"/>
          <w:sz w:val="18"/>
          <w:szCs w:val="18"/>
          <w:color w:val="auto"/>
        </w:rPr>
        <w:t>. Subject to Trust Indenture Act Sections 315(a) through (d):</w:t>
      </w:r>
    </w:p>
    <w:p>
      <w:pPr>
        <w:spacing w:after="0" w:line="225" w:lineRule="exact"/>
        <w:rPr>
          <w:sz w:val="20"/>
          <w:szCs w:val="20"/>
          <w:color w:val="auto"/>
        </w:rPr>
      </w:pPr>
    </w:p>
    <w:p>
      <w:pPr>
        <w:jc w:val="both"/>
        <w:ind w:right="260" w:firstLine="850"/>
        <w:spacing w:after="0" w:line="257" w:lineRule="auto"/>
        <w:tabs>
          <w:tab w:leader="none" w:pos="13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7" w:lineRule="exact"/>
        <w:rPr>
          <w:rFonts w:ascii="Arial" w:cs="Arial" w:eastAsia="Arial" w:hAnsi="Arial"/>
          <w:sz w:val="18"/>
          <w:szCs w:val="18"/>
          <w:color w:val="auto"/>
        </w:rPr>
      </w:pPr>
    </w:p>
    <w:p>
      <w:pPr>
        <w:ind w:firstLine="850"/>
        <w:spacing w:after="0" w:line="254" w:lineRule="auto"/>
        <w:tabs>
          <w:tab w:leader="none" w:pos="13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1" w:lineRule="exact"/>
        <w:rPr>
          <w:rFonts w:ascii="Arial" w:cs="Arial" w:eastAsia="Arial" w:hAnsi="Arial"/>
          <w:sz w:val="18"/>
          <w:szCs w:val="18"/>
          <w:color w:val="auto"/>
        </w:rPr>
      </w:pPr>
    </w:p>
    <w:p>
      <w:pPr>
        <w:ind w:right="560" w:firstLine="850"/>
        <w:spacing w:after="0" w:line="277" w:lineRule="auto"/>
        <w:tabs>
          <w:tab w:leader="none" w:pos="13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360" w:firstLine="850"/>
        <w:spacing w:after="0" w:line="277" w:lineRule="auto"/>
        <w:tabs>
          <w:tab w:leader="none" w:pos="13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evidenced to the Trustee by a copy thereof certified by the Secretary or an Assistant Secretary of the Company;</w:t>
      </w:r>
    </w:p>
    <w:p>
      <w:pPr>
        <w:spacing w:after="0" w:line="225" w:lineRule="exact"/>
        <w:rPr>
          <w:sz w:val="20"/>
          <w:szCs w:val="20"/>
          <w:color w:val="auto"/>
        </w:rPr>
      </w:pPr>
    </w:p>
    <w:p>
      <w:pPr>
        <w:jc w:val="both"/>
        <w:ind w:right="440" w:firstLine="850"/>
        <w:spacing w:after="0" w:line="263" w:lineRule="auto"/>
        <w:tabs>
          <w:tab w:leader="none" w:pos="13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spacing w:after="0" w:line="183" w:lineRule="exact"/>
        <w:rPr>
          <w:rFonts w:ascii="Arial" w:cs="Arial" w:eastAsia="Arial" w:hAnsi="Arial"/>
          <w:sz w:val="18"/>
          <w:szCs w:val="18"/>
          <w:color w:val="auto"/>
        </w:rPr>
      </w:pPr>
    </w:p>
    <w:p>
      <w:pPr>
        <w:ind w:right="20" w:firstLine="850"/>
        <w:spacing w:after="0" w:line="259" w:lineRule="auto"/>
        <w:tabs>
          <w:tab w:leader="none" w:pos="13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500" w:firstLine="850"/>
        <w:spacing w:after="0" w:line="342" w:lineRule="auto"/>
        <w:tabs>
          <w:tab w:leader="none" w:pos="136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23" w:lineRule="exact"/>
        <w:rPr>
          <w:rFonts w:ascii="Arial" w:cs="Arial" w:eastAsia="Arial" w:hAnsi="Arial"/>
          <w:sz w:val="16"/>
          <w:szCs w:val="16"/>
          <w:color w:val="auto"/>
        </w:rPr>
      </w:pPr>
    </w:p>
    <w:p>
      <w:pPr>
        <w:ind w:firstLine="850"/>
        <w:spacing w:after="0" w:line="291" w:lineRule="auto"/>
        <w:tabs>
          <w:tab w:leader="none" w:pos="1367"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6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However, the Trustee is subject to Trust Indenture Act Sections 310(b) and 311. For purposes of Trust Indenture Act Section 311(b)(4) and (6), the following terms shall mean:</w:t>
      </w:r>
    </w:p>
    <w:p>
      <w:pPr>
        <w:spacing w:after="0" w:line="166" w:lineRule="exact"/>
        <w:rPr>
          <w:sz w:val="20"/>
          <w:szCs w:val="20"/>
          <w:color w:val="auto"/>
        </w:rPr>
      </w:pPr>
    </w:p>
    <w:p>
      <w:pPr>
        <w:ind w:right="40" w:firstLine="850"/>
        <w:spacing w:after="0" w:line="312" w:lineRule="auto"/>
        <w:tabs>
          <w:tab w:leader="none" w:pos="1357"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transaction</w:t>
      </w:r>
      <w:r>
        <w:rPr>
          <w:rFonts w:ascii="Arial" w:cs="Arial" w:eastAsia="Arial" w:hAnsi="Arial"/>
          <w:sz w:val="17"/>
          <w:szCs w:val="17"/>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6" w:name="page137"/>
    <w:bookmarkEnd w:id="136"/>
    <w:p>
      <w:pPr>
        <w:ind w:firstLine="850"/>
        <w:spacing w:after="0" w:line="256" w:lineRule="auto"/>
        <w:tabs>
          <w:tab w:leader="none" w:pos="13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self-liquidating paper</w:t>
      </w:r>
      <w:r>
        <w:rPr>
          <w:rFonts w:ascii="Arial" w:cs="Arial" w:eastAsia="Arial" w:hAnsi="Arial"/>
          <w:sz w:val="18"/>
          <w:szCs w:val="18"/>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9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interest on any Security, the Trustee shall be protected in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notice if the Trustee in good faith determines that the withholding of such notice is in the interests of the Holders.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37" w:name="page138"/>
    <w:bookmarkEnd w:id="137"/>
    <w:p>
      <w:pPr>
        <w:jc w:val="both"/>
        <w:ind w:right="100"/>
        <w:spacing w:after="0" w:line="263" w:lineRule="auto"/>
        <w:rPr>
          <w:sz w:val="20"/>
          <w:szCs w:val="20"/>
          <w:color w:val="auto"/>
        </w:rPr>
      </w:pPr>
      <w:r>
        <w:rPr>
          <w:rFonts w:ascii="Arial" w:cs="Arial" w:eastAsia="Arial" w:hAnsi="Arial"/>
          <w:sz w:val="18"/>
          <w:szCs w:val="18"/>
          <w:color w:val="auto"/>
        </w:rPr>
        <w:t>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6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78"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8" w:name="page139"/>
    <w:bookmarkEnd w:id="138"/>
    <w:p>
      <w:pPr>
        <w:ind w:right="280"/>
        <w:spacing w:after="0" w:line="277" w:lineRule="auto"/>
        <w:rPr>
          <w:sz w:val="20"/>
          <w:szCs w:val="20"/>
          <w:color w:val="auto"/>
        </w:rPr>
      </w:pPr>
      <w:r>
        <w:rPr>
          <w:rFonts w:ascii="Arial" w:cs="Arial" w:eastAsia="Arial" w:hAnsi="Arial"/>
          <w:sz w:val="18"/>
          <w:szCs w:val="18"/>
          <w:color w:val="auto"/>
        </w:rPr>
        <w:t>Trustee is adjudged a bankrupt or insolvent; (iii) a receiver or other public officer takes charge of the Trustee or its property; or (iv) the Trustee becomes incapable of acting.</w:t>
      </w:r>
    </w:p>
    <w:p>
      <w:pPr>
        <w:spacing w:after="0" w:line="170"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Acceptance of Appointment by Successor</w:t>
      </w:r>
      <w:r>
        <w:rPr>
          <w:rFonts w:ascii="Arial" w:cs="Arial" w:eastAsia="Arial" w:hAnsi="Arial"/>
          <w:sz w:val="17"/>
          <w:szCs w:val="17"/>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spacing w:after="0" w:line="287" w:lineRule="auto"/>
        <w:rPr>
          <w:sz w:val="20"/>
          <w:szCs w:val="20"/>
          <w:color w:val="auto"/>
        </w:rPr>
      </w:pPr>
      <w:r>
        <w:rPr>
          <w:rFonts w:ascii="Arial" w:cs="Arial" w:eastAsia="Arial" w:hAnsi="Arial"/>
          <w:sz w:val="16"/>
          <w:szCs w:val="16"/>
          <w:color w:val="auto"/>
        </w:rPr>
        <w:t>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2"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Successor Trustee By Merger, Etc</w:t>
      </w:r>
      <w:r>
        <w:rPr>
          <w:rFonts w:ascii="Arial" w:cs="Arial" w:eastAsia="Arial" w:hAnsi="Arial"/>
          <w:sz w:val="16"/>
          <w:szCs w:val="16"/>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4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Eligibility</w:t>
      </w:r>
      <w:r>
        <w:rPr>
          <w:rFonts w:ascii="Arial" w:cs="Arial" w:eastAsia="Arial" w:hAnsi="Arial"/>
          <w:sz w:val="16"/>
          <w:szCs w:val="16"/>
          <w:color w:val="auto"/>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 UNCLAIMED MONEYS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Indenture</w:t>
      </w:r>
      <w:r>
        <w:rPr>
          <w:rFonts w:ascii="Arial" w:cs="Arial" w:eastAsia="Arial" w:hAnsi="Arial"/>
          <w:sz w:val="16"/>
          <w:szCs w:val="16"/>
          <w:color w:val="auto"/>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Arial" w:cs="Arial" w:eastAsia="Arial" w:hAnsi="Arial"/>
          <w:sz w:val="16"/>
          <w:szCs w:val="16"/>
          <w:i w:val="1"/>
          <w:iCs w:val="1"/>
          <w:color w:val="auto"/>
        </w:rPr>
        <w:t>provided</w:t>
      </w:r>
      <w:r>
        <w:rPr>
          <w:rFonts w:ascii="Arial" w:cs="Arial" w:eastAsia="Arial" w:hAnsi="Arial"/>
          <w:sz w:val="16"/>
          <w:szCs w:val="16"/>
          <w:color w:val="auto"/>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1" w:name="page142"/>
    <w:bookmarkEnd w:id="141"/>
    <w:p>
      <w:pPr>
        <w:ind w:right="18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Defeasance and Discharge of Indenture</w:t>
      </w:r>
      <w:r>
        <w:rPr>
          <w:rFonts w:ascii="Arial" w:cs="Arial" w:eastAsia="Arial" w:hAnsi="Arial"/>
          <w:sz w:val="17"/>
          <w:szCs w:val="17"/>
          <w:color w:val="auto"/>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spacing w:after="0" w:line="181" w:lineRule="exact"/>
        <w:rPr>
          <w:sz w:val="20"/>
          <w:szCs w:val="20"/>
          <w:color w:val="auto"/>
        </w:rPr>
      </w:pPr>
    </w:p>
    <w:p>
      <w:pPr>
        <w:ind w:left="660" w:right="420" w:firstLine="968"/>
        <w:spacing w:after="0" w:line="277" w:lineRule="auto"/>
        <w:tabs>
          <w:tab w:leader="none" w:pos="21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reference to this Section 8.05 the Company irrevocably has deposited or caused to be deposited with the Trustee (or another qualifying trustee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2" w:name="page143"/>
    <w:bookmarkEnd w:id="142"/>
    <w:p>
      <w:pPr>
        <w:ind w:right="20"/>
        <w:spacing w:after="0" w:line="287" w:lineRule="auto"/>
        <w:rPr>
          <w:sz w:val="20"/>
          <w:szCs w:val="20"/>
          <w:color w:val="auto"/>
        </w:rPr>
      </w:pPr>
      <w:r>
        <w:rPr>
          <w:rFonts w:ascii="Arial" w:cs="Arial" w:eastAsia="Arial" w:hAnsi="Arial"/>
          <w:sz w:val="16"/>
          <w:szCs w:val="16"/>
          <w:color w:val="auto"/>
        </w:rPr>
        <w:t>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72" w:lineRule="exact"/>
        <w:rPr>
          <w:sz w:val="20"/>
          <w:szCs w:val="20"/>
          <w:color w:val="auto"/>
        </w:rPr>
      </w:pPr>
    </w:p>
    <w:p>
      <w:pPr>
        <w:ind w:firstLine="968"/>
        <w:spacing w:after="0" w:line="279" w:lineRule="auto"/>
        <w:tabs>
          <w:tab w:leader="none" w:pos="150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spacing w:after="0" w:line="171" w:lineRule="exact"/>
        <w:rPr>
          <w:rFonts w:ascii="Arial" w:cs="Arial" w:eastAsia="Arial" w:hAnsi="Arial"/>
          <w:sz w:val="17"/>
          <w:szCs w:val="17"/>
          <w:color w:val="auto"/>
        </w:rPr>
      </w:pPr>
    </w:p>
    <w:p>
      <w:pPr>
        <w:ind w:left="1560" w:hanging="592"/>
        <w:spacing w:after="0"/>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Default under either clause (d) or clause (e) of Section 6.01 shall have occurred and be continuing at such time;</w:t>
      </w:r>
    </w:p>
    <w:p>
      <w:pPr>
        <w:spacing w:after="0" w:line="236" w:lineRule="exact"/>
        <w:rPr>
          <w:rFonts w:ascii="Arial" w:cs="Arial" w:eastAsia="Arial" w:hAnsi="Arial"/>
          <w:sz w:val="17"/>
          <w:szCs w:val="17"/>
          <w:color w:val="auto"/>
        </w:rPr>
      </w:pPr>
    </w:p>
    <w:p>
      <w:pPr>
        <w:ind w:right="340" w:firstLine="968"/>
        <w:spacing w:after="0" w:line="263" w:lineRule="auto"/>
        <w:tabs>
          <w:tab w:leader="none" w:pos="15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83" w:lineRule="exact"/>
        <w:rPr>
          <w:rFonts w:ascii="Arial" w:cs="Arial" w:eastAsia="Arial" w:hAnsi="Arial"/>
          <w:sz w:val="18"/>
          <w:szCs w:val="18"/>
          <w:color w:val="auto"/>
        </w:rPr>
      </w:pPr>
    </w:p>
    <w:p>
      <w:pPr>
        <w:ind w:right="440" w:firstLine="968"/>
        <w:spacing w:after="0" w:line="277" w:lineRule="auto"/>
        <w:tabs>
          <w:tab w:leader="none" w:pos="14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and discharge under this Section have been complied with; and</w:t>
      </w:r>
    </w:p>
    <w:p>
      <w:pPr>
        <w:spacing w:after="0" w:line="170" w:lineRule="exact"/>
        <w:rPr>
          <w:rFonts w:ascii="Arial" w:cs="Arial" w:eastAsia="Arial" w:hAnsi="Arial"/>
          <w:sz w:val="18"/>
          <w:szCs w:val="18"/>
          <w:color w:val="auto"/>
        </w:rPr>
      </w:pPr>
    </w:p>
    <w:p>
      <w:pPr>
        <w:ind w:right="60" w:firstLine="968"/>
        <w:spacing w:after="0" w:line="263" w:lineRule="auto"/>
        <w:tabs>
          <w:tab w:leader="none" w:pos="15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29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43" w:name="page144"/>
    <w:bookmarkEnd w:id="143"/>
    <w:p>
      <w:pPr>
        <w:ind w:right="120" w:firstLine="648"/>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spacing w:after="0" w:line="187" w:lineRule="exact"/>
        <w:rPr>
          <w:sz w:val="20"/>
          <w:szCs w:val="20"/>
          <w:color w:val="auto"/>
        </w:rPr>
      </w:pPr>
    </w:p>
    <w:p>
      <w:pPr>
        <w:ind w:firstLine="850"/>
        <w:spacing w:after="0" w:line="269" w:lineRule="auto"/>
        <w:tabs>
          <w:tab w:leader="none" w:pos="13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78" w:lineRule="exact"/>
        <w:rPr>
          <w:rFonts w:ascii="Arial" w:cs="Arial" w:eastAsia="Arial" w:hAnsi="Arial"/>
          <w:sz w:val="17"/>
          <w:szCs w:val="17"/>
          <w:color w:val="auto"/>
        </w:rPr>
      </w:pPr>
    </w:p>
    <w:p>
      <w:pPr>
        <w:ind w:right="20" w:firstLine="850"/>
        <w:spacing w:after="0" w:line="259" w:lineRule="auto"/>
        <w:tabs>
          <w:tab w:leader="none" w:pos="13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spacing w:after="0" w:line="186" w:lineRule="exact"/>
        <w:rPr>
          <w:rFonts w:ascii="Arial" w:cs="Arial" w:eastAsia="Arial" w:hAnsi="Arial"/>
          <w:sz w:val="18"/>
          <w:szCs w:val="18"/>
          <w:color w:val="auto"/>
        </w:rPr>
      </w:pPr>
    </w:p>
    <w:p>
      <w:pPr>
        <w:ind w:right="340" w:firstLine="850"/>
        <w:spacing w:after="0" w:line="277" w:lineRule="auto"/>
        <w:tabs>
          <w:tab w:leader="none" w:pos="13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Default with respect to the outstanding Securities of such series shall have occurred and be continuing at the time of such deposit immediately after giving effect to such deposit;</w:t>
      </w:r>
    </w:p>
    <w:p>
      <w:pPr>
        <w:spacing w:after="0" w:line="170" w:lineRule="exact"/>
        <w:rPr>
          <w:rFonts w:ascii="Arial" w:cs="Arial" w:eastAsia="Arial" w:hAnsi="Arial"/>
          <w:sz w:val="18"/>
          <w:szCs w:val="18"/>
          <w:color w:val="auto"/>
        </w:rPr>
      </w:pPr>
    </w:p>
    <w:p>
      <w:pPr>
        <w:ind w:right="360" w:firstLine="850"/>
        <w:spacing w:after="0" w:line="342" w:lineRule="auto"/>
        <w:tabs>
          <w:tab w:leader="none" w:pos="136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4" w:name="page145"/>
    <w:bookmarkEnd w:id="144"/>
    <w:p>
      <w:pPr>
        <w:ind w:right="340" w:firstLine="850"/>
        <w:spacing w:after="0" w:line="277" w:lineRule="auto"/>
        <w:tabs>
          <w:tab w:leader="none" w:pos="135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70" w:lineRule="exact"/>
        <w:rPr>
          <w:rFonts w:ascii="Arial" w:cs="Arial" w:eastAsia="Arial" w:hAnsi="Arial"/>
          <w:sz w:val="18"/>
          <w:szCs w:val="18"/>
          <w:color w:val="auto"/>
        </w:rPr>
      </w:pPr>
    </w:p>
    <w:p>
      <w:pPr>
        <w:ind w:right="100" w:firstLine="850"/>
        <w:spacing w:after="0" w:line="263" w:lineRule="auto"/>
        <w:tabs>
          <w:tab w:leader="none" w:pos="13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SUPPLEMENTS AND WAIVERS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amend or supplement this Indenture or the Securities of any series without notice to or the consent of any Holder:</w:t>
      </w:r>
    </w:p>
    <w:p>
      <w:pPr>
        <w:spacing w:after="0" w:line="170" w:lineRule="exact"/>
        <w:rPr>
          <w:sz w:val="20"/>
          <w:szCs w:val="20"/>
          <w:color w:val="auto"/>
        </w:rPr>
      </w:pPr>
    </w:p>
    <w:p>
      <w:pPr>
        <w:ind w:left="1360" w:hanging="510"/>
        <w:spacing w:after="0"/>
        <w:tabs>
          <w:tab w:leader="none" w:pos="1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left="1360" w:hanging="510"/>
        <w:spacing w:after="0"/>
        <w:tabs>
          <w:tab w:leader="none" w:pos="1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connection with the qualification of this Indenture under the Trust Indenture Act;</w:t>
      </w:r>
    </w:p>
    <w:p>
      <w:pPr>
        <w:spacing w:after="0" w:line="248" w:lineRule="exact"/>
        <w:rPr>
          <w:rFonts w:ascii="Arial" w:cs="Arial" w:eastAsia="Arial" w:hAnsi="Arial"/>
          <w:sz w:val="16"/>
          <w:szCs w:val="16"/>
          <w:color w:val="auto"/>
        </w:rPr>
      </w:pPr>
    </w:p>
    <w:p>
      <w:pPr>
        <w:ind w:right="280" w:firstLine="850"/>
        <w:spacing w:after="0" w:line="263" w:lineRule="auto"/>
        <w:tabs>
          <w:tab w:leader="none" w:pos="13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83" w:lineRule="exact"/>
        <w:rPr>
          <w:rFonts w:ascii="Arial" w:cs="Arial" w:eastAsia="Arial" w:hAnsi="Arial"/>
          <w:sz w:val="18"/>
          <w:szCs w:val="18"/>
          <w:color w:val="auto"/>
        </w:rPr>
      </w:pPr>
    </w:p>
    <w:p>
      <w:pPr>
        <w:ind w:left="1360" w:hanging="510"/>
        <w:spacing w:after="0"/>
        <w:tabs>
          <w:tab w:leader="none" w:pos="1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225" w:lineRule="exact"/>
        <w:rPr>
          <w:rFonts w:ascii="Arial" w:cs="Arial" w:eastAsia="Arial" w:hAnsi="Arial"/>
          <w:sz w:val="18"/>
          <w:szCs w:val="18"/>
          <w:color w:val="auto"/>
        </w:rPr>
      </w:pPr>
    </w:p>
    <w:p>
      <w:pPr>
        <w:ind w:left="1340" w:hanging="490"/>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225" w:lineRule="exact"/>
        <w:rPr>
          <w:rFonts w:ascii="Arial" w:cs="Arial" w:eastAsia="Arial" w:hAnsi="Arial"/>
          <w:sz w:val="18"/>
          <w:szCs w:val="18"/>
          <w:color w:val="auto"/>
        </w:rPr>
      </w:pPr>
    </w:p>
    <w:p>
      <w:pPr>
        <w:ind w:left="1380" w:hanging="530"/>
        <w:spacing w:after="0"/>
        <w:tabs>
          <w:tab w:leader="none" w:pos="1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conform any provision to the applicable corresponding provision set forth in the offering document for the offering of such series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color w:val="auto"/>
        </w:rPr>
      </w:pPr>
    </w:p>
    <w:p>
      <w:pPr>
        <w:ind w:left="1380" w:hanging="530"/>
        <w:spacing w:after="0"/>
        <w:tabs>
          <w:tab w:leader="none" w:pos="1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Notwithstanding the provisions of this Section 9.02, without the consent of each Holder affected thereby, an amendment or waiver, including a waiver pursuant to Section 6.04, may not:</w:t>
      </w:r>
    </w:p>
    <w:p>
      <w:pPr>
        <w:spacing w:after="0" w:line="170" w:lineRule="exact"/>
        <w:rPr>
          <w:sz w:val="20"/>
          <w:szCs w:val="20"/>
          <w:color w:val="auto"/>
        </w:rPr>
      </w:pPr>
    </w:p>
    <w:p>
      <w:pPr>
        <w:ind w:left="5520" w:right="240" w:hanging="4670"/>
        <w:spacing w:after="0" w:line="653" w:lineRule="auto"/>
        <w:tabs>
          <w:tab w:leader="none" w:pos="1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sinking fund obligation or any installment of interest on, such Holder’s Security,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6" w:name="page147"/>
    <w:bookmarkEnd w:id="146"/>
    <w:p>
      <w:pPr>
        <w:ind w:left="1380" w:hanging="530"/>
        <w:spacing w:after="0"/>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reduce the Principal amount thereof or the rate of interest thereon (including any amount in respect of original issue discount);</w:t>
      </w:r>
    </w:p>
    <w:p>
      <w:pPr>
        <w:spacing w:after="0" w:line="236" w:lineRule="exact"/>
        <w:rPr>
          <w:rFonts w:ascii="Arial" w:cs="Arial" w:eastAsia="Arial" w:hAnsi="Arial"/>
          <w:sz w:val="17"/>
          <w:szCs w:val="17"/>
          <w:color w:val="auto"/>
        </w:rPr>
      </w:pPr>
    </w:p>
    <w:p>
      <w:pPr>
        <w:ind w:firstLine="850"/>
        <w:spacing w:after="0" w:line="277" w:lineRule="auto"/>
        <w:tabs>
          <w:tab w:leader="none" w:pos="13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70" w:lineRule="exact"/>
        <w:rPr>
          <w:rFonts w:ascii="Arial" w:cs="Arial" w:eastAsia="Arial" w:hAnsi="Arial"/>
          <w:sz w:val="18"/>
          <w:szCs w:val="18"/>
          <w:color w:val="auto"/>
        </w:rPr>
      </w:pPr>
    </w:p>
    <w:p>
      <w:pPr>
        <w:jc w:val="both"/>
        <w:ind w:right="160" w:firstLine="850"/>
        <w:spacing w:after="0" w:line="263" w:lineRule="auto"/>
        <w:tabs>
          <w:tab w:leader="none" w:pos="13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Revocation and Effect of Consent</w:t>
      </w:r>
      <w:r>
        <w:rPr>
          <w:rFonts w:ascii="Arial" w:cs="Arial" w:eastAsia="Arial" w:hAnsi="Arial"/>
          <w:sz w:val="16"/>
          <w:szCs w:val="16"/>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6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7" w:name="page148"/>
    <w:bookmarkEnd w:id="147"/>
    <w:p>
      <w:pPr>
        <w:ind w:right="260"/>
        <w:spacing w:after="0" w:line="277" w:lineRule="auto"/>
        <w:rPr>
          <w:sz w:val="20"/>
          <w:szCs w:val="20"/>
          <w:color w:val="auto"/>
        </w:rPr>
      </w:pPr>
      <w:r>
        <w:rPr>
          <w:rFonts w:ascii="Arial" w:cs="Arial" w:eastAsia="Arial" w:hAnsi="Arial"/>
          <w:sz w:val="18"/>
          <w:szCs w:val="18"/>
          <w:color w:val="auto"/>
        </w:rPr>
        <w:t>consent previously given, whether or not such Persons continue to be such Holders after such record date. No such consent shall be valid or effective for more than 90 days after such record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9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9 shall conform to the requirements of the Trust Indenture Act as then in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r>
        <w:rPr>
          <w:rFonts w:ascii="Arial" w:cs="Arial" w:eastAsia="Arial" w:hAnsi="Arial"/>
          <w:sz w:val="18"/>
          <w:szCs w:val="18"/>
          <w:color w:val="auto"/>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CH-1015 Lausanne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160" w:firstLine="850"/>
        <w:spacing w:after="0" w:line="277" w:lineRule="auto"/>
        <w:tabs>
          <w:tab w:leader="none" w:pos="13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380" w:hanging="530"/>
        <w:spacing w:after="0"/>
        <w:tabs>
          <w:tab w:leader="none" w:pos="1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the certificate required by Section 4.04) shall include: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9" w:name="page150"/>
    <w:bookmarkEnd w:id="149"/>
    <w:p>
      <w:pPr>
        <w:ind w:left="1360" w:hanging="510"/>
        <w:spacing w:after="0"/>
        <w:tabs>
          <w:tab w:leader="none" w:pos="1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220" w:firstLine="850"/>
        <w:spacing w:after="0" w:line="277" w:lineRule="auto"/>
        <w:tabs>
          <w:tab w:leader="none" w:pos="13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170" w:lineRule="exact"/>
        <w:rPr>
          <w:rFonts w:ascii="Arial" w:cs="Arial" w:eastAsia="Arial" w:hAnsi="Arial"/>
          <w:sz w:val="18"/>
          <w:szCs w:val="18"/>
          <w:color w:val="auto"/>
        </w:rPr>
      </w:pPr>
    </w:p>
    <w:p>
      <w:pPr>
        <w:ind w:right="420" w:firstLine="850"/>
        <w:spacing w:after="0" w:line="277" w:lineRule="auto"/>
        <w:tabs>
          <w:tab w:leader="none" w:pos="13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right="460" w:firstLine="850"/>
        <w:spacing w:after="0" w:line="342" w:lineRule="auto"/>
        <w:tabs>
          <w:tab w:leader="none" w:pos="136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each such person, such condition or covenant has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matters of fact, an Opinion of Counsel may rely on an Officers’ Certificate or certificates of public officials.</w:t>
      </w:r>
    </w:p>
    <w:p>
      <w:pPr>
        <w:spacing w:after="0" w:line="12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r>
        <w:rPr>
          <w:rFonts w:ascii="Arial" w:cs="Arial" w:eastAsia="Arial" w:hAnsi="Arial"/>
          <w:sz w:val="18"/>
          <w:szCs w:val="18"/>
          <w:color w:val="auto"/>
        </w:rPr>
        <w:t>. The Trustee may make reasonable rules for action by or at a meeting of Holders. The Paying Agent or Registrar may make reasonable rules for its functions.</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Payment Date Other Than a Business Day</w:t>
      </w:r>
      <w:r>
        <w:rPr>
          <w:rFonts w:ascii="Arial" w:cs="Arial" w:eastAsia="Arial" w:hAnsi="Arial"/>
          <w:sz w:val="16"/>
          <w:szCs w:val="16"/>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New York shall govern this Indenture and the Securities.</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Any such indenture or agreement may not be used to interpret this Indenture.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0" w:name="page151"/>
    <w:bookmarkEnd w:id="150"/>
    <w:p>
      <w:pPr>
        <w:jc w:val="both"/>
        <w:ind w:right="360" w:firstLine="648"/>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w:t>
      </w:r>
    </w:p>
    <w:p>
      <w:pPr>
        <w:spacing w:after="0" w:line="2"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its obligations under this Indenture to make payments in the Required Currency (i) shall not be discharged or satisfied by any tender, or any recovery</w:t>
      </w:r>
    </w:p>
    <w:p>
      <w:pPr>
        <w:spacing w:after="0" w:line="3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pursuant to any judgment (whether or not entered in accordance with subsection (a)), in any currency other than the Required Currency, except to the extent that such tender or recovery shall result in the actual receipt, by the payee, of the full amount of the Required</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1" w:name="page152"/>
    <w:bookmarkEnd w:id="151"/>
    <w:p>
      <w:pPr>
        <w:ind w:right="300"/>
        <w:spacing w:after="0" w:line="286" w:lineRule="auto"/>
        <w:rPr>
          <w:sz w:val="20"/>
          <w:szCs w:val="20"/>
          <w:color w:val="auto"/>
        </w:rPr>
      </w:pPr>
      <w:r>
        <w:rPr>
          <w:rFonts w:ascii="Arial" w:cs="Arial" w:eastAsia="Arial" w:hAnsi="Arial"/>
          <w:sz w:val="17"/>
          <w:szCs w:val="17"/>
          <w:color w:val="auto"/>
        </w:rPr>
        <w:t>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6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Force Majeure</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Agreement to Subordinate</w:t>
      </w:r>
      <w:r>
        <w:rPr>
          <w:rFonts w:ascii="Arial" w:cs="Arial" w:eastAsia="Arial" w:hAnsi="Arial"/>
          <w:sz w:val="17"/>
          <w:szCs w:val="17"/>
          <w:color w:val="auto"/>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Payments to Securityholders</w:t>
      </w:r>
      <w:r>
        <w:rPr>
          <w:rFonts w:ascii="Arial" w:cs="Arial" w:eastAsia="Arial" w:hAnsi="Arial"/>
          <w:sz w:val="16"/>
          <w:szCs w:val="16"/>
          <w:color w:val="auto"/>
        </w:rPr>
        <w:t>. As to each series of Securities, if any, issued hereunder, in the event (a) of any insolvency or bankruptcy proceedings, or any receivership, dissolution, winding-up, total or partial liquidation, reorganization or other similar proceedings in respect of the Company or a substantial part of its property, whether voluntary or involuntary, or (b) that (i) a default shall have occurred with respect to the payment of principal of or interest on or other monetary amounts due and payable with respect to any Senior Indebtedness, or (ii)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2" w:name="page153"/>
    <w:bookmarkEnd w:id="152"/>
    <w:p>
      <w:pPr>
        <w:ind w:right="20"/>
        <w:spacing w:after="0" w:line="272" w:lineRule="auto"/>
        <w:rPr>
          <w:sz w:val="20"/>
          <w:szCs w:val="20"/>
          <w:color w:val="auto"/>
        </w:rPr>
      </w:pPr>
      <w:r>
        <w:rPr>
          <w:rFonts w:ascii="Arial" w:cs="Arial" w:eastAsia="Arial" w:hAnsi="Arial"/>
          <w:sz w:val="17"/>
          <w:szCs w:val="17"/>
          <w:color w:val="auto"/>
        </w:rPr>
        <w:t>respect thereof, and such default or event of default shall not have been waived or shall not have ceased to exist, or (c)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3" w:name="page154"/>
    <w:bookmarkEnd w:id="153"/>
    <w:p>
      <w:pPr>
        <w:ind w:firstLine="648"/>
        <w:spacing w:after="0" w:line="269" w:lineRule="auto"/>
        <w:rPr>
          <w:sz w:val="20"/>
          <w:szCs w:val="20"/>
          <w:color w:val="auto"/>
        </w:rPr>
      </w:pPr>
      <w:r>
        <w:rPr>
          <w:rFonts w:ascii="Arial" w:cs="Arial" w:eastAsia="Arial" w:hAnsi="Arial"/>
          <w:sz w:val="17"/>
          <w:szCs w:val="17"/>
          <w:color w:val="auto"/>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Subrogation</w:t>
      </w:r>
      <w:r>
        <w:rPr>
          <w:rFonts w:ascii="Arial" w:cs="Arial" w:eastAsia="Arial" w:hAnsi="Arial"/>
          <w:sz w:val="17"/>
          <w:szCs w:val="17"/>
          <w:color w:val="auto"/>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spacing w:after="0" w:line="18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Nothing contained in this Article or elsewhere in this Indenture or in the Securities is intended to or shall impair, as between the issuer, its creditors other than the holders of Senior Indebtedness, and the Holders of the Securities, the obligation of the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4" w:name="page155"/>
    <w:bookmarkEnd w:id="154"/>
    <w:p>
      <w:pPr>
        <w:ind w:right="100"/>
        <w:spacing w:after="0" w:line="255" w:lineRule="auto"/>
        <w:rPr>
          <w:sz w:val="20"/>
          <w:szCs w:val="20"/>
          <w:color w:val="auto"/>
        </w:rPr>
      </w:pPr>
      <w:r>
        <w:rPr>
          <w:rFonts w:ascii="Arial" w:cs="Arial" w:eastAsia="Arial" w:hAnsi="Arial"/>
          <w:sz w:val="18"/>
          <w:szCs w:val="18"/>
          <w:color w:val="auto"/>
        </w:rPr>
        <w:t>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spacing w:after="0" w:line="16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i w:val="1"/>
          <w:iCs w:val="1"/>
          <w:color w:val="auto"/>
        </w:rPr>
        <w:t>Notice to Trustee</w:t>
      </w:r>
      <w:r>
        <w:rPr>
          <w:rFonts w:ascii="Arial" w:cs="Arial" w:eastAsia="Arial" w:hAnsi="Arial"/>
          <w:sz w:val="17"/>
          <w:szCs w:val="17"/>
          <w:color w:val="auto"/>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55" w:name="page156"/>
    <w:bookmarkEnd w:id="155"/>
    <w:p>
      <w:pPr>
        <w:ind w:right="440"/>
        <w:spacing w:after="0" w:line="342" w:lineRule="auto"/>
        <w:rPr>
          <w:sz w:val="20"/>
          <w:szCs w:val="20"/>
          <w:color w:val="auto"/>
        </w:rPr>
      </w:pPr>
      <w:r>
        <w:rPr>
          <w:rFonts w:ascii="Arial" w:cs="Arial" w:eastAsia="Arial" w:hAnsi="Arial"/>
          <w:sz w:val="16"/>
          <w:szCs w:val="16"/>
          <w:color w:val="auto"/>
        </w:rPr>
        <w:t>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Regardless of anything to the contrary herein (but subject, in the case of clause (a) of this paragraph, to the second paragraph of Section 11.02), nothing shall prevent (a) any payment by the Company or the Trustee to the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Securityholders of amounts in connection with a redemption of Securities if (i) notice of such redemption has been given pursuant to Article 3 prior to the receipt by the Trustee of written notice as aforesaid, and (ii) such notice of redemption is given not earlier than 60 days before any redemption date, or (b) 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spacing w:after="0" w:line="18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6" w:name="page157"/>
    <w:bookmarkEnd w:id="156"/>
    <w:p>
      <w:pPr>
        <w:jc w:val="both"/>
        <w:ind w:right="320"/>
        <w:spacing w:after="0" w:line="286" w:lineRule="auto"/>
        <w:rPr>
          <w:sz w:val="20"/>
          <w:szCs w:val="20"/>
          <w:color w:val="auto"/>
        </w:rPr>
      </w:pPr>
      <w:r>
        <w:rPr>
          <w:rFonts w:ascii="Arial" w:cs="Arial" w:eastAsia="Arial" w:hAnsi="Arial"/>
          <w:sz w:val="17"/>
          <w:szCs w:val="17"/>
          <w:color w:val="auto"/>
        </w:rPr>
        <w:t>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(SEAL)</w:t>
            </w:r>
          </w:p>
        </w:tc>
        <w:tc>
          <w:tcPr>
            <w:tcW w:w="4160" w:type="dxa"/>
            <w:vAlign w:val="bottom"/>
          </w:tcPr>
          <w:p>
            <w:pPr>
              <w:spacing w:after="0"/>
              <w:rPr>
                <w:sz w:val="18"/>
                <w:szCs w:val="18"/>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AC Immune SA</w:t>
            </w:r>
          </w:p>
        </w:tc>
        <w:tc>
          <w:tcPr>
            <w:tcW w:w="0" w:type="dxa"/>
            <w:vAlign w:val="bottom"/>
          </w:tcPr>
          <w:p>
            <w:pPr>
              <w:spacing w:after="0"/>
              <w:rPr>
                <w:sz w:val="1"/>
                <w:szCs w:val="1"/>
                <w:color w:val="auto"/>
              </w:rPr>
            </w:pPr>
          </w:p>
        </w:tc>
      </w:tr>
      <w:tr>
        <w:trPr>
          <w:trHeight w:val="230"/>
        </w:trPr>
        <w:tc>
          <w:tcPr>
            <w:tcW w:w="68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4160" w:type="dxa"/>
            <w:vAlign w:val="bottom"/>
          </w:tcPr>
          <w:p>
            <w:pPr>
              <w:spacing w:after="0"/>
              <w:rPr>
                <w:sz w:val="20"/>
                <w:szCs w:val="20"/>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as the Company</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6400" w:type="dxa"/>
            <w:vAlign w:val="bottom"/>
            <w:gridSpan w:val="2"/>
            <w:vMerge w:val="restart"/>
          </w:tcPr>
          <w:p>
            <w:pPr>
              <w:ind w:left="2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(SEAL)</w:t>
            </w:r>
          </w:p>
        </w:tc>
        <w:tc>
          <w:tcPr>
            <w:tcW w:w="4160" w:type="dxa"/>
            <w:vAlign w:val="bottom"/>
          </w:tcPr>
          <w:p>
            <w:pPr>
              <w:spacing w:after="0"/>
              <w:rPr>
                <w:sz w:val="24"/>
                <w:szCs w:val="24"/>
                <w:color w:val="auto"/>
              </w:rPr>
            </w:pPr>
          </w:p>
        </w:tc>
        <w:tc>
          <w:tcPr>
            <w:tcW w:w="6400" w:type="dxa"/>
            <w:vAlign w:val="bottom"/>
            <w:gridSpan w:val="2"/>
            <w:vMerge w:val="restart"/>
          </w:tcPr>
          <w:p>
            <w:pPr>
              <w:ind w:left="240"/>
              <w:spacing w:after="0"/>
              <w:rPr>
                <w:sz w:val="20"/>
                <w:szCs w:val="20"/>
                <w:color w:val="auto"/>
              </w:rPr>
            </w:pPr>
            <w:r>
              <w:rPr>
                <w:rFonts w:ascii="Arial" w:cs="Arial" w:eastAsia="Arial" w:hAnsi="Arial"/>
                <w:sz w:val="18"/>
                <w:szCs w:val="18"/>
                <w:color w:val="auto"/>
              </w:rPr>
              <w:t>as the Trustee</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416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6400" w:type="dxa"/>
            <w:vAlign w:val="bottom"/>
            <w:gridSpan w:val="2"/>
            <w:vMerge w:val="restart"/>
          </w:tcPr>
          <w:p>
            <w:pPr>
              <w:ind w:left="2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743"/>
        </w:trPr>
        <w:tc>
          <w:tcPr>
            <w:tcW w:w="6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5.1</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 Dr. Rolf Watter</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Rechtsanwalt, LL.M.</w:t>
      </w:r>
    </w:p>
    <w:p>
      <w:pPr>
        <w:ind w:left="340"/>
        <w:spacing w:after="0" w:line="234" w:lineRule="auto"/>
        <w:rPr>
          <w:sz w:val="20"/>
          <w:szCs w:val="20"/>
          <w:color w:val="auto"/>
        </w:rPr>
      </w:pPr>
      <w:r>
        <w:rPr>
          <w:rFonts w:ascii="Arial" w:cs="Arial" w:eastAsia="Arial" w:hAnsi="Arial"/>
          <w:sz w:val="18"/>
          <w:szCs w:val="18"/>
          <w:color w:val="auto"/>
        </w:rPr>
        <w:t>+41 58 261 52 80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rolf.watter@baerkarrer.ch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-1905</wp:posOffset>
            </wp:positionV>
            <wp:extent cx="840105" cy="8401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401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Postfach 1548 | CH-8002 Zürich</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w:t>
      </w:r>
    </w:p>
    <w:p>
      <w:pPr>
        <w:ind w:left="340"/>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Switzerland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Zurich, 28 April 2021</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 Immune SA — Technical Legal Opinion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Gentlemen</w:t>
      </w:r>
    </w:p>
    <w:p>
      <w:pPr>
        <w:spacing w:after="0" w:line="17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We have acted as Swiss legal counsel to AC Immune SA, Ecublens (VD) (the "</w:t>
      </w:r>
      <w:r>
        <w:rPr>
          <w:rFonts w:ascii="Arial" w:cs="Arial" w:eastAsia="Arial" w:hAnsi="Arial"/>
          <w:sz w:val="18"/>
          <w:szCs w:val="18"/>
          <w:b w:val="1"/>
          <w:bCs w:val="1"/>
          <w:color w:val="auto"/>
        </w:rPr>
        <w:t>Issuer</w:t>
      </w:r>
      <w:r>
        <w:rPr>
          <w:rFonts w:ascii="Arial" w:cs="Arial" w:eastAsia="Arial" w:hAnsi="Arial"/>
          <w:sz w:val="18"/>
          <w:szCs w:val="18"/>
          <w:color w:val="auto"/>
        </w:rPr>
        <w:t>") in connection with a Registration Statement on Form F-3 filed on 28 April 2021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registration of certain common shares securities of the Issuer, each with a nominal value of CHF 0.02 (the "</w:t>
      </w:r>
      <w:r>
        <w:rPr>
          <w:rFonts w:ascii="Arial" w:cs="Arial" w:eastAsia="Arial" w:hAnsi="Arial"/>
          <w:sz w:val="18"/>
          <w:szCs w:val="18"/>
          <w:b w:val="1"/>
          <w:bCs w:val="1"/>
          <w:color w:val="auto"/>
        </w:rPr>
        <w:t>Registered Shares</w:t>
      </w:r>
      <w:r>
        <w:rPr>
          <w:rFonts w:ascii="Arial" w:cs="Arial" w:eastAsia="Arial" w:hAnsi="Arial"/>
          <w:sz w:val="18"/>
          <w:szCs w:val="18"/>
          <w:color w:val="auto"/>
        </w:rPr>
        <w: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such counsel, we have been requested to give our opinion as to certain legal matters of Swiss law.</w:t>
      </w:r>
    </w:p>
    <w:p>
      <w:pPr>
        <w:spacing w:after="0" w:line="160"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Limitation of Opinion</w:t>
      </w:r>
    </w:p>
    <w:p>
      <w:pPr>
        <w:spacing w:after="0" w:line="220"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Our opinion only speaks as of the date hereof and is strictly confined to matters of Swiss law as in force at the date hereof. Such law and its interpretation are subject to change. In the absence of explicit statutory law, we base our opinion solely on our independent professional judgment. Our opinion is strictly limited to the Documents (as defined below) and the matters stated herein and is not to be read as extending, by implication or otherwise, to any agreement or document referred to in any of the Documents or any other matter. For purposes of this opinion, we have not conducted any due diligence or similar investigation or verification as to any matters stated herein. In this opinion, Swiss legal concepts are expressed in English terms and not in their original language. These concepts may not be identical to the concepts described by the same English language terms as they exist under the laws of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1252220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248920</wp:posOffset>
            </wp:positionV>
            <wp:extent cx="6317615" cy="779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17615" cy="7797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9" w:name="page160"/>
    <w:bookmarkEnd w:id="159"/>
    <w:p>
      <w:pPr>
        <w:spacing w:after="0"/>
        <w:tabs>
          <w:tab w:leader="none" w:pos="1680" w:val="left"/>
          <w:tab w:leader="none" w:pos="11120" w:val="left"/>
        </w:tabs>
        <w:rPr>
          <w:sz w:val="20"/>
          <w:szCs w:val="20"/>
          <w:color w:val="auto"/>
        </w:rPr>
      </w:pPr>
      <w:r>
        <w:rPr>
          <w:rFonts w:ascii="Arial" w:cs="Arial" w:eastAsia="Arial" w:hAnsi="Arial"/>
          <w:sz w:val="18"/>
          <w:szCs w:val="18"/>
          <w:color w:val="auto"/>
        </w:rPr>
        <w:t>Bär &amp; Karrer</w:t>
      </w:r>
      <w:r>
        <w:rPr>
          <w:sz w:val="20"/>
          <w:szCs w:val="20"/>
          <w:color w:val="auto"/>
        </w:rPr>
        <w:tab/>
      </w:r>
      <w:r>
        <w:rPr>
          <w:rFonts w:ascii="Arial" w:cs="Arial" w:eastAsia="Arial" w:hAnsi="Arial"/>
          <w:sz w:val="18"/>
          <w:szCs w:val="18"/>
          <w:color w:val="auto"/>
        </w:rPr>
        <w:t>28 April 2021</w:t>
      </w:r>
      <w:r>
        <w:rPr>
          <w:sz w:val="20"/>
          <w:szCs w:val="20"/>
          <w:color w:val="auto"/>
        </w:rPr>
        <w:tab/>
      </w:r>
      <w:r>
        <w:rPr>
          <w:rFonts w:ascii="Arial" w:cs="Arial" w:eastAsia="Arial" w:hAnsi="Arial"/>
          <w:sz w:val="17"/>
          <w:szCs w:val="17"/>
          <w:color w:val="auto"/>
        </w:rPr>
        <w:t>2</w:t>
      </w:r>
    </w:p>
    <w:p>
      <w:pPr>
        <w:spacing w:after="0" w:line="82"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4 below, we have exclusively examined and relied on the following documents:</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pacing w:after="0" w:line="198" w:lineRule="exact"/>
        <w:rPr>
          <w:rFonts w:ascii="Arial" w:cs="Arial" w:eastAsia="Arial" w:hAnsi="Arial"/>
          <w:sz w:val="18"/>
          <w:szCs w:val="18"/>
          <w:color w:val="auto"/>
        </w:rPr>
      </w:pPr>
    </w:p>
    <w:p>
      <w:pPr>
        <w:ind w:left="660" w:hanging="328"/>
        <w:spacing w:after="0" w:line="246"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pdf copy of an extract from the Commercial Register of the Canton of Vaud in respect of the Issuer, certified by such Commercial Register as of 10 March 2021 (the "</w:t>
      </w:r>
      <w:r>
        <w:rPr>
          <w:rFonts w:ascii="Arial" w:cs="Arial" w:eastAsia="Arial" w:hAnsi="Arial"/>
          <w:sz w:val="18"/>
          <w:szCs w:val="18"/>
          <w:b w:val="1"/>
          <w:bCs w:val="1"/>
          <w:color w:val="auto"/>
        </w:rPr>
        <w:t>Extract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line="267"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pdf copy of the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Issuer dated 23 February 2021 and certified on 10 March 2021, to correspond to the latest version filed with the Commercial Register of the Canton of Vaud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43"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4 below, we have assumed (without verification) each of the following:</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all documents submitted to us in a form other than an original conform to authentic and complete originals;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all signatures on documents examined are genuine;</w:t>
      </w:r>
    </w:p>
    <w:p>
      <w:pPr>
        <w:spacing w:after="0" w:line="198" w:lineRule="exact"/>
        <w:rPr>
          <w:rFonts w:ascii="Arial" w:cs="Arial" w:eastAsia="Arial" w:hAnsi="Arial"/>
          <w:sz w:val="18"/>
          <w:szCs w:val="18"/>
          <w:color w:val="auto"/>
        </w:rPr>
      </w:pPr>
    </w:p>
    <w:p>
      <w:pPr>
        <w:ind w:left="660" w:hanging="328"/>
        <w:spacing w:after="0" w:line="246"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any and all information contained in the Documents is and will be true, complete and accurate at all relevant times;</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the Extract and the Articles are unchanged, correct, up-to-date and in full force and effect as of the date hereof and no changes have been made in such documents;</w:t>
      </w:r>
    </w:p>
    <w:p>
      <w:pPr>
        <w:spacing w:after="0" w:line="161"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the Issuer is neither insolvent or over-indebted (in the sense of article 725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has not passed a resolution for its dissolution, winding-up or liquidation, no petition has been presented or order made by a court or other competent authority for the dissolution, winding-up, liquidation, bankruptcy, moratorium, composition with creditors or administration of any party and no receiver, trustee in bankruptcy, administrator or similar officer has been appointed in relation to any of the parties or any of their assets or revenues;</w:t>
      </w:r>
    </w:p>
    <w:p>
      <w:pPr>
        <w:spacing w:after="0" w:line="184" w:lineRule="exact"/>
        <w:rPr>
          <w:rFonts w:ascii="Arial" w:cs="Arial" w:eastAsia="Arial" w:hAnsi="Arial"/>
          <w:sz w:val="18"/>
          <w:szCs w:val="18"/>
          <w:color w:val="auto"/>
        </w:rPr>
      </w:pPr>
    </w:p>
    <w:p>
      <w:pPr>
        <w:jc w:val="both"/>
        <w:ind w:left="660" w:hanging="328"/>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all authorizations, consents, licenses, exemptions, notices, filings, publications or registrations which may be necessary under any applicable laws or regulations, other than the laws of Switzerland, in connection the issuance of the Registered Shares have been or will be duly obtained or made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0" w:name="page161"/>
    <w:bookmarkEnd w:id="160"/>
    <w:p>
      <w:pPr>
        <w:spacing w:after="0"/>
        <w:tabs>
          <w:tab w:leader="none" w:pos="1680" w:val="left"/>
          <w:tab w:leader="none" w:pos="11120" w:val="left"/>
        </w:tabs>
        <w:rPr>
          <w:sz w:val="20"/>
          <w:szCs w:val="20"/>
          <w:color w:val="auto"/>
        </w:rPr>
      </w:pPr>
      <w:r>
        <w:rPr>
          <w:rFonts w:ascii="Arial" w:cs="Arial" w:eastAsia="Arial" w:hAnsi="Arial"/>
          <w:sz w:val="18"/>
          <w:szCs w:val="18"/>
          <w:color w:val="auto"/>
        </w:rPr>
        <w:t>Bär &amp; Karrer</w:t>
      </w:r>
      <w:r>
        <w:rPr>
          <w:sz w:val="20"/>
          <w:szCs w:val="20"/>
          <w:color w:val="auto"/>
        </w:rPr>
        <w:tab/>
      </w:r>
      <w:r>
        <w:rPr>
          <w:rFonts w:ascii="Arial" w:cs="Arial" w:eastAsia="Arial" w:hAnsi="Arial"/>
          <w:sz w:val="18"/>
          <w:szCs w:val="18"/>
          <w:color w:val="auto"/>
        </w:rPr>
        <w:t>28 April 2021</w:t>
      </w:r>
      <w:r>
        <w:rPr>
          <w:sz w:val="20"/>
          <w:szCs w:val="20"/>
          <w:color w:val="auto"/>
        </w:rPr>
        <w:tab/>
      </w:r>
      <w:r>
        <w:rPr>
          <w:rFonts w:ascii="Arial" w:cs="Arial" w:eastAsia="Arial" w:hAnsi="Arial"/>
          <w:sz w:val="17"/>
          <w:szCs w:val="17"/>
          <w:color w:val="auto"/>
        </w:rPr>
        <w:t>3</w:t>
      </w:r>
    </w:p>
    <w:p>
      <w:pPr>
        <w:spacing w:after="0" w:line="104"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remain in full force and effect at the date of this opinion and, where relevant, will be obtained and maintained in the future, and that any related conditions have been fulfilled and any related covenants will be complied with;</w:t>
      </w:r>
    </w:p>
    <w:p>
      <w:pPr>
        <w:spacing w:after="0" w:line="183"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Registration Statement has been or will be duly filed by the Issuer and will continue to be effective;</w:t>
      </w:r>
    </w:p>
    <w:p>
      <w:pPr>
        <w:spacing w:after="0" w:line="19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has not entered and will not enter into any transaction which could be construed as repayment of share capital and has not undertaken and will not undertake an acquisition in kind or intended acquisition in kind; and</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any Swiss federal stamp duties due in connection with the issuance of the Registered Shares will be remitted to the Swiss tax authorities.</w:t>
      </w:r>
    </w:p>
    <w:p>
      <w:pPr>
        <w:spacing w:after="0" w:line="161"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Based upon and subject to the foregoing assumptions, and subject to the qualifications and limitations set out below, we are of the opinion that the Registered Shares being subject to the Registration Statement have been validly issued, fully paid-in (up to their nominal amount) and non-assessable (which term means when used herein that no further contributions have to be made by the holders of the Registered Shares).</w:t>
      </w:r>
    </w:p>
    <w:p>
      <w:pPr>
        <w:spacing w:after="0" w:line="169"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and Limitations</w:t>
      </w:r>
    </w:p>
    <w:p>
      <w:pPr>
        <w:spacing w:after="0" w:line="22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opinions expressed herein are limited to questions arising under the laws of Switzerland, and we express no opinion as to the laws of any other jurisdiction. We express no opinion herein as to any matter of accounting or taxation, or as to any regulatory or commercial matter. Our opinions expressed in Section 4 above are further subject to the following qualifications and limitations:</w:t>
      </w:r>
    </w:p>
    <w:p>
      <w:pPr>
        <w:spacing w:after="0" w:line="189" w:lineRule="exact"/>
        <w:rPr>
          <w:rFonts w:ascii="Arial" w:cs="Arial" w:eastAsia="Arial" w:hAnsi="Arial"/>
          <w:sz w:val="18"/>
          <w:szCs w:val="18"/>
          <w:b w:val="1"/>
          <w:bCs w:val="1"/>
          <w:color w:val="auto"/>
        </w:rPr>
      </w:pPr>
    </w:p>
    <w:p>
      <w:pPr>
        <w:jc w:val="both"/>
        <w:ind w:left="660" w:hanging="328"/>
        <w:spacing w:after="0"/>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Registered Shares is only permissible after registration in the Issuer's share register as a shareholder with voting rights in accordance with the provisions of, and subject to the limitations provided in, the Articles; and</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we express no opinion on the accuracy, correctness or completeness of the Registration Statement; in particular, we express no opinion on whether the Registration Statement provides sufficient information for knowledgeable investors to reach an informed assessment of the Issuer and its securities.</w:t>
      </w:r>
    </w:p>
    <w:p>
      <w:pPr>
        <w:spacing w:after="0" w:line="18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1" w:name="page162"/>
    <w:bookmarkEnd w:id="161"/>
    <w:p>
      <w:pPr>
        <w:spacing w:after="0"/>
        <w:tabs>
          <w:tab w:leader="none" w:pos="1680" w:val="left"/>
          <w:tab w:leader="none" w:pos="11120" w:val="left"/>
        </w:tabs>
        <w:rPr>
          <w:sz w:val="20"/>
          <w:szCs w:val="20"/>
          <w:color w:val="auto"/>
        </w:rPr>
      </w:pPr>
      <w:r>
        <w:rPr>
          <w:rFonts w:ascii="Arial" w:cs="Arial" w:eastAsia="Arial" w:hAnsi="Arial"/>
          <w:sz w:val="18"/>
          <w:szCs w:val="18"/>
          <w:color w:val="auto"/>
        </w:rPr>
        <w:t>Bär &amp; Karrer</w:t>
      </w:r>
      <w:r>
        <w:rPr>
          <w:sz w:val="20"/>
          <w:szCs w:val="20"/>
          <w:color w:val="auto"/>
        </w:rPr>
        <w:tab/>
      </w:r>
      <w:r>
        <w:rPr>
          <w:rFonts w:ascii="Arial" w:cs="Arial" w:eastAsia="Arial" w:hAnsi="Arial"/>
          <w:sz w:val="18"/>
          <w:szCs w:val="18"/>
          <w:color w:val="auto"/>
        </w:rPr>
        <w:t>28 April 2021</w:t>
      </w:r>
      <w:r>
        <w:rPr>
          <w:sz w:val="20"/>
          <w:szCs w:val="20"/>
          <w:color w:val="auto"/>
        </w:rPr>
        <w:tab/>
      </w:r>
      <w:r>
        <w:rPr>
          <w:rFonts w:ascii="Arial" w:cs="Arial" w:eastAsia="Arial" w:hAnsi="Arial"/>
          <w:sz w:val="17"/>
          <w:szCs w:val="17"/>
          <w:color w:val="auto"/>
        </w:rPr>
        <w:t>4</w:t>
      </w:r>
    </w:p>
    <w:p>
      <w:pPr>
        <w:sectPr>
          <w:pgSz w:w="11900" w:h="16838" w:orient="portrait"/>
          <w:cols w:equalWidth="0" w:num="1">
            <w:col w:w="11240"/>
          </w:cols>
          <w:pgMar w:left="320" w:top="247" w:right="339" w:bottom="1440" w:gutter="0" w:footer="0" w:header="0"/>
        </w:sectPr>
      </w:pPr>
    </w:p>
    <w:p>
      <w:pPr>
        <w:spacing w:after="0" w:line="10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Bär &amp; Karrer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62" w:name="page163"/>
    <w:bookmarkEnd w:id="162"/>
    <w:p>
      <w:pPr>
        <w:ind w:left="8100"/>
        <w:spacing w:after="0"/>
        <w:rPr>
          <w:sz w:val="20"/>
          <w:szCs w:val="20"/>
          <w:color w:val="auto"/>
        </w:rPr>
      </w:pPr>
      <w:r>
        <w:rPr>
          <w:rFonts w:ascii="Arial" w:cs="Arial" w:eastAsia="Arial" w:hAnsi="Arial"/>
          <w:sz w:val="18"/>
          <w:szCs w:val="18"/>
          <w:b w:val="1"/>
          <w:bCs w:val="1"/>
          <w:color w:val="auto"/>
        </w:rPr>
        <w:t>New York</w:t>
      </w:r>
    </w:p>
    <w:p>
      <w:pPr>
        <w:spacing w:after="0" w:line="1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Menlo Park</w:t>
      </w:r>
    </w:p>
    <w:p>
      <w:pPr>
        <w:ind w:left="8100"/>
        <w:spacing w:after="0"/>
        <w:rPr>
          <w:sz w:val="20"/>
          <w:szCs w:val="20"/>
          <w:color w:val="auto"/>
        </w:rPr>
      </w:pPr>
      <w:r>
        <w:rPr>
          <w:rFonts w:ascii="Arial" w:cs="Arial" w:eastAsia="Arial" w:hAnsi="Arial"/>
          <w:sz w:val="17"/>
          <w:szCs w:val="17"/>
          <w:b w:val="1"/>
          <w:bCs w:val="1"/>
          <w:color w:val="auto"/>
        </w:rPr>
        <w:t>Washington DC</w:t>
      </w:r>
    </w:p>
    <w:p>
      <w:pPr>
        <w:spacing w:after="0" w:line="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São Paulo</w:t>
      </w:r>
    </w:p>
    <w:p>
      <w:pPr>
        <w:ind w:left="81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842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234" w:lineRule="auto"/>
        <w:rPr>
          <w:sz w:val="20"/>
          <w:szCs w:val="20"/>
          <w:color w:val="auto"/>
        </w:rPr>
      </w:pPr>
      <w:r>
        <w:rPr>
          <w:rFonts w:ascii="Arial" w:cs="Arial" w:eastAsia="Arial" w:hAnsi="Arial"/>
          <w:sz w:val="18"/>
          <w:szCs w:val="18"/>
          <w:b w:val="1"/>
          <w:bCs w:val="1"/>
          <w:color w:val="auto"/>
        </w:rPr>
        <w:t>Tokyo</w:t>
      </w:r>
    </w:p>
    <w:p>
      <w:pPr>
        <w:spacing w:after="0" w:line="235" w:lineRule="auto"/>
        <w:rPr>
          <w:sz w:val="20"/>
          <w:szCs w:val="20"/>
          <w:color w:val="auto"/>
        </w:rPr>
      </w:pPr>
      <w:r>
        <w:rPr>
          <w:rFonts w:ascii="Arial" w:cs="Arial" w:eastAsia="Arial" w:hAnsi="Arial"/>
          <w:sz w:val="18"/>
          <w:szCs w:val="18"/>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11" w:lineRule="exact"/>
        <w:rPr>
          <w:sz w:val="20"/>
          <w:szCs w:val="20"/>
          <w:color w:val="auto"/>
        </w:rPr>
      </w:pPr>
    </w:p>
    <w:p>
      <w:pPr>
        <w:sectPr>
          <w:pgSz w:w="11900" w:h="16838" w:orient="portrait"/>
          <w:cols w:equalWidth="0" w:num="2">
            <w:col w:w="9440" w:space="580"/>
            <w:col w:w="1220"/>
          </w:cols>
          <w:pgMar w:left="320" w:top="360" w:right="339" w:bottom="1440"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720" w:type="dxa"/>
            <w:vAlign w:val="bottom"/>
          </w:tcPr>
          <w:p>
            <w:pPr>
              <w:ind w:left="320"/>
              <w:spacing w:after="0"/>
              <w:rPr>
                <w:sz w:val="20"/>
                <w:szCs w:val="20"/>
                <w:color w:val="auto"/>
              </w:rPr>
            </w:pPr>
            <w:r>
              <w:rPr>
                <w:rFonts w:ascii="Arial" w:cs="Arial" w:eastAsia="Arial" w:hAnsi="Arial"/>
                <w:sz w:val="18"/>
                <w:szCs w:val="18"/>
                <w:color w:val="auto"/>
              </w:rPr>
              <w:t>212 450 4000 tel</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450 Lexington Avenue</w:t>
            </w:r>
          </w:p>
        </w:tc>
        <w:tc>
          <w:tcPr>
            <w:tcW w:w="1720" w:type="dxa"/>
            <w:vAlign w:val="bottom"/>
          </w:tcPr>
          <w:p>
            <w:pPr>
              <w:ind w:left="320"/>
              <w:spacing w:after="0" w:line="202" w:lineRule="exact"/>
              <w:rPr>
                <w:sz w:val="20"/>
                <w:szCs w:val="20"/>
                <w:color w:val="auto"/>
              </w:rPr>
            </w:pPr>
            <w:r>
              <w:rPr>
                <w:rFonts w:ascii="Arial" w:cs="Arial" w:eastAsia="Arial" w:hAnsi="Arial"/>
                <w:sz w:val="18"/>
                <w:szCs w:val="18"/>
                <w:color w:val="auto"/>
                <w:w w:val="99"/>
              </w:rPr>
              <w:t>212 701 5800 fax</w:t>
            </w: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New York, NY 10017</w:t>
            </w:r>
          </w:p>
        </w:tc>
        <w:tc>
          <w:tcPr>
            <w:tcW w:w="1720" w:type="dxa"/>
            <w:vAlign w:val="bottom"/>
          </w:tcPr>
          <w:p>
            <w:pPr>
              <w:spacing w:after="0"/>
              <w:rPr>
                <w:sz w:val="18"/>
                <w:szCs w:val="18"/>
                <w:color w:val="auto"/>
              </w:rPr>
            </w:pPr>
          </w:p>
        </w:tc>
      </w:tr>
    </w:tbl>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Exhibits 5.2 and 23.3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EPFL Innovation Park</w:t>
      </w:r>
    </w:p>
    <w:p>
      <w:pPr>
        <w:spacing w:after="0" w:line="235" w:lineRule="auto"/>
        <w:rPr>
          <w:sz w:val="20"/>
          <w:szCs w:val="20"/>
          <w:color w:val="auto"/>
        </w:rPr>
      </w:pPr>
      <w:r>
        <w:rPr>
          <w:rFonts w:ascii="Arial" w:cs="Arial" w:eastAsia="Arial" w:hAnsi="Arial"/>
          <w:sz w:val="18"/>
          <w:szCs w:val="18"/>
          <w:color w:val="auto"/>
        </w:rPr>
        <w:t>Building B</w:t>
      </w:r>
    </w:p>
    <w:p>
      <w:pPr>
        <w:spacing w:after="0" w:line="235" w:lineRule="auto"/>
        <w:rPr>
          <w:sz w:val="20"/>
          <w:szCs w:val="20"/>
          <w:color w:val="auto"/>
        </w:rPr>
      </w:pPr>
      <w:r>
        <w:rPr>
          <w:rFonts w:ascii="Arial" w:cs="Arial" w:eastAsia="Arial" w:hAnsi="Arial"/>
          <w:sz w:val="18"/>
          <w:szCs w:val="18"/>
          <w:color w:val="auto"/>
        </w:rPr>
        <w:t>1015 Lausanne</w:t>
      </w:r>
    </w:p>
    <w:p>
      <w:pPr>
        <w:spacing w:after="0"/>
        <w:rPr>
          <w:sz w:val="20"/>
          <w:szCs w:val="20"/>
          <w:color w:val="auto"/>
        </w:rPr>
      </w:pPr>
      <w:r>
        <w:rPr>
          <w:rFonts w:ascii="Arial" w:cs="Arial" w:eastAsia="Arial" w:hAnsi="Arial"/>
          <w:sz w:val="18"/>
          <w:szCs w:val="18"/>
          <w:color w:val="auto"/>
        </w:rPr>
        <w:t>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have acted as special counsel for AC Immune SA, a Swiss stock corporation organized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filing with the Securities and Exchange Commission of a Registration Statement on Form F-3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 common</w:t>
      </w:r>
    </w:p>
    <w:p>
      <w:pPr>
        <w:spacing w:after="0" w:line="235" w:lineRule="auto"/>
        <w:rPr>
          <w:sz w:val="20"/>
          <w:szCs w:val="20"/>
          <w:color w:val="auto"/>
        </w:rPr>
      </w:pPr>
      <w:r>
        <w:rPr>
          <w:rFonts w:ascii="Arial" w:cs="Arial" w:eastAsia="Arial" w:hAnsi="Arial"/>
          <w:sz w:val="18"/>
          <w:szCs w:val="18"/>
          <w:color w:val="auto"/>
        </w:rPr>
        <w:t>shares, nominal value CHF 0.02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of the Company; (b) the Company’s senior debt securities and</w:t>
      </w:r>
    </w:p>
    <w:p>
      <w:pPr>
        <w:spacing w:after="0" w:line="235" w:lineRule="auto"/>
        <w:rPr>
          <w:sz w:val="20"/>
          <w:szCs w:val="20"/>
          <w:color w:val="auto"/>
        </w:rPr>
      </w:pPr>
      <w:r>
        <w:rPr>
          <w:rFonts w:ascii="Arial" w:cs="Arial" w:eastAsia="Arial" w:hAnsi="Arial"/>
          <w:sz w:val="18"/>
          <w:szCs w:val="18"/>
          <w:color w:val="auto"/>
        </w:rPr>
        <w:t>subordinated debt securities (collectively,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may be issued pursuant to a senior debt indenture (the “</w:t>
      </w:r>
      <w:r>
        <w:rPr>
          <w:rFonts w:ascii="Arial" w:cs="Arial" w:eastAsia="Arial" w:hAnsi="Arial"/>
          <w:sz w:val="18"/>
          <w:szCs w:val="18"/>
          <w:b w:val="1"/>
          <w:bCs w:val="1"/>
          <w:color w:val="auto"/>
        </w:rPr>
        <w:t>Senior</w:t>
      </w:r>
    </w:p>
    <w:p>
      <w:pPr>
        <w:spacing w:after="0" w:line="235"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 to be named therein, as trustee (the “</w:t>
      </w:r>
      <w:r>
        <w:rPr>
          <w:rFonts w:ascii="Arial" w:cs="Arial" w:eastAsia="Arial" w:hAnsi="Arial"/>
          <w:sz w:val="18"/>
          <w:szCs w:val="18"/>
          <w:b w:val="1"/>
          <w:bCs w:val="1"/>
          <w:color w:val="auto"/>
        </w:rPr>
        <w:t>Senior Debt Trustee</w:t>
      </w:r>
      <w:r>
        <w:rPr>
          <w:rFonts w:ascii="Arial" w:cs="Arial" w:eastAsia="Arial" w:hAnsi="Arial"/>
          <w:sz w:val="18"/>
          <w:szCs w:val="18"/>
          <w:color w:val="auto"/>
        </w:rPr>
        <w:t>”) and a subordinated debt</w:t>
      </w:r>
    </w:p>
    <w:p>
      <w:pPr>
        <w:spacing w:after="0" w:line="235" w:lineRule="auto"/>
        <w:rPr>
          <w:sz w:val="20"/>
          <w:szCs w:val="20"/>
          <w:color w:val="auto"/>
        </w:rPr>
      </w:pPr>
      <w:r>
        <w:rPr>
          <w:rFonts w:ascii="Arial" w:cs="Arial" w:eastAsia="Arial" w:hAnsi="Arial"/>
          <w:sz w:val="18"/>
          <w:szCs w:val="18"/>
          <w:color w:val="auto"/>
        </w:rPr>
        <w:t>indenture (the “</w:t>
      </w:r>
      <w:r>
        <w:rPr>
          <w:rFonts w:ascii="Arial" w:cs="Arial" w:eastAsia="Arial" w:hAnsi="Arial"/>
          <w:sz w:val="18"/>
          <w:szCs w:val="18"/>
          <w:b w:val="1"/>
          <w:bCs w:val="1"/>
          <w:color w:val="auto"/>
        </w:rPr>
        <w:t>Subordinated Indenture</w:t>
      </w:r>
      <w:r>
        <w:rPr>
          <w:rFonts w:ascii="Arial" w:cs="Arial" w:eastAsia="Arial" w:hAnsi="Arial"/>
          <w:sz w:val="18"/>
          <w:szCs w:val="18"/>
          <w:color w:val="auto"/>
        </w:rPr>
        <w:t>” and, together with the Senior Indenture, the “</w:t>
      </w:r>
      <w:r>
        <w:rPr>
          <w:rFonts w:ascii="Arial" w:cs="Arial" w:eastAsia="Arial" w:hAnsi="Arial"/>
          <w:sz w:val="18"/>
          <w:szCs w:val="18"/>
          <w:b w:val="1"/>
          <w:bCs w:val="1"/>
          <w:color w:val="auto"/>
        </w:rPr>
        <w:t>Indentures</w:t>
      </w:r>
      <w:r>
        <w:rPr>
          <w:rFonts w:ascii="Arial" w:cs="Arial" w:eastAsia="Arial" w:hAnsi="Arial"/>
          <w:sz w:val="18"/>
          <w:szCs w:val="18"/>
          <w:color w:val="auto"/>
        </w:rPr>
        <w:t>”), between the Company and the trustee</w:t>
      </w:r>
    </w:p>
    <w:p>
      <w:pPr>
        <w:spacing w:after="0" w:line="234" w:lineRule="auto"/>
        <w:rPr>
          <w:sz w:val="20"/>
          <w:szCs w:val="20"/>
          <w:color w:val="auto"/>
        </w:rPr>
      </w:pPr>
      <w:r>
        <w:rPr>
          <w:rFonts w:ascii="Arial" w:cs="Arial" w:eastAsia="Arial" w:hAnsi="Arial"/>
          <w:sz w:val="18"/>
          <w:szCs w:val="18"/>
          <w:color w:val="auto"/>
        </w:rPr>
        <w:t>to be named therein (the “</w:t>
      </w:r>
      <w:r>
        <w:rPr>
          <w:rFonts w:ascii="Arial" w:cs="Arial" w:eastAsia="Arial" w:hAnsi="Arial"/>
          <w:sz w:val="18"/>
          <w:szCs w:val="18"/>
          <w:b w:val="1"/>
          <w:bCs w:val="1"/>
          <w:color w:val="auto"/>
        </w:rPr>
        <w:t>Subordinated Debt Trustee</w:t>
      </w:r>
      <w:r>
        <w:rPr>
          <w:rFonts w:ascii="Arial" w:cs="Arial" w:eastAsia="Arial" w:hAnsi="Arial"/>
          <w:sz w:val="18"/>
          <w:szCs w:val="18"/>
          <w:color w:val="auto"/>
        </w:rPr>
        <w:t>” and, together with the Senior Debt Trustee, the “</w:t>
      </w:r>
      <w:r>
        <w:rPr>
          <w:rFonts w:ascii="Arial" w:cs="Arial" w:eastAsia="Arial" w:hAnsi="Arial"/>
          <w:sz w:val="18"/>
          <w:szCs w:val="18"/>
          <w:b w:val="1"/>
          <w:bCs w:val="1"/>
          <w:color w:val="auto"/>
        </w:rPr>
        <w:t>Trustees</w:t>
      </w:r>
      <w:r>
        <w:rPr>
          <w:rFonts w:ascii="Arial" w:cs="Arial" w:eastAsia="Arial" w:hAnsi="Arial"/>
          <w:sz w:val="18"/>
          <w:szCs w:val="18"/>
          <w:color w:val="auto"/>
        </w:rPr>
        <w:t>”); (c) warrants of the</w:t>
      </w:r>
    </w:p>
    <w:p>
      <w:pPr>
        <w:spacing w:after="0" w:line="235" w:lineRule="auto"/>
        <w:rPr>
          <w:sz w:val="20"/>
          <w:szCs w:val="20"/>
          <w:color w:val="auto"/>
        </w:rPr>
      </w:pPr>
      <w:r>
        <w:rPr>
          <w:rFonts w:ascii="Arial" w:cs="Arial" w:eastAsia="Arial" w:hAnsi="Arial"/>
          <w:sz w:val="18"/>
          <w:szCs w:val="18"/>
          <w:color w:val="auto"/>
        </w:rPr>
        <w:t>Company (the “</w:t>
      </w:r>
      <w:r>
        <w:rPr>
          <w:rFonts w:ascii="Arial" w:cs="Arial" w:eastAsia="Arial" w:hAnsi="Arial"/>
          <w:sz w:val="18"/>
          <w:szCs w:val="18"/>
          <w:b w:val="1"/>
          <w:bCs w:val="1"/>
          <w:color w:val="auto"/>
        </w:rPr>
        <w:t>Warrants</w:t>
      </w:r>
      <w:r>
        <w:rPr>
          <w:rFonts w:ascii="Arial" w:cs="Arial" w:eastAsia="Arial" w:hAnsi="Arial"/>
          <w:sz w:val="18"/>
          <w:szCs w:val="18"/>
          <w:color w:val="auto"/>
        </w:rPr>
        <w:t>”), which may be issued pursuant to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between the Company and</w:t>
      </w:r>
    </w:p>
    <w:p>
      <w:pPr>
        <w:spacing w:after="0" w:line="235" w:lineRule="auto"/>
        <w:rPr>
          <w:sz w:val="20"/>
          <w:szCs w:val="20"/>
          <w:color w:val="auto"/>
        </w:rPr>
      </w:pPr>
      <w:r>
        <w:rPr>
          <w:rFonts w:ascii="Arial" w:cs="Arial" w:eastAsia="Arial" w:hAnsi="Arial"/>
          <w:sz w:val="18"/>
          <w:szCs w:val="18"/>
          <w:color w:val="auto"/>
        </w:rPr>
        <w:t>the warrant agent to be named therein (the “</w:t>
      </w:r>
      <w:r>
        <w:rPr>
          <w:rFonts w:ascii="Arial" w:cs="Arial" w:eastAsia="Arial" w:hAnsi="Arial"/>
          <w:sz w:val="18"/>
          <w:szCs w:val="18"/>
          <w:b w:val="1"/>
          <w:bCs w:val="1"/>
          <w:color w:val="auto"/>
        </w:rPr>
        <w:t>Warrant Agent</w:t>
      </w:r>
      <w:r>
        <w:rPr>
          <w:rFonts w:ascii="Arial" w:cs="Arial" w:eastAsia="Arial" w:hAnsi="Arial"/>
          <w:sz w:val="18"/>
          <w:szCs w:val="18"/>
          <w:color w:val="auto"/>
        </w:rPr>
        <w:t>”); (d) purchase contracts (the “</w:t>
      </w:r>
      <w:r>
        <w:rPr>
          <w:rFonts w:ascii="Arial" w:cs="Arial" w:eastAsia="Arial" w:hAnsi="Arial"/>
          <w:sz w:val="18"/>
          <w:szCs w:val="18"/>
          <w:b w:val="1"/>
          <w:bCs w:val="1"/>
          <w:color w:val="auto"/>
        </w:rPr>
        <w:t>Purchase Contracts</w:t>
      </w:r>
      <w:r>
        <w:rPr>
          <w:rFonts w:ascii="Arial" w:cs="Arial" w:eastAsia="Arial" w:hAnsi="Arial"/>
          <w:sz w:val="18"/>
          <w:szCs w:val="18"/>
          <w:color w:val="auto"/>
        </w:rPr>
        <w:t>”) which may be issued</w:t>
      </w:r>
    </w:p>
    <w:p>
      <w:pPr>
        <w:spacing w:after="0" w:line="235" w:lineRule="auto"/>
        <w:rPr>
          <w:sz w:val="20"/>
          <w:szCs w:val="20"/>
          <w:color w:val="auto"/>
        </w:rPr>
      </w:pPr>
      <w:r>
        <w:rPr>
          <w:rFonts w:ascii="Arial" w:cs="Arial" w:eastAsia="Arial" w:hAnsi="Arial"/>
          <w:sz w:val="18"/>
          <w:szCs w:val="18"/>
          <w:color w:val="auto"/>
        </w:rPr>
        <w:t>under one or more purchase contract agreements (each, a “</w:t>
      </w:r>
      <w:r>
        <w:rPr>
          <w:rFonts w:ascii="Arial" w:cs="Arial" w:eastAsia="Arial" w:hAnsi="Arial"/>
          <w:sz w:val="18"/>
          <w:szCs w:val="18"/>
          <w:b w:val="1"/>
          <w:bCs w:val="1"/>
          <w:color w:val="auto"/>
        </w:rPr>
        <w:t>Purchase Contract Agreement</w:t>
      </w:r>
      <w:r>
        <w:rPr>
          <w:rFonts w:ascii="Arial" w:cs="Arial" w:eastAsia="Arial" w:hAnsi="Arial"/>
          <w:sz w:val="18"/>
          <w:szCs w:val="18"/>
          <w:color w:val="auto"/>
        </w:rPr>
        <w:t>”) to be entered into between the Company and</w:t>
      </w:r>
    </w:p>
    <w:p>
      <w:pPr>
        <w:spacing w:after="0" w:line="235" w:lineRule="auto"/>
        <w:rPr>
          <w:sz w:val="20"/>
          <w:szCs w:val="20"/>
          <w:color w:val="auto"/>
        </w:rPr>
      </w:pPr>
      <w:r>
        <w:rPr>
          <w:rFonts w:ascii="Arial" w:cs="Arial" w:eastAsia="Arial" w:hAnsi="Arial"/>
          <w:sz w:val="18"/>
          <w:szCs w:val="18"/>
          <w:color w:val="auto"/>
        </w:rPr>
        <w:t>the purchase contract agent to be named therein (the “</w:t>
      </w:r>
      <w:r>
        <w:rPr>
          <w:rFonts w:ascii="Arial" w:cs="Arial" w:eastAsia="Arial" w:hAnsi="Arial"/>
          <w:sz w:val="18"/>
          <w:szCs w:val="18"/>
          <w:b w:val="1"/>
          <w:bCs w:val="1"/>
          <w:color w:val="auto"/>
        </w:rPr>
        <w:t>Purchase Contract Agent</w:t>
      </w:r>
      <w:r>
        <w:rPr>
          <w:rFonts w:ascii="Arial" w:cs="Arial" w:eastAsia="Arial" w:hAnsi="Arial"/>
          <w:sz w:val="18"/>
          <w:szCs w:val="18"/>
          <w:color w:val="auto"/>
        </w:rPr>
        <w:t>”); (e) units (the “</w:t>
      </w:r>
      <w:r>
        <w:rPr>
          <w:rFonts w:ascii="Arial" w:cs="Arial" w:eastAsia="Arial" w:hAnsi="Arial"/>
          <w:sz w:val="18"/>
          <w:szCs w:val="18"/>
          <w:b w:val="1"/>
          <w:bCs w:val="1"/>
          <w:color w:val="auto"/>
        </w:rPr>
        <w:t>Units</w:t>
      </w:r>
      <w:r>
        <w:rPr>
          <w:rFonts w:ascii="Arial" w:cs="Arial" w:eastAsia="Arial" w:hAnsi="Arial"/>
          <w:sz w:val="18"/>
          <w:szCs w:val="18"/>
          <w:color w:val="auto"/>
        </w:rPr>
        <w:t>”) which may be issued under one or</w:t>
      </w:r>
    </w:p>
    <w:p>
      <w:pPr>
        <w:spacing w:after="0" w:line="234" w:lineRule="auto"/>
        <w:rPr>
          <w:sz w:val="20"/>
          <w:szCs w:val="20"/>
          <w:color w:val="auto"/>
        </w:rPr>
      </w:pPr>
      <w:r>
        <w:rPr>
          <w:rFonts w:ascii="Arial" w:cs="Arial" w:eastAsia="Arial" w:hAnsi="Arial"/>
          <w:sz w:val="18"/>
          <w:szCs w:val="18"/>
          <w:color w:val="auto"/>
        </w:rPr>
        <w:t>more unit agreements to be entered into among the Company, a 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w:t>
      </w:r>
    </w:p>
    <w:p>
      <w:pPr>
        <w:spacing w:after="0" w:line="235" w:lineRule="auto"/>
        <w:rPr>
          <w:sz w:val="20"/>
          <w:szCs w:val="20"/>
          <w:color w:val="auto"/>
        </w:rPr>
      </w:pPr>
      <w:r>
        <w:rPr>
          <w:rFonts w:ascii="Arial" w:cs="Arial" w:eastAsia="Arial" w:hAnsi="Arial"/>
          <w:sz w:val="18"/>
          <w:szCs w:val="18"/>
          <w:color w:val="auto"/>
        </w:rPr>
        <w:t>from time to time of the Units (each such unit agreement, a “</w:t>
      </w:r>
      <w:r>
        <w:rPr>
          <w:rFonts w:ascii="Arial" w:cs="Arial" w:eastAsia="Arial" w:hAnsi="Arial"/>
          <w:sz w:val="18"/>
          <w:szCs w:val="18"/>
          <w:b w:val="1"/>
          <w:bCs w:val="1"/>
          <w:color w:val="auto"/>
        </w:rPr>
        <w:t>Unit Agreement</w:t>
      </w:r>
      <w:r>
        <w:rPr>
          <w:rFonts w:ascii="Arial" w:cs="Arial" w:eastAsia="Arial" w:hAnsi="Arial"/>
          <w:sz w:val="18"/>
          <w:szCs w:val="18"/>
          <w:color w:val="auto"/>
        </w:rPr>
        <w:t>”); and (f) subscription rights (“</w:t>
      </w:r>
      <w:r>
        <w:rPr>
          <w:rFonts w:ascii="Arial" w:cs="Arial" w:eastAsia="Arial" w:hAnsi="Arial"/>
          <w:sz w:val="18"/>
          <w:szCs w:val="18"/>
          <w:b w:val="1"/>
          <w:bCs w:val="1"/>
          <w:color w:val="auto"/>
        </w:rPr>
        <w:t>Rights</w:t>
      </w:r>
      <w:r>
        <w:rPr>
          <w:rFonts w:ascii="Arial" w:cs="Arial" w:eastAsia="Arial" w:hAnsi="Arial"/>
          <w:sz w:val="18"/>
          <w:szCs w:val="18"/>
          <w:color w:val="auto"/>
        </w:rPr>
        <w:t>”) which may be issued</w:t>
      </w:r>
    </w:p>
    <w:p>
      <w:pPr>
        <w:spacing w:after="0" w:line="235" w:lineRule="auto"/>
        <w:rPr>
          <w:sz w:val="20"/>
          <w:szCs w:val="20"/>
          <w:color w:val="auto"/>
        </w:rPr>
      </w:pPr>
      <w:r>
        <w:rPr>
          <w:rFonts w:ascii="Arial" w:cs="Arial" w:eastAsia="Arial" w:hAnsi="Arial"/>
          <w:sz w:val="18"/>
          <w:szCs w:val="18"/>
          <w:color w:val="auto"/>
        </w:rPr>
        <w:t>pursuant to a subscription rights agreement (the “</w:t>
      </w:r>
      <w:r>
        <w:rPr>
          <w:rFonts w:ascii="Arial" w:cs="Arial" w:eastAsia="Arial" w:hAnsi="Arial"/>
          <w:sz w:val="18"/>
          <w:szCs w:val="18"/>
          <w:b w:val="1"/>
          <w:bCs w:val="1"/>
          <w:color w:val="auto"/>
        </w:rPr>
        <w:t>Rights Agreement</w:t>
      </w:r>
      <w:r>
        <w:rPr>
          <w:rFonts w:ascii="Arial" w:cs="Arial" w:eastAsia="Arial" w:hAnsi="Arial"/>
          <w:sz w:val="18"/>
          <w:szCs w:val="18"/>
          <w:color w:val="auto"/>
        </w:rPr>
        <w:t>”) to be entered into between the Company and the subscription agent</w:t>
      </w:r>
    </w:p>
    <w:p>
      <w:pPr>
        <w:spacing w:after="0"/>
        <w:rPr>
          <w:sz w:val="20"/>
          <w:szCs w:val="20"/>
          <w:color w:val="auto"/>
        </w:rPr>
      </w:pPr>
      <w:r>
        <w:rPr>
          <w:rFonts w:ascii="Arial" w:cs="Arial" w:eastAsia="Arial" w:hAnsi="Arial"/>
          <w:sz w:val="18"/>
          <w:szCs w:val="18"/>
          <w:color w:val="auto"/>
        </w:rPr>
        <w:t>to be named therein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3" w:name="page164"/>
    <w:bookmarkEnd w:id="163"/>
    <w:p>
      <w:pPr>
        <w:spacing w:after="0"/>
        <w:tabs>
          <w:tab w:leader="none" w:pos="5720" w:val="left"/>
          <w:tab w:leader="none" w:pos="10100" w:val="left"/>
        </w:tabs>
        <w:rPr>
          <w:sz w:val="20"/>
          <w:szCs w:val="20"/>
          <w:color w:val="auto"/>
        </w:rPr>
      </w:pPr>
      <w:r>
        <w:rPr>
          <w:rFonts w:ascii="Arial" w:cs="Arial" w:eastAsia="Arial" w:hAnsi="Arial"/>
          <w:sz w:val="18"/>
          <w:szCs w:val="18"/>
          <w:color w:val="auto"/>
        </w:rPr>
        <w:t>AC Immune SA</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April 28, 2021</w:t>
      </w:r>
    </w:p>
    <w:p>
      <w:pPr>
        <w:spacing w:after="0" w:line="19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1300" w:right="40" w:hanging="644"/>
        <w:spacing w:after="0" w:line="235"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 the applicable Indenture and any supplemental indenture to be entered into in connection with the issuance of any Debt Securities has been duly authorized, executed and delivered by the applicable Trustee and the Company; the specific terms of a particular series of Debt Securities have been duly authorized and established in accordance with such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applicable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9" w:lineRule="exact"/>
        <w:rPr>
          <w:rFonts w:ascii="Arial" w:cs="Arial" w:eastAsia="Arial" w:hAnsi="Arial"/>
          <w:sz w:val="18"/>
          <w:szCs w:val="18"/>
          <w:color w:val="auto"/>
        </w:rPr>
      </w:pPr>
    </w:p>
    <w:p>
      <w:pPr>
        <w:ind w:left="1300" w:right="140" w:hanging="644"/>
        <w:spacing w:after="0" w:line="238"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4" w:name="page165"/>
    <w:bookmarkEnd w:id="164"/>
    <w:p>
      <w:pPr>
        <w:spacing w:after="0"/>
        <w:tabs>
          <w:tab w:leader="none" w:pos="5720" w:val="left"/>
          <w:tab w:leader="none" w:pos="10100" w:val="left"/>
        </w:tabs>
        <w:rPr>
          <w:sz w:val="20"/>
          <w:szCs w:val="20"/>
          <w:color w:val="auto"/>
        </w:rPr>
      </w:pPr>
      <w:r>
        <w:rPr>
          <w:rFonts w:ascii="Arial" w:cs="Arial" w:eastAsia="Arial" w:hAnsi="Arial"/>
          <w:sz w:val="18"/>
          <w:szCs w:val="18"/>
          <w:color w:val="auto"/>
        </w:rPr>
        <w:t>AC Immune SA</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April 28, 2021</w:t>
      </w:r>
    </w:p>
    <w:p>
      <w:pPr>
        <w:spacing w:after="0" w:line="198" w:lineRule="exact"/>
        <w:rPr>
          <w:sz w:val="20"/>
          <w:szCs w:val="20"/>
          <w:color w:val="auto"/>
        </w:rPr>
      </w:pPr>
    </w:p>
    <w:p>
      <w:pPr>
        <w:ind w:left="1300" w:right="20"/>
        <w:spacing w:after="0" w:line="238" w:lineRule="auto"/>
        <w:rPr>
          <w:sz w:val="20"/>
          <w:szCs w:val="20"/>
          <w:color w:val="auto"/>
        </w:rPr>
      </w:pPr>
      <w:r>
        <w:rPr>
          <w:rFonts w:ascii="Arial" w:cs="Arial" w:eastAsia="Arial" w:hAnsi="Arial"/>
          <w:sz w:val="18"/>
          <w:szCs w:val="18"/>
          <w:color w:val="auto"/>
        </w:rPr>
        <w:t>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1" w:lineRule="exact"/>
        <w:rPr>
          <w:sz w:val="20"/>
          <w:szCs w:val="20"/>
          <w:color w:val="auto"/>
        </w:rPr>
      </w:pPr>
    </w:p>
    <w:p>
      <w:pPr>
        <w:ind w:left="1300" w:right="40" w:hanging="644"/>
        <w:spacing w:after="0" w:line="236"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3" w:lineRule="exact"/>
        <w:rPr>
          <w:rFonts w:ascii="Arial" w:cs="Arial" w:eastAsia="Arial" w:hAnsi="Arial"/>
          <w:sz w:val="18"/>
          <w:szCs w:val="18"/>
          <w:color w:val="auto"/>
        </w:rPr>
      </w:pPr>
    </w:p>
    <w:p>
      <w:pPr>
        <w:ind w:left="1300" w:right="20" w:hanging="644"/>
        <w:spacing w:after="0" w:line="236"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4" w:lineRule="exact"/>
        <w:rPr>
          <w:rFonts w:ascii="Arial" w:cs="Arial" w:eastAsia="Arial" w:hAnsi="Arial"/>
          <w:sz w:val="18"/>
          <w:szCs w:val="18"/>
          <w:color w:val="auto"/>
        </w:rPr>
      </w:pPr>
    </w:p>
    <w:p>
      <w:pPr>
        <w:ind w:left="1300" w:right="20" w:hanging="644"/>
        <w:spacing w:after="0" w:line="236"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such security, (i) the Board of Directors of the Company, as required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5" w:name="page166"/>
    <w:bookmarkEnd w:id="165"/>
    <w:p>
      <w:pPr>
        <w:spacing w:after="0"/>
        <w:tabs>
          <w:tab w:leader="none" w:pos="5720" w:val="left"/>
          <w:tab w:leader="none" w:pos="10100" w:val="left"/>
        </w:tabs>
        <w:rPr>
          <w:sz w:val="20"/>
          <w:szCs w:val="20"/>
          <w:color w:val="auto"/>
        </w:rPr>
      </w:pPr>
      <w:r>
        <w:rPr>
          <w:rFonts w:ascii="Arial" w:cs="Arial" w:eastAsia="Arial" w:hAnsi="Arial"/>
          <w:sz w:val="18"/>
          <w:szCs w:val="18"/>
          <w:color w:val="auto"/>
        </w:rPr>
        <w:t>AC Immune SA</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April 28, 2021</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Swiss law, shall have duly established the terms of such security (and that such security is governed by the laws of the State of New York) and duly authorized the issuance and sale of such security and such authorization shall not have been modified or rescinded; (ii) the Company is, and shall remain, validly existing as a corporation in good standing (to the extent such concept exists) under the laws of Switzerland; (iii) the Registration Statement shall have been declared effective and such effectiveness shall not have been terminated or rescinded; (iv) the applicable Indenture, Debt Securities, Warrant Agreement, Purchase Contract Agreement, Unit Agreement and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public policy, any provision of applicable law or regulation or any judgment, injunction, order or decree or any agreement or other instrument binding upon the Company.</w:t>
      </w:r>
    </w:p>
    <w:p>
      <w:pPr>
        <w:spacing w:after="0" w:line="19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 Insofar as the foregoing opinion involves matters governed by the laws of Switzerland, we have relied, without independent inquiry or investigation, on the opinion of Bär &amp; Karrer AG delivered to you today.</w:t>
      </w:r>
    </w:p>
    <w:p>
      <w:pPr>
        <w:spacing w:after="0" w:line="189" w:lineRule="exact"/>
        <w:rPr>
          <w:sz w:val="20"/>
          <w:szCs w:val="20"/>
          <w:color w:val="auto"/>
        </w:rPr>
      </w:pPr>
    </w:p>
    <w:p>
      <w:pPr>
        <w:jc w:val="both"/>
        <w:ind w:right="620"/>
        <w:spacing w:after="0"/>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F-3 of AC Immune SA of our report dated March 23, 2021 relating to the financial statements, which appears in AC Immune SA’s Annual Report on Form 20-F for the year ended December 31, 2020.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212"/>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4"/>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310C50B3"/>
    <w:multiLevelType w:val="hybridMultilevel"/>
    <w:lvl w:ilvl="0">
      <w:lvlJc w:val="left"/>
      <w:lvlText w:val="%1"/>
      <w:numFmt w:val="decimal"/>
      <w:start w:val="1"/>
    </w:lvl>
    <w:lvl w:ilvl="1">
      <w:lvlJc w:val="left"/>
      <w:lvlText w:val="(%2)"/>
      <w:numFmt w:val="upperLetter"/>
      <w:start w:val="1"/>
    </w:lvl>
  </w:abstractNum>
  <w:abstractNum w:abstractNumId="31">
    <w:nsid w:val="5FF87E05"/>
    <w:multiLevelType w:val="hybridMultilevel"/>
    <w:lvl w:ilvl="0">
      <w:lvlJc w:val="left"/>
      <w:lvlText w:val="(%1)"/>
      <w:numFmt w:val="decimal"/>
      <w:start w:val="2"/>
    </w:lvl>
    <w:lvl w:ilvl="1">
      <w:lvlJc w:val="left"/>
      <w:lvlText w:val="%2"/>
      <w:numFmt w:val="upperLetter"/>
      <w:start w:val="1"/>
    </w:lvl>
  </w:abstractNum>
  <w:abstractNum w:abstractNumId="32">
    <w:nsid w:val="2F305DEF"/>
    <w:multiLevelType w:val="hybridMultilevel"/>
    <w:lvl w:ilvl="0">
      <w:lvlJc w:val="left"/>
      <w:lvlText w:val="(%1)"/>
      <w:numFmt w:val="decimal"/>
      <w:start w:val="5"/>
    </w:lvl>
    <w:lvl w:ilvl="1">
      <w:lvlJc w:val="left"/>
      <w:lvlText w:val="(%2)"/>
      <w:numFmt w:val="upperLetter"/>
      <w:start w:val="1"/>
    </w:lvl>
  </w:abstractNum>
  <w:abstractNum w:abstractNumId="33">
    <w:nsid w:val="25A70BF7"/>
    <w:multiLevelType w:val="hybridMultilevel"/>
    <w:lvl w:ilvl="0">
      <w:lvlJc w:val="left"/>
      <w:lvlText w:val="%1"/>
      <w:numFmt w:val="lowerLetter"/>
      <w:start w:val="1"/>
    </w:lvl>
    <w:lvl w:ilvl="1">
      <w:lvlJc w:val="left"/>
      <w:lvlText w:val="(%2)"/>
      <w:numFmt w:val="lowerRoman"/>
      <w:start w:val="1"/>
    </w:lvl>
  </w:abstractNum>
  <w:abstractNum w:abstractNumId="34">
    <w:nsid w:val="1DBABF00"/>
    <w:multiLevelType w:val="hybridMultilevel"/>
    <w:lvl w:ilvl="0">
      <w:lvlJc w:val="left"/>
      <w:lvlText w:val="(%1)"/>
      <w:numFmt w:val="lowerLetter"/>
      <w:start w:val="2"/>
    </w:lvl>
    <w:lvl w:ilvl="1">
      <w:lvlJc w:val="left"/>
      <w:lvlText w:val="%2"/>
      <w:numFmt w:val="lowerRoman"/>
      <w:start w:val="1"/>
    </w:lvl>
  </w:abstractNum>
  <w:abstractNum w:abstractNumId="35">
    <w:nsid w:val="4AD084E9"/>
    <w:multiLevelType w:val="hybridMultilevel"/>
    <w:lvl w:ilvl="0">
      <w:lvlJc w:val="left"/>
      <w:lvlText w:val="(%1)"/>
      <w:numFmt w:val="lowerLetter"/>
      <w:start w:val="4"/>
    </w:lvl>
    <w:lvl w:ilvl="1">
      <w:lvlJc w:val="left"/>
      <w:lvlText w:val="(%2)"/>
      <w:numFmt w:val="decimal"/>
      <w:start w:val="1"/>
    </w:lvl>
  </w:abstractNum>
  <w:abstractNum w:abstractNumId="36">
    <w:nsid w:val="1F48EAA1"/>
    <w:multiLevelType w:val="hybridMultilevel"/>
    <w:lvl w:ilvl="0">
      <w:lvlJc w:val="left"/>
      <w:lvlText w:val="(%1)"/>
      <w:numFmt w:val="lowerLetter"/>
      <w:start w:val="1"/>
    </w:lvl>
    <w:lvl w:ilvl="1">
      <w:lvlJc w:val="left"/>
      <w:lvlText w:val="%2"/>
      <w:numFmt w:val="decimal"/>
      <w:start w:val="1"/>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3"/>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1)"/>
      <w:numFmt w:val="lowerLetter"/>
      <w:start w:val="8"/>
    </w:lvl>
  </w:abstractNum>
  <w:abstractNum w:abstractNumId="42">
    <w:nsid w:val="5F5E7FD0"/>
    <w:multiLevelType w:val="hybridMultilevel"/>
    <w:lvl w:ilvl="0">
      <w:lvlJc w:val="left"/>
      <w:lvlText w:val="(%1)"/>
      <w:numFmt w:val="lowerLetter"/>
      <w:start w:val="18"/>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Letter"/>
      <w:start w:val="2"/>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lowerLetter"/>
      <w:start w:val="6"/>
    </w:lvl>
  </w:abstractNum>
  <w:abstractNum w:abstractNumId="48">
    <w:nsid w:val="1EBA5D23"/>
    <w:multiLevelType w:val="hybridMultilevel"/>
    <w:lvl w:ilvl="0">
      <w:lvlJc w:val="left"/>
      <w:lvlText w:val="(%1)"/>
      <w:numFmt w:val="lowerLetter"/>
      <w:start w:val="2"/>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2"/>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lowerLetter"/>
      <w:start w:val="3"/>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upperLetter"/>
      <w:start w:val="1"/>
    </w:lvl>
    <w:lvl w:ilvl="1">
      <w:lvlJc w:val="left"/>
      <w:lvlText w:val="(%2)"/>
      <w:numFmt w:val="lowerRoman"/>
      <w:start w:val="1"/>
    </w:lvl>
  </w:abstractNum>
  <w:abstractNum w:abstractNumId="55">
    <w:nsid w:val="BF72B14"/>
    <w:multiLevelType w:val="hybridMultilevel"/>
    <w:lvl w:ilvl="0">
      <w:lvlJc w:val="left"/>
      <w:lvlText w:val="(%1)"/>
      <w:numFmt w:val="upperLetter"/>
      <w:start w:val="2"/>
    </w:lvl>
    <w:lvl w:ilvl="1">
      <w:lvlJc w:val="left"/>
      <w:lvlText w:val="(%2)"/>
      <w:numFmt w:val="lowerRoman"/>
      <w:start w:val="2"/>
    </w:lvl>
  </w:abstractNum>
  <w:abstractNum w:abstractNumId="56">
    <w:nsid w:val="11447B73"/>
    <w:multiLevelType w:val="hybridMultilevel"/>
    <w:lvl w:ilvl="0">
      <w:lvlJc w:val="left"/>
      <w:lvlText w:val="(%1)"/>
      <w:numFmt w:val="lowerRoman"/>
      <w:start w:val="5"/>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3"/>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2"/>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lowerLetter"/>
      <w:start w:val="10"/>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lowerLetter"/>
      <w:start w:val="2"/>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2"/>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5"/>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2"/>
    </w:lvl>
  </w:abstractNum>
  <w:abstractNum w:abstractNumId="78">
    <w:nsid w:val="1716703B"/>
    <w:multiLevelType w:val="hybridMultilevel"/>
    <w:lvl w:ilvl="0">
      <w:lvlJc w:val="left"/>
      <w:lvlText w:val="(%1)"/>
      <w:numFmt w:val="lowerRoman"/>
      <w:start w:val="1"/>
    </w:lvl>
  </w:abstractNum>
  <w:abstractNum w:abstractNumId="79">
    <w:nsid w:val="14E17E33"/>
    <w:multiLevelType w:val="hybridMultilevel"/>
    <w:lvl w:ilvl="0">
      <w:lvlJc w:val="left"/>
      <w:lvlText w:val="(%1)"/>
      <w:numFmt w:val="lowerRoman"/>
      <w:start w:val="2"/>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lowerLetter"/>
      <w:start w:val="5"/>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2"/>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2"/>
    </w:lvl>
  </w:abstractNum>
  <w:abstractNum w:abstractNumId="88">
    <w:nsid w:val="CC1016F"/>
    <w:multiLevelType w:val="hybridMultilevel"/>
    <w:lvl w:ilvl="0">
      <w:lvlJc w:val="left"/>
      <w:lvlText w:val="(%1)"/>
      <w:numFmt w:val="lowerLetter"/>
      <w:start w:val="2"/>
    </w:lvl>
  </w:abstractNum>
  <w:abstractNum w:abstractNumId="89">
    <w:nsid w:val="43F18422"/>
    <w:multiLevelType w:val="hybridMultilevel"/>
    <w:lvl w:ilvl="0">
      <w:lvlJc w:val="left"/>
      <w:lvlText w:val="1"/>
      <w:numFmt w:val="bullet"/>
      <w:start w:val="1"/>
    </w:lvl>
  </w:abstractNum>
  <w:abstractNum w:abstractNumId="90">
    <w:nsid w:val="60EF0119"/>
    <w:multiLevelType w:val="hybridMultilevel"/>
    <w:lvl w:ilvl="0">
      <w:lvlJc w:val="left"/>
      <w:lvlText w:val="2"/>
      <w:numFmt w:val="bullet"/>
      <w:start w:val="1"/>
    </w:lvl>
    <w:lvl w:ilvl="1">
      <w:lvlJc w:val="left"/>
      <w:lvlText w:val="%2)"/>
      <w:numFmt w:val="lowerLetter"/>
      <w:start w:val="1"/>
    </w:lvl>
  </w:abstractNum>
  <w:abstractNum w:abstractNumId="91">
    <w:nsid w:val="26F324BA"/>
    <w:multiLevelType w:val="hybridMultilevel"/>
    <w:lvl w:ilvl="0">
      <w:lvlJc w:val="left"/>
      <w:lvlText w:val="3"/>
      <w:numFmt w:val="bullet"/>
      <w:start w:val="1"/>
    </w:lvl>
    <w:lvl w:ilvl="1">
      <w:lvlJc w:val="left"/>
      <w:lvlText w:val="%2)"/>
      <w:numFmt w:val="lowerLetter"/>
      <w:start w:val="1"/>
    </w:lvl>
  </w:abstractNum>
  <w:abstractNum w:abstractNumId="92">
    <w:nsid w:val="7F01579B"/>
    <w:multiLevelType w:val="hybridMultilevel"/>
    <w:lvl w:ilvl="0">
      <w:lvlJc w:val="left"/>
      <w:lvlText w:val="%1)"/>
      <w:numFmt w:val="lowerLetter"/>
      <w:start w:val="7"/>
    </w:lvl>
  </w:abstractNum>
  <w:abstractNum w:abstractNumId="93">
    <w:nsid w:val="49DA307D"/>
    <w:multiLevelType w:val="hybridMultilevel"/>
    <w:lvl w:ilvl="0">
      <w:lvlJc w:val="left"/>
      <w:lvlText w:val="4"/>
      <w:numFmt w:val="bullet"/>
      <w:start w:val="1"/>
    </w:lvl>
  </w:abstractNum>
  <w:abstractNum w:abstractNumId="94">
    <w:nsid w:val="7055A5F5"/>
    <w:multiLevelType w:val="hybridMultilevel"/>
    <w:lvl w:ilvl="0">
      <w:lvlJc w:val="left"/>
      <w:lvlText w:val="5"/>
      <w:numFmt w:val="bullet"/>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2021-04-28T16:07:50Z</dcterms:created>
  <dcterms:modified xsi:type="dcterms:W3CDTF">2021-04-28T16:07:50Z</dcterms:modified>
</cp:coreProperties>
</file>