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80" w:lineRule="exact"/>
        <w:rPr>
          <w:sz w:val="24"/>
          <w:szCs w:val="24"/>
          <w:color w:val="auto"/>
        </w:rPr>
      </w:pPr>
    </w:p>
    <w:p>
      <w:pPr>
        <w:ind w:left="880" w:right="399" w:hanging="462"/>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For the month of November, 2018</w:t>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Commission File Number: 001-37891</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0"/>
          <w:szCs w:val="50"/>
          <w:b w:val="1"/>
          <w:bCs w:val="1"/>
          <w:color w:val="auto"/>
        </w:rPr>
        <w:t>AC IMMUNE SA</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EPFL Innovation Park</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100"/>
        <w:spacing w:after="0"/>
        <w:tabs>
          <w:tab w:leader="none" w:pos="3640" w:val="left"/>
          <w:tab w:leader="none" w:pos="53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17145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26035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360"/>
        <w:spacing w:after="0"/>
        <w:tabs>
          <w:tab w:leader="none" w:pos="5640" w:val="left"/>
          <w:tab w:leader="none" w:pos="68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17145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26035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360"/>
        <w:spacing w:after="0"/>
        <w:tabs>
          <w:tab w:leader="none" w:pos="5640" w:val="left"/>
          <w:tab w:leader="none" w:pos="68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17145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26035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377825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394970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745"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report on Form 6-K and exhibits 99.1 and 99.2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76" w:right="37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-130810</wp:posOffset>
            </wp:positionV>
            <wp:extent cx="2324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ind w:left="7760"/>
        <w:spacing w:after="0"/>
        <w:tabs>
          <w:tab w:leader="none" w:pos="83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By: /s/ Joerg Hornstein</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7780"/>
        <w:spacing w:after="0"/>
        <w:tabs>
          <w:tab w:leader="none" w:pos="8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1672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576" w:right="105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Interim Condensed Financial Statements (Unaudited) (IFRS) as of and for the Three and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-130810</wp:posOffset>
            </wp:positionV>
            <wp:extent cx="6663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color w:val="auto"/>
        </w:rPr>
        <w:t>Press Release dated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502920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300" w:top="576" w:right="1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auto"/>
        </w:rPr>
        <w:t>Interim Condensed Financial</w:t>
      </w:r>
    </w:p>
    <w:p>
      <w:pPr>
        <w:spacing w:after="0" w:line="38" w:lineRule="exact"/>
        <w:rPr>
          <w:sz w:val="20"/>
          <w:szCs w:val="20"/>
          <w:color w:val="auto"/>
        </w:rPr>
      </w:pPr>
    </w:p>
    <w:p>
      <w:pPr>
        <w:ind w:right="740"/>
        <w:spacing w:after="0" w:line="239" w:lineRule="auto"/>
        <w:rPr>
          <w:sz w:val="20"/>
          <w:szCs w:val="20"/>
          <w:color w:val="auto"/>
        </w:rPr>
      </w:pPr>
      <w:r>
        <w:rPr>
          <w:rFonts w:ascii="Times New Roman" w:cs="Times New Roman" w:eastAsia="Times New Roman" w:hAnsi="Times New Roman"/>
          <w:sz w:val="40"/>
          <w:szCs w:val="40"/>
          <w:b w:val="1"/>
          <w:bCs w:val="1"/>
          <w:color w:val="auto"/>
        </w:rPr>
        <w:t>Statements (Unaudited) (IFRS) as of and for the three and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94"/>
        </w:trPr>
        <w:tc>
          <w:tcPr>
            <w:tcW w:w="7660" w:type="dxa"/>
            <w:vAlign w:val="bottom"/>
            <w:shd w:val="clear" w:color="auto" w:fill="FEFEF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FEFEF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660" w:type="dxa"/>
            <w:vAlign w:val="bottom"/>
            <w:shd w:val="clear" w:color="auto" w:fill="FEFEF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6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 CHF thousands</w:t>
            </w: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3,527</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199,122</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205,197</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208,724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(107,452)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(72,607)</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191,976</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 long-term</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financing obligation</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6,067</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10,681</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208,724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Statements of Loss</w:t>
      </w:r>
    </w:p>
    <w:p>
      <w:pPr>
        <w:spacing w:after="0" w:line="18" w:lineRule="exact"/>
        <w:rPr>
          <w:sz w:val="20"/>
          <w:szCs w:val="20"/>
          <w:color w:val="auto"/>
        </w:rPr>
      </w:pPr>
    </w:p>
    <w:tbl>
      <w:tblPr>
        <w:tblLayout w:type="fixed"/>
        <w:tblInd w:w="53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7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760" w:type="dxa"/>
            <w:vAlign w:val="bottom"/>
          </w:tcPr>
          <w:p>
            <w:pPr>
              <w:spacing w:after="0"/>
              <w:rPr>
                <w:sz w:val="20"/>
                <w:szCs w:val="20"/>
                <w:color w:val="auto"/>
              </w:rPr>
            </w:pPr>
          </w:p>
        </w:tc>
        <w:tc>
          <w:tcPr>
            <w:tcW w:w="274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6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574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 CHF thousands except for share and per share amounts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ectPr>
          <w:pgSz w:w="11900" w:h="16838" w:orient="portrait"/>
          <w:cols w:equalWidth="0" w:num="1">
            <w:col w:w="11420"/>
          </w:cols>
          <w:pgMar w:left="240" w:top="576" w:right="2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80" w:type="dxa"/>
            <w:vAlign w:val="bottom"/>
          </w:tcPr>
          <w:p>
            <w:pPr>
              <w:spacing w:after="0"/>
              <w:rPr>
                <w:sz w:val="20"/>
                <w:szCs w:val="20"/>
                <w:color w:val="auto"/>
              </w:rPr>
            </w:pPr>
          </w:p>
        </w:tc>
      </w:tr>
      <w:tr>
        <w:trPr>
          <w:trHeight w:val="441"/>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Pr>
          <w:p>
            <w:pPr>
              <w:spacing w:after="0"/>
              <w:rPr>
                <w:sz w:val="24"/>
                <w:szCs w:val="24"/>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480" w:type="dxa"/>
            <w:vAlign w:val="bottom"/>
          </w:tcPr>
          <w:p>
            <w:pPr>
              <w:spacing w:after="0"/>
              <w:rPr>
                <w:sz w:val="18"/>
                <w:szCs w:val="18"/>
                <w:color w:val="auto"/>
              </w:rPr>
            </w:pPr>
          </w:p>
        </w:tc>
      </w:tr>
      <w:tr>
        <w:trPr>
          <w:trHeight w:val="22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480" w:type="dxa"/>
            <w:vAlign w:val="bottom"/>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80" w:type="dxa"/>
            <w:vAlign w:val="bottom"/>
          </w:tcPr>
          <w:p>
            <w:pPr>
              <w:spacing w:after="0"/>
              <w:rPr>
                <w:sz w:val="19"/>
                <w:szCs w:val="19"/>
                <w:color w:val="auto"/>
              </w:rPr>
            </w:pP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80" w:type="dxa"/>
            <w:vAlign w:val="bottom"/>
          </w:tcPr>
          <w:p>
            <w:pPr>
              <w:spacing w:after="0"/>
              <w:rPr>
                <w:sz w:val="20"/>
                <w:szCs w:val="20"/>
                <w:color w:val="auto"/>
              </w:rPr>
            </w:pPr>
          </w:p>
        </w:tc>
      </w:tr>
      <w:tr>
        <w:trPr>
          <w:trHeight w:val="44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 (expense), net</w:t>
            </w:r>
          </w:p>
        </w:tc>
        <w:tc>
          <w:tcPr>
            <w:tcW w:w="480" w:type="dxa"/>
            <w:vAlign w:val="bottom"/>
          </w:tcPr>
          <w:p>
            <w:pPr>
              <w:spacing w:after="0"/>
              <w:rPr>
                <w:sz w:val="24"/>
                <w:szCs w:val="24"/>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r>
      <w:tr>
        <w:trPr>
          <w:trHeight w:val="22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5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480" w:type="dxa"/>
            <w:vAlign w:val="bottom"/>
          </w:tcPr>
          <w:p>
            <w:pPr>
              <w:spacing w:after="0"/>
              <w:rPr>
                <w:sz w:val="24"/>
                <w:szCs w:val="24"/>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480" w:type="dxa"/>
            <w:vAlign w:val="bottom"/>
          </w:tcPr>
          <w:p>
            <w:pPr>
              <w:spacing w:after="0"/>
              <w:rPr>
                <w:sz w:val="19"/>
                <w:szCs w:val="19"/>
                <w:color w:val="auto"/>
              </w:rPr>
            </w:pP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480" w:type="dxa"/>
            <w:vAlign w:val="bottom"/>
          </w:tcPr>
          <w:p>
            <w:pPr>
              <w:spacing w:after="0"/>
              <w:rPr>
                <w:sz w:val="20"/>
                <w:szCs w:val="20"/>
                <w:color w:val="auto"/>
              </w:rPr>
            </w:pPr>
          </w:p>
        </w:tc>
      </w:tr>
      <w:tr>
        <w:trPr>
          <w:trHeight w:val="44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(EPS):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77317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317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CHF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9"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Other comprehensive loss not to be reclassified to income or loss in subsequent periods (net of tax):</w:t>
      </w:r>
    </w:p>
    <w:p>
      <w:pPr>
        <w:spacing w:after="0" w:line="1" w:lineRule="exact"/>
        <w:rPr>
          <w:sz w:val="20"/>
          <w:szCs w:val="20"/>
          <w:color w:val="auto"/>
        </w:rPr>
      </w:pPr>
    </w:p>
    <w:p>
      <w:pPr>
        <w:ind w:right="2080" w:firstLine="162"/>
        <w:spacing w:after="0" w:line="276" w:lineRule="auto"/>
        <w:rPr>
          <w:sz w:val="20"/>
          <w:szCs w:val="20"/>
          <w:color w:val="auto"/>
        </w:rPr>
      </w:pPr>
      <w:r>
        <w:rPr>
          <w:rFonts w:ascii="Times New Roman" w:cs="Times New Roman" w:eastAsia="Times New Roman" w:hAnsi="Times New Roman"/>
          <w:sz w:val="18"/>
          <w:szCs w:val="18"/>
          <w:color w:val="auto"/>
        </w:rPr>
        <w:t>Re-measurement losses on defined benefit plans Total comprehensive loss,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9"/>
                <w:szCs w:val="19"/>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2,305</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20" w:type="dxa"/>
            <w:vAlign w:val="bottom"/>
          </w:tcPr>
          <w:p>
            <w:pPr>
              <w:spacing w:after="0"/>
              <w:rPr>
                <w:sz w:val="18"/>
                <w:szCs w:val="18"/>
                <w:color w:val="auto"/>
              </w:rPr>
            </w:pPr>
          </w:p>
        </w:tc>
      </w:tr>
      <w:tr>
        <w:trPr>
          <w:trHeight w:val="637"/>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 w:type="dxa"/>
            <w:vAlign w:val="bottom"/>
          </w:tcPr>
          <w:p>
            <w:pPr>
              <w:spacing w:after="0"/>
              <w:rPr>
                <w:sz w:val="24"/>
                <w:szCs w:val="24"/>
                <w:color w:val="auto"/>
              </w:rPr>
            </w:pPr>
          </w:p>
        </w:tc>
      </w:tr>
      <w:tr>
        <w:trPr>
          <w:trHeight w:val="234"/>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Pr>
          <w:p>
            <w:pPr>
              <w:spacing w:after="0"/>
              <w:rPr>
                <w:sz w:val="20"/>
                <w:szCs w:val="20"/>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(14,476)</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(10,714)</w:t>
            </w:r>
          </w:p>
        </w:tc>
        <w:tc>
          <w:tcPr>
            <w:tcW w:w="20" w:type="dxa"/>
            <w:vAlign w:val="bottom"/>
          </w:tcPr>
          <w:p>
            <w:pPr>
              <w:spacing w:after="0"/>
              <w:rPr>
                <w:sz w:val="18"/>
                <w:szCs w:val="18"/>
                <w:color w:val="auto"/>
              </w:rPr>
            </w:pPr>
          </w:p>
        </w:tc>
      </w:tr>
      <w:tr>
        <w:trPr>
          <w:trHeight w:val="210"/>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(9,640)</w:t>
            </w:r>
          </w:p>
        </w:tc>
        <w:tc>
          <w:tcPr>
            <w:tcW w:w="20" w:type="dxa"/>
            <w:vAlign w:val="bottom"/>
          </w:tcPr>
          <w:p>
            <w:pPr>
              <w:spacing w:after="0"/>
              <w:rPr>
                <w:sz w:val="18"/>
                <w:szCs w:val="18"/>
                <w:color w:val="auto"/>
              </w:rPr>
            </w:pPr>
          </w:p>
        </w:tc>
      </w:tr>
      <w:tr>
        <w:trPr>
          <w:trHeight w:val="407"/>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bl>
    <w:p>
      <w:pPr>
        <w:ind w:left="2340" w:hanging="1392"/>
        <w:spacing w:after="0"/>
        <w:tabs>
          <w:tab w:leader="none" w:pos="2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p>
    <w:p>
      <w:pPr>
        <w:spacing w:after="0" w:line="45" w:lineRule="exact"/>
        <w:rPr>
          <w:rFonts w:ascii="Times New Roman" w:cs="Times New Roman" w:eastAsia="Times New Roman" w:hAnsi="Times New Roman"/>
          <w:sz w:val="16"/>
          <w:szCs w:val="16"/>
          <w:color w:val="auto"/>
        </w:rPr>
      </w:pPr>
    </w:p>
    <w:p>
      <w:pPr>
        <w:ind w:left="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(1,345)</w:t>
      </w:r>
      <w:r>
        <w:rPr>
          <w:rFonts w:ascii="Times New Roman" w:cs="Times New Roman" w:eastAsia="Times New Roman" w:hAnsi="Times New Roman"/>
          <w:sz w:val="17"/>
          <w:szCs w:val="17"/>
          <w:b w:val="1"/>
          <w:bCs w:val="1"/>
          <w:color w:val="auto"/>
        </w:rPr>
        <w:t>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672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1672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(13,516)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(8,793)</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(8,793)</w:t>
            </w:r>
          </w:p>
        </w:tc>
      </w:tr>
      <w:tr>
        <w:trPr>
          <w:trHeight w:val="642"/>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6725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4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672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19"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7"/>
          <w:szCs w:val="17"/>
          <w:b w:val="1"/>
          <w:bCs w:val="1"/>
          <w:color w:val="auto"/>
        </w:rPr>
        <w:t>(13,516)</w:t>
      </w:r>
      <w:r>
        <w:rPr>
          <w:sz w:val="20"/>
          <w:szCs w:val="20"/>
          <w:color w:val="auto"/>
        </w:rPr>
        <w:tab/>
      </w:r>
      <w:r>
        <w:rPr>
          <w:rFonts w:ascii="Times New Roman" w:cs="Times New Roman" w:eastAsia="Times New Roman" w:hAnsi="Times New Roman"/>
          <w:sz w:val="17"/>
          <w:szCs w:val="17"/>
          <w:b w:val="1"/>
          <w:bCs w:val="1"/>
          <w:color w:val="auto"/>
        </w:rPr>
        <w:t>(8,793)</w:t>
      </w:r>
    </w:p>
    <w:p>
      <w:pPr>
        <w:spacing w:after="0" w:line="200" w:lineRule="exact"/>
        <w:rPr>
          <w:sz w:val="20"/>
          <w:szCs w:val="20"/>
          <w:color w:val="auto"/>
        </w:rPr>
      </w:pPr>
    </w:p>
    <w:p>
      <w:pPr>
        <w:spacing w:after="0" w:line="270" w:lineRule="exact"/>
        <w:rPr>
          <w:sz w:val="20"/>
          <w:szCs w:val="20"/>
          <w:color w:val="auto"/>
        </w:rPr>
      </w:pPr>
    </w:p>
    <w:p>
      <w:pPr>
        <w:ind w:left="1180"/>
        <w:spacing w:after="0"/>
        <w:tabs>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672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7"/>
          <w:szCs w:val="17"/>
          <w:b w:val="1"/>
          <w:bCs w:val="1"/>
          <w:color w:val="auto"/>
        </w:rPr>
        <w:t>(13,516)</w:t>
      </w:r>
      <w:r>
        <w:rPr>
          <w:sz w:val="20"/>
          <w:szCs w:val="20"/>
          <w:color w:val="auto"/>
        </w:rPr>
        <w:tab/>
      </w:r>
      <w:r>
        <w:rPr>
          <w:rFonts w:ascii="Times New Roman" w:cs="Times New Roman" w:eastAsia="Times New Roman" w:hAnsi="Times New Roman"/>
          <w:sz w:val="17"/>
          <w:szCs w:val="17"/>
          <w:b w:val="1"/>
          <w:bCs w:val="1"/>
          <w:color w:val="auto"/>
        </w:rPr>
        <w:t>(8,793)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167259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7259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40"/>
        <w:spacing w:after="0"/>
        <w:tabs>
          <w:tab w:leader="none" w:pos="2180" w:val="left"/>
        </w:tabs>
        <w:rPr>
          <w:sz w:val="20"/>
          <w:szCs w:val="20"/>
          <w:color w:val="auto"/>
        </w:rPr>
      </w:pPr>
      <w:r>
        <w:rPr>
          <w:rFonts w:ascii="Times New Roman" w:cs="Times New Roman" w:eastAsia="Times New Roman" w:hAnsi="Times New Roman"/>
          <w:sz w:val="17"/>
          <w:szCs w:val="17"/>
          <w:color w:val="auto"/>
        </w:rPr>
        <w:t>5,791</w:t>
      </w:r>
      <w:r>
        <w:rPr>
          <w:sz w:val="20"/>
          <w:szCs w:val="20"/>
          <w:color w:val="auto"/>
        </w:rPr>
        <w:tab/>
      </w:r>
      <w:r>
        <w:rPr>
          <w:rFonts w:ascii="Times New Roman" w:cs="Times New Roman" w:eastAsia="Times New Roman" w:hAnsi="Times New Roman"/>
          <w:sz w:val="17"/>
          <w:szCs w:val="17"/>
          <w:color w:val="auto"/>
        </w:rPr>
        <w:t>3,834</w:t>
      </w:r>
    </w:p>
    <w:p>
      <w:pPr>
        <w:spacing w:after="0" w:line="34" w:lineRule="exact"/>
        <w:rPr>
          <w:sz w:val="20"/>
          <w:szCs w:val="20"/>
          <w:color w:val="auto"/>
        </w:rPr>
      </w:pPr>
    </w:p>
    <w:p>
      <w:pPr>
        <w:ind w:left="84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5,791</w:t>
      </w:r>
      <w:r>
        <w:rPr>
          <w:sz w:val="20"/>
          <w:szCs w:val="20"/>
          <w:color w:val="auto"/>
        </w:rPr>
        <w:tab/>
      </w:r>
      <w:r>
        <w:rPr>
          <w:rFonts w:ascii="Times New Roman" w:cs="Times New Roman" w:eastAsia="Times New Roman" w:hAnsi="Times New Roman"/>
          <w:sz w:val="17"/>
          <w:szCs w:val="17"/>
          <w:b w:val="1"/>
          <w:bCs w:val="1"/>
          <w:color w:val="auto"/>
        </w:rPr>
        <w:t>3,834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6465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16465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color w:val="auto"/>
        </w:rPr>
        <w:t>(32,150)</w:t>
      </w:r>
      <w:r>
        <w:rPr>
          <w:sz w:val="20"/>
          <w:szCs w:val="20"/>
          <w:color w:val="auto"/>
        </w:rPr>
        <w:tab/>
      </w:r>
      <w:r>
        <w:rPr>
          <w:rFonts w:ascii="Times New Roman" w:cs="Times New Roman" w:eastAsia="Times New Roman" w:hAnsi="Times New Roman"/>
          <w:sz w:val="18"/>
          <w:szCs w:val="18"/>
          <w:color w:val="auto"/>
        </w:rPr>
        <w:t>(22,508)</w:t>
      </w:r>
    </w:p>
    <w:p>
      <w:pPr>
        <w:spacing w:after="0" w:line="27" w:lineRule="exact"/>
        <w:rPr>
          <w:sz w:val="20"/>
          <w:szCs w:val="20"/>
          <w:color w:val="auto"/>
        </w:rPr>
      </w:pPr>
    </w:p>
    <w:p>
      <w:pPr>
        <w:ind w:left="720"/>
        <w:spacing w:after="0"/>
        <w:tabs>
          <w:tab w:leader="none" w:pos="2060" w:val="left"/>
        </w:tabs>
        <w:rPr>
          <w:sz w:val="20"/>
          <w:szCs w:val="20"/>
          <w:color w:val="auto"/>
        </w:rPr>
      </w:pPr>
      <w:r>
        <w:rPr>
          <w:rFonts w:ascii="Times New Roman" w:cs="Times New Roman" w:eastAsia="Times New Roman" w:hAnsi="Times New Roman"/>
          <w:sz w:val="17"/>
          <w:szCs w:val="17"/>
          <w:color w:val="auto"/>
        </w:rPr>
        <w:t>(8,703)</w:t>
      </w:r>
      <w:r>
        <w:rPr>
          <w:sz w:val="20"/>
          <w:szCs w:val="20"/>
          <w:color w:val="auto"/>
        </w:rPr>
        <w:tab/>
      </w:r>
      <w:r>
        <w:rPr>
          <w:rFonts w:ascii="Times New Roman" w:cs="Times New Roman" w:eastAsia="Times New Roman" w:hAnsi="Times New Roman"/>
          <w:sz w:val="17"/>
          <w:szCs w:val="17"/>
          <w:color w:val="auto"/>
        </w:rPr>
        <w:t>(7,053)</w:t>
      </w:r>
    </w:p>
    <w:p>
      <w:pPr>
        <w:spacing w:after="0" w:line="34"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(40,853)</w:t>
      </w:r>
      <w:r>
        <w:rPr>
          <w:sz w:val="20"/>
          <w:szCs w:val="20"/>
          <w:color w:val="auto"/>
        </w:rPr>
        <w:tab/>
      </w:r>
      <w:r>
        <w:rPr>
          <w:rFonts w:ascii="Times New Roman" w:cs="Times New Roman" w:eastAsia="Times New Roman" w:hAnsi="Times New Roman"/>
          <w:sz w:val="18"/>
          <w:szCs w:val="18"/>
          <w:b w:val="1"/>
          <w:bCs w:val="1"/>
          <w:color w:val="auto"/>
        </w:rPr>
        <w:t>(29,561)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16465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(35,062)</w:t>
      </w:r>
      <w:r>
        <w:rPr>
          <w:sz w:val="20"/>
          <w:szCs w:val="20"/>
          <w:color w:val="auto"/>
        </w:rPr>
        <w:tab/>
      </w:r>
      <w:r>
        <w:rPr>
          <w:rFonts w:ascii="Times New Roman" w:cs="Times New Roman" w:eastAsia="Times New Roman" w:hAnsi="Times New Roman"/>
          <w:sz w:val="18"/>
          <w:szCs w:val="18"/>
          <w:b w:val="1"/>
          <w:bCs w:val="1"/>
          <w:color w:val="auto"/>
        </w:rPr>
        <w:t>(25,727)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6465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16465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14" w:lineRule="exact"/>
        <w:rPr>
          <w:sz w:val="20"/>
          <w:szCs w:val="20"/>
          <w:color w:val="auto"/>
        </w:rPr>
      </w:pPr>
    </w:p>
    <w:p>
      <w:pPr>
        <w:ind w:left="720"/>
        <w:spacing w:after="0"/>
        <w:tabs>
          <w:tab w:leader="none" w:pos="2060" w:val="left"/>
        </w:tabs>
        <w:rPr>
          <w:sz w:val="20"/>
          <w:szCs w:val="20"/>
          <w:color w:val="auto"/>
        </w:rPr>
      </w:pPr>
      <w:r>
        <w:rPr>
          <w:rFonts w:ascii="Times New Roman" w:cs="Times New Roman" w:eastAsia="Times New Roman" w:hAnsi="Times New Roman"/>
          <w:sz w:val="17"/>
          <w:szCs w:val="17"/>
          <w:color w:val="auto"/>
        </w:rPr>
        <w:t>(1,149)</w:t>
      </w:r>
      <w:r>
        <w:rPr>
          <w:sz w:val="20"/>
          <w:szCs w:val="20"/>
          <w:color w:val="auto"/>
        </w:rPr>
        <w:tab/>
      </w:r>
      <w:r>
        <w:rPr>
          <w:rFonts w:ascii="Times New Roman" w:cs="Times New Roman" w:eastAsia="Times New Roman" w:hAnsi="Times New Roman"/>
          <w:sz w:val="17"/>
          <w:szCs w:val="17"/>
          <w:color w:val="auto"/>
        </w:rPr>
        <w:t>(4,762)</w:t>
      </w:r>
    </w:p>
    <w:p>
      <w:pPr>
        <w:spacing w:after="0" w:line="39" w:lineRule="exact"/>
        <w:rPr>
          <w:sz w:val="20"/>
          <w:szCs w:val="20"/>
          <w:color w:val="auto"/>
        </w:rPr>
      </w:pPr>
    </w:p>
    <w:p>
      <w:pPr>
        <w:ind w:left="2540" w:hanging="1380"/>
        <w:spacing w:after="0"/>
        <w:tabs>
          <w:tab w:leader="none" w:pos="2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300" w:hanging="1350"/>
        <w:spacing w:after="0"/>
        <w:tabs>
          <w:tab w:leader="none" w:pos="2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w:t>
      </w:r>
    </w:p>
    <w:p>
      <w:pPr>
        <w:spacing w:after="0" w:line="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(1,212)</w:t>
      </w:r>
      <w:r>
        <w:rPr>
          <w:rFonts w:ascii="Times New Roman" w:cs="Times New Roman" w:eastAsia="Times New Roman" w:hAnsi="Times New Roman"/>
          <w:sz w:val="17"/>
          <w:szCs w:val="17"/>
          <w:b w:val="1"/>
          <w:bCs w:val="1"/>
          <w:color w:val="auto"/>
        </w:rPr>
        <w:t>(4,848)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6465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1646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(36,274)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(30,575)</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(36,274)</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(30,575)</w:t>
            </w:r>
          </w:p>
        </w:tc>
        <w:tc>
          <w:tcPr>
            <w:tcW w:w="20" w:type="dxa"/>
            <w:vAlign w:val="bottom"/>
            <w:tcBorders>
              <w:bottom w:val="single" w:sz="8" w:color="auto"/>
            </w:tcBorders>
          </w:tcPr>
          <w:p>
            <w:pPr>
              <w:spacing w:after="0"/>
              <w:rPr>
                <w:sz w:val="18"/>
                <w:szCs w:val="18"/>
                <w:color w:val="auto"/>
              </w:rPr>
            </w:pPr>
          </w:p>
        </w:tc>
      </w:tr>
      <w:tr>
        <w:trPr>
          <w:trHeight w:val="642"/>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bl>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Nine Months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646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4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646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19"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(36,274)</w:t>
      </w:r>
      <w:r>
        <w:rPr>
          <w:sz w:val="20"/>
          <w:szCs w:val="20"/>
          <w:color w:val="auto"/>
        </w:rPr>
        <w:tab/>
      </w:r>
      <w:r>
        <w:rPr>
          <w:rFonts w:ascii="Times New Roman" w:cs="Times New Roman" w:eastAsia="Times New Roman" w:hAnsi="Times New Roman"/>
          <w:sz w:val="18"/>
          <w:szCs w:val="18"/>
          <w:b w:val="1"/>
          <w:bCs w:val="1"/>
          <w:color w:val="auto"/>
        </w:rPr>
        <w:t>(30,575)</w:t>
      </w:r>
    </w:p>
    <w:p>
      <w:pPr>
        <w:spacing w:after="0" w:line="200" w:lineRule="exact"/>
        <w:rPr>
          <w:sz w:val="20"/>
          <w:szCs w:val="20"/>
          <w:color w:val="auto"/>
        </w:rPr>
      </w:pPr>
    </w:p>
    <w:p>
      <w:pPr>
        <w:spacing w:after="0" w:line="259" w:lineRule="exact"/>
        <w:rPr>
          <w:sz w:val="20"/>
          <w:szCs w:val="20"/>
          <w:color w:val="auto"/>
        </w:rPr>
      </w:pPr>
    </w:p>
    <w:p>
      <w:pPr>
        <w:ind w:left="1180"/>
        <w:spacing w:after="0"/>
        <w:tabs>
          <w:tab w:leader="none" w:pos="2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646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(36,274)</w:t>
      </w:r>
      <w:r>
        <w:rPr>
          <w:sz w:val="20"/>
          <w:szCs w:val="20"/>
          <w:color w:val="auto"/>
        </w:rPr>
        <w:tab/>
      </w:r>
      <w:r>
        <w:rPr>
          <w:rFonts w:ascii="Times New Roman" w:cs="Times New Roman" w:eastAsia="Times New Roman" w:hAnsi="Times New Roman"/>
          <w:sz w:val="18"/>
          <w:szCs w:val="18"/>
          <w:b w:val="1"/>
          <w:bCs w:val="1"/>
          <w:color w:val="auto"/>
        </w:rPr>
        <w:t>(30,575)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64655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6555" cy="2603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5720" w:space="360"/>
            <w:col w:w="2620" w:space="120"/>
            <w:col w:w="2600"/>
          </w:cols>
          <w:pgMar w:left="240" w:top="576" w:right="239" w:bottom="1440" w:gutter="0" w:footer="0" w:header="0"/>
          <w:type w:val="continuous"/>
        </w:sectPr>
      </w:pPr>
    </w:p>
    <w:p>
      <w:pPr>
        <w:spacing w:after="0" w:line="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accompanying notes form an integral part of these Interim Condensed Financial Statements (Unaudited).</w:t>
      </w: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Changes in Equity</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920" w:type="dxa"/>
            <w:vAlign w:val="bottom"/>
            <w:shd w:val="clear" w:color="auto" w:fill="FEFEF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tcBorders>
              <w:bottom w:val="single" w:sz="8" w:color="FEFEFE"/>
            </w:tcBorders>
            <w:vMerge w:val="restart"/>
            <w:shd w:val="clear" w:color="auto" w:fill="FEFEFE"/>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24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4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3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vMerge w:val="continue"/>
            <w:shd w:val="clear" w:color="auto" w:fill="FEFEF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188,166</w:t>
            </w:r>
          </w:p>
        </w:tc>
        <w:tc>
          <w:tcPr>
            <w:tcW w:w="120" w:type="dxa"/>
            <w:vAlign w:val="bottom"/>
          </w:tcPr>
          <w:p>
            <w:pPr>
              <w:spacing w:after="0"/>
              <w:rPr>
                <w:sz w:val="18"/>
                <w:szCs w:val="18"/>
                <w:color w:val="auto"/>
              </w:rPr>
            </w:pP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(46,921)</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2017</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for the period</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(30,575)</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(30,575)</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(30,575)</w:t>
            </w: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(30,575)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 awards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2017</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188,215</w:t>
            </w:r>
          </w:p>
        </w:tc>
        <w:tc>
          <w:tcPr>
            <w:tcW w:w="1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(76,686)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112,672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20" w:type="dxa"/>
            <w:vAlign w:val="bottom"/>
            <w:shd w:val="clear" w:color="auto" w:fill="FEFEF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FEFEF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 capital</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premium</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2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49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 CHF thousands</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2018</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188,299</w:t>
            </w:r>
          </w:p>
        </w:tc>
        <w:tc>
          <w:tcPr>
            <w:tcW w:w="1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(72,607)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116,839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for the period</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(36,274)</w:t>
            </w:r>
          </w:p>
        </w:tc>
        <w:tc>
          <w:tcPr>
            <w:tcW w:w="12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(36,274)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(36,274)</w:t>
            </w: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(36,274)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public offerings, net of underwriting fees</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111,329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111,529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offering costs</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 awards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2018</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298,077</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(107,452)</w:t>
            </w:r>
          </w:p>
        </w:tc>
        <w:tc>
          <w:tcPr>
            <w:tcW w:w="1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191,976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4"/>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194"/>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7440" w:type="dxa"/>
            <w:vAlign w:val="bottom"/>
            <w:tcBorders>
              <w:top w:val="single" w:sz="8" w:color="FEFEFE"/>
            </w:tcBorders>
            <w:vMerge w:val="restart"/>
            <w:shd w:val="clear" w:color="auto" w:fill="FEFEFE"/>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12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FEFEFE"/>
            </w:tcBorders>
            <w:vMerge w:val="continue"/>
            <w:shd w:val="clear" w:color="auto" w:fill="FEFEF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(36,274)</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(30,575)</w:t>
            </w:r>
          </w:p>
        </w:tc>
        <w:tc>
          <w:tcPr>
            <w:tcW w:w="0" w:type="dxa"/>
            <w:vAlign w:val="bottom"/>
          </w:tcPr>
          <w:p>
            <w:pPr>
              <w:spacing w:after="0"/>
              <w:rPr>
                <w:sz w:val="1"/>
                <w:szCs w:val="1"/>
                <w:color w:val="auto"/>
              </w:rPr>
            </w:pPr>
          </w:p>
        </w:tc>
      </w:tr>
      <w:tr>
        <w:trPr>
          <w:trHeight w:val="22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for the period to net cash flows: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Finance result, net</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net employee defined benefit liability</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long-term debt</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prepaid expenses</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accrued income</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Decrease / (increase) in other current receivables</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deferred income</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trade and other payables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long-term financing obligation</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4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(32,224)</w:t>
            </w:r>
          </w:p>
        </w:tc>
        <w:tc>
          <w:tcPr>
            <w:tcW w:w="100" w:type="dxa"/>
            <w:vAlign w:val="bottom"/>
          </w:tcPr>
          <w:p>
            <w:pPr>
              <w:spacing w:after="0"/>
              <w:rPr>
                <w:sz w:val="16"/>
                <w:szCs w:val="16"/>
                <w:color w:val="auto"/>
              </w:rPr>
            </w:pPr>
          </w:p>
        </w:tc>
        <w:tc>
          <w:tcPr>
            <w:tcW w:w="1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(28,445)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public offerings of common shares, net of underwriting fees</w:t>
            </w:r>
          </w:p>
        </w:tc>
        <w:tc>
          <w:tcPr>
            <w:tcW w:w="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111,529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public offerings of common shares</w:t>
            </w:r>
          </w:p>
        </w:tc>
        <w:tc>
          <w:tcPr>
            <w:tcW w:w="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shares – option plan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issuance of common shares – option plan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restricted shares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financing</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109,877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75,846</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124,377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Exchange loss on cash and cash equivalents</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September 30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199,122</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75,846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 Cash transactions: The Company incurred CHF 0.2 million in non-cash transaction costs recorded within trade and other payables and accrued expenses. An increase to long-term financing obligation totaling CHF 49 thousand was recognized with a corresponding increase to finance receivable. The acquisition of less than CHF 0.1 million of property, plant and equipment purchases was non-cash and recorded within trade and other payables and accrued expenses. Furthermore, the Company wrote off fixed assets with a net book value of nil.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and were fully recruited in the fourth quarter of 2017 and third quarter of 2018, respectively. We use our two unique proprietary platform technologies, SupraAntigen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(conformation-specific biologics) and Morphomer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(conformation-specific small molecules), to discover, design and develop medicines and diagnostics to target misfolded proteins.</w:t>
      </w:r>
    </w:p>
    <w:p>
      <w:pPr>
        <w:spacing w:after="0" w:line="21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Interim Condensed Financial Statements of AC Immune SA as of and for the three and nine months ended September 30, 2018 were authorized for issuance by the Company’s Audit and Finance Committee on November 2, 2018.</w:t>
      </w:r>
    </w:p>
    <w:p>
      <w:pPr>
        <w:spacing w:after="0" w:line="158" w:lineRule="exact"/>
        <w:rPr>
          <w:sz w:val="20"/>
          <w:szCs w:val="20"/>
          <w:color w:val="auto"/>
        </w:rPr>
      </w:pPr>
    </w:p>
    <w:p>
      <w:pPr>
        <w:ind w:right="5640" w:firstLine="8"/>
        <w:spacing w:after="0" w:line="503" w:lineRule="auto"/>
        <w:tabs>
          <w:tab w:leader="none" w:pos="3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These Interim Condensed Financial Statements as of and for the three and nine months ended September 30, 2018 have been prepared in accordance with International Accounting Standard 34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and such financial information should be read in conjunction with the audited financial statements in the Company’s Annual Report on Form 20-F for the year ended December 31, 2017, and any public announcements made by the Company during the interim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are comprised of receivables, cash and cash equivalents, trade and other payables and a long-term financing obligation. The carrying amount for these financial assets and liabilities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without though deeming any adjustments necessary in the transition to the new standard.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contracts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contract revenue, see Note 3,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from contracts with customers, (ii) clinical development accruals, (iii) net employee defined benefit liability, (iv) income taxes, and (v) share-based compensation. Actual results may differ from these estimates. Estimates and underlying assumptions are reviewed on an ongoing basis. Revisions to accounting estimates are recognized in the period in which the estimates are revised.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Consistent with prior years, the Company has not recognized any deferred tax assets relating to tax losses available as the recognition criteria have not been met at the balance sheet date.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tax expense for the three and nine months ended September 30, 2018 is zero. The estimated tax expense is based on the best estimate of the weighted average annual income tax rate expected for the full financial year to December 31, 2018. As we expect to incur a loss for the full year, we do not anticipate any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financial statements are consistent with those followed in the preparation of the Company’s annual financial statements for the year ended December 31, 2017, except for the adoption of new standards and interpretations effective as of January 1, 2018. The Company has not adopted any other standard, interpretation or amendment that has been issued but is not yet effective.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pronouncements from the IASB will become effective for future financial reporting periods and have not yet been adopted by AC Immune.</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provides a new model for lessee accounting in which all leases, other than short-term and small-ticket-item leases, will be accounted for by the recognition on the balance sheet of a right-to-use asset and a lease liability, and the subsequent amortization of the right-to-use asset over the lease term. IFRS 16 will be effective for annual periods beginning on or after January 1, 2019 with early adoption permitted. AC Immune is currently assessing the impact of this standard on its financial statements and intends to adopt this standard as of the effective date using the Modified Retrospective approach.</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no other standards that are not yet effective and that would be expected to have a material impact on the entity in the current or future reporting periods and on foreseeable future transactions.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recently adopted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IFRS 15 Revenue from Contracts with Customers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International Accounting Standards Board (IASB) issued IFRS 15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amends the guidance for accounting for revenues from contracts with customers. This IFRS replaces all current revenue standards in IFRS including IAS 11 – </w:t>
      </w:r>
      <w:r>
        <w:rPr>
          <w:rFonts w:ascii="Times New Roman" w:cs="Times New Roman" w:eastAsia="Times New Roman" w:hAnsi="Times New Roman"/>
          <w:sz w:val="18"/>
          <w:szCs w:val="18"/>
          <w:i w:val="1"/>
          <w:iCs w:val="1"/>
          <w:color w:val="auto"/>
        </w:rPr>
        <w:t>Construction Contracts</w:t>
      </w:r>
      <w:r>
        <w:rPr>
          <w:rFonts w:ascii="Times New Roman" w:cs="Times New Roman" w:eastAsia="Times New Roman" w:hAnsi="Times New Roman"/>
          <w:sz w:val="18"/>
          <w:szCs w:val="18"/>
          <w:color w:val="auto"/>
        </w:rPr>
        <w:t>, IAS 18 –</w:t>
      </w:r>
      <w:r>
        <w:rPr>
          <w:rFonts w:ascii="Times New Roman" w:cs="Times New Roman" w:eastAsia="Times New Roman" w:hAnsi="Times New Roman"/>
          <w:sz w:val="18"/>
          <w:szCs w:val="18"/>
          <w:i w:val="1"/>
          <w:iCs w:val="1"/>
          <w:color w:val="auto"/>
        </w:rPr>
        <w:t xml:space="preserve"> Revenue </w:t>
      </w:r>
      <w:r>
        <w:rPr>
          <w:rFonts w:ascii="Times New Roman" w:cs="Times New Roman" w:eastAsia="Times New Roman" w:hAnsi="Times New Roman"/>
          <w:sz w:val="18"/>
          <w:szCs w:val="18"/>
          <w:color w:val="auto"/>
        </w:rPr>
        <w:t>and various interpretations. The Company adopted this new standard on January 1, 2018, and would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the cumulative effect of initially applying the new revenue standard as an adjustment to the opening balance of accumulated losses; however, the Company did not deem any adjustments required in the transition to the new standard. The comparative information has not been restated and continues to be reported under the accounting standards in effect for those periods. We expect the impact of the adoption of the new standard to be immaterial to our net loss on an ongoing basis.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IFRS 9 Financial Instruments</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supersedes IAS 39 </w:t>
      </w:r>
      <w:r>
        <w:rPr>
          <w:rFonts w:ascii="Times New Roman" w:cs="Times New Roman" w:eastAsia="Times New Roman" w:hAnsi="Times New Roman"/>
          <w:sz w:val="18"/>
          <w:szCs w:val="18"/>
          <w:i w:val="1"/>
          <w:iCs w:val="1"/>
          <w:color w:val="auto"/>
        </w:rPr>
        <w:t>Financial Instruments: Recognition and Measurement</w:t>
      </w:r>
      <w:r>
        <w:rPr>
          <w:rFonts w:ascii="Times New Roman" w:cs="Times New Roman" w:eastAsia="Times New Roman" w:hAnsi="Times New Roman"/>
          <w:sz w:val="18"/>
          <w:szCs w:val="18"/>
          <w:color w:val="auto"/>
        </w:rPr>
        <w:t xml:space="preserve"> and was adopted by the Company on January 1, 2018. IFRS 9 covers classification and measurement of financial assets and financial liabilities, impairment of financial assets and hedge accounting. The Company noted no impact to its financial statements upon adoption of this standard.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it will be able to meet all of its obligations as they fall due for at least 12 months from September 30, 2018; hence, the unaudited interim condensed financial statements have been prepared on a going concern basis.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revenues from collaboration agreements, share issuances, the proceeds of its initial public offering and proceeds from three offerings of its common shares in July 2018. AC Immune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 Immune generated revenues of CHF 2.3 million and CHF 5.8 million in the three and nine months ended September 30, 2018 an increase of CHF 1.2 million and CHF 2.0 million over the comparable periods in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2200" w:type="dxa"/>
            <w:vAlign w:val="bottom"/>
            <w:tcBorders>
              <w:bottom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178"/>
        </w:trPr>
        <w:tc>
          <w:tcPr>
            <w:tcW w:w="6080" w:type="dxa"/>
            <w:vAlign w:val="bottom"/>
            <w:vMerge w:val="continue"/>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2,305</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2,305</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1,074</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IFRS 15, under which it licenses certain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2" w:name="page13"/>
    <w:bookmarkEnd w:id="12"/>
    <w:p>
      <w:pPr>
        <w:jc w:val="both"/>
        <w:spacing w:after="0" w:line="289" w:lineRule="auto"/>
        <w:rPr>
          <w:sz w:val="20"/>
          <w:szCs w:val="20"/>
          <w:color w:val="auto"/>
        </w:rPr>
      </w:pPr>
      <w:r>
        <w:rPr>
          <w:rFonts w:ascii="Times New Roman" w:cs="Times New Roman" w:eastAsia="Times New Roman" w:hAnsi="Times New Roman"/>
          <w:sz w:val="17"/>
          <w:szCs w:val="17"/>
          <w:color w:val="auto"/>
        </w:rPr>
        <w:t>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loss, except for revenues from royalties on net sales of products commercialized from the Company’s IP, which are classified as royalty revenues.</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and/or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The Company has certain arrangements with our collaboration partners that include contracting our full-time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Sublicense revenues: </w:t>
      </w:r>
      <w:r>
        <w:rPr>
          <w:rFonts w:ascii="Times New Roman" w:cs="Times New Roman" w:eastAsia="Times New Roman" w:hAnsi="Times New Roman"/>
          <w:sz w:val="18"/>
          <w:szCs w:val="18"/>
          <w:color w:val="auto"/>
        </w:rPr>
        <w:t>The Company has certain arrangements with our collaboration partners that include provisions for sublicensing.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any sublicense revenues at the point in time it is highly probable to obtain and not subject to reversal in the future.</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The Company receives payments from and determines credit terms for its customers for its various performance obligations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assets and liabilities during the nine months ended September 30, 2018 and 2017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CHF thousands):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2660" w:type="dxa"/>
            <w:vAlign w:val="bottom"/>
            <w:tcBorders>
              <w:top w:val="single" w:sz="8" w:color="auto"/>
              <w:left w:val="single" w:sz="8" w:color="auto"/>
              <w:right w:val="single" w:sz="8" w:color="auto"/>
            </w:tcBorders>
          </w:tcPr>
          <w:p>
            <w:pPr>
              <w:spacing w:after="0"/>
              <w:rPr>
                <w:sz w:val="23"/>
                <w:szCs w:val="23"/>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at the</w:t>
            </w:r>
          </w:p>
        </w:tc>
        <w:tc>
          <w:tcPr>
            <w:tcW w:w="2280" w:type="dxa"/>
            <w:vAlign w:val="bottom"/>
            <w:tcBorders>
              <w:top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280" w:type="dxa"/>
            <w:vAlign w:val="bottom"/>
            <w:tcBorders>
              <w:top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6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 at the end of the</w:t>
            </w: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beginning of the</w:t>
            </w: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reporting period</w:t>
            </w:r>
          </w:p>
        </w:tc>
      </w:tr>
      <w:tr>
        <w:trPr>
          <w:trHeight w:val="238"/>
        </w:trPr>
        <w:tc>
          <w:tcPr>
            <w:tcW w:w="266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55"/>
        </w:trPr>
        <w:tc>
          <w:tcPr>
            <w:tcW w:w="2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940" w:type="dxa"/>
            <w:vAlign w:val="bottom"/>
            <w:tcBorders>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r>
      <w:tr>
        <w:trPr>
          <w:trHeight w:val="238"/>
        </w:trPr>
        <w:tc>
          <w:tcPr>
            <w:tcW w:w="2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19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77"/>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77"/>
        </w:trPr>
        <w:tc>
          <w:tcPr>
            <w:tcW w:w="2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345"/>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5"/>
        </w:trPr>
        <w:tc>
          <w:tcPr>
            <w:tcW w:w="2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940" w:type="dxa"/>
            <w:vAlign w:val="bottom"/>
            <w:tcBorders>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r>
      <w:tr>
        <w:trPr>
          <w:trHeight w:val="238"/>
        </w:trPr>
        <w:tc>
          <w:tcPr>
            <w:tcW w:w="2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19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77"/>
        </w:trPr>
        <w:tc>
          <w:tcPr>
            <w:tcW w:w="26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77"/>
        </w:trPr>
        <w:tc>
          <w:tcPr>
            <w:tcW w:w="26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2018 and 2017, the Company recognized the following revenues as a result of changes in the contract asset and the contract liability balances in the respective periods (in CHF thousands):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720" w:type="dxa"/>
            <w:vAlign w:val="bottom"/>
            <w:tcBorders>
              <w:top w:val="single" w:sz="8" w:color="auto"/>
              <w:left w:val="single" w:sz="8" w:color="auto"/>
              <w:right w:val="single" w:sz="8" w:color="auto"/>
            </w:tcBorders>
          </w:tcPr>
          <w:p>
            <w:pPr>
              <w:spacing w:after="0"/>
              <w:rPr>
                <w:sz w:val="24"/>
                <w:szCs w:val="24"/>
                <w:color w:val="auto"/>
              </w:rPr>
            </w:pPr>
          </w:p>
        </w:tc>
        <w:tc>
          <w:tcPr>
            <w:tcW w:w="5700" w:type="dxa"/>
            <w:vAlign w:val="bottom"/>
            <w:tcBorders>
              <w:top w:val="single" w:sz="8" w:color="auto"/>
              <w:right w:val="single" w:sz="8" w:color="auto"/>
            </w:tcBorders>
            <w:gridSpan w:val="2"/>
          </w:tcPr>
          <w:p>
            <w:pPr>
              <w:jc w:val="right"/>
              <w:ind w:right="19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77"/>
        </w:trPr>
        <w:tc>
          <w:tcPr>
            <w:tcW w:w="5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86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28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 2017</w:t>
            </w: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59"/>
        </w:trPr>
        <w:tc>
          <w:tcPr>
            <w:tcW w:w="5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Amounts included in the contract liability at the</w:t>
            </w:r>
          </w:p>
        </w:tc>
        <w:tc>
          <w:tcPr>
            <w:tcW w:w="28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2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4"/>
        </w:trPr>
        <w:tc>
          <w:tcPr>
            <w:tcW w:w="5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beginning of the period</w:t>
            </w:r>
          </w:p>
        </w:tc>
        <w:tc>
          <w:tcPr>
            <w:tcW w:w="28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77"/>
        </w:trPr>
        <w:tc>
          <w:tcPr>
            <w:tcW w:w="57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28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720" w:type="dxa"/>
            <w:vAlign w:val="bottom"/>
            <w:tcBorders>
              <w:top w:val="single" w:sz="8" w:color="auto"/>
              <w:left w:val="single" w:sz="8" w:color="auto"/>
              <w:right w:val="single" w:sz="8" w:color="auto"/>
            </w:tcBorders>
          </w:tcPr>
          <w:p>
            <w:pPr>
              <w:spacing w:after="0"/>
              <w:rPr>
                <w:sz w:val="24"/>
                <w:szCs w:val="24"/>
                <w:color w:val="auto"/>
              </w:rPr>
            </w:pPr>
          </w:p>
        </w:tc>
        <w:tc>
          <w:tcPr>
            <w:tcW w:w="5700" w:type="dxa"/>
            <w:vAlign w:val="bottom"/>
            <w:tcBorders>
              <w:top w:val="single" w:sz="8" w:color="auto"/>
              <w:right w:val="single" w:sz="8" w:color="auto"/>
            </w:tcBorders>
            <w:gridSpan w:val="2"/>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77"/>
        </w:trPr>
        <w:tc>
          <w:tcPr>
            <w:tcW w:w="5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286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28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 2017</w:t>
            </w: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59"/>
        </w:trPr>
        <w:tc>
          <w:tcPr>
            <w:tcW w:w="5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Amounts included in the contract liability at the</w:t>
            </w:r>
          </w:p>
        </w:tc>
        <w:tc>
          <w:tcPr>
            <w:tcW w:w="28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2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34"/>
        </w:trPr>
        <w:tc>
          <w:tcPr>
            <w:tcW w:w="5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beginning of the period</w:t>
            </w:r>
          </w:p>
        </w:tc>
        <w:tc>
          <w:tcPr>
            <w:tcW w:w="28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77"/>
        </w:trPr>
        <w:tc>
          <w:tcPr>
            <w:tcW w:w="57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28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5720" w:type="dxa"/>
            <w:vAlign w:val="bottom"/>
            <w:tcBorders>
              <w:left w:val="single" w:sz="8" w:color="auto"/>
              <w:bottom w:val="single" w:sz="8" w:color="auto"/>
              <w:right w:val="single" w:sz="8" w:color="auto"/>
            </w:tcBorders>
          </w:tcPr>
          <w:p>
            <w:pPr>
              <w:spacing w:after="0"/>
              <w:rPr>
                <w:sz w:val="5"/>
                <w:szCs w:val="5"/>
                <w:color w:val="auto"/>
              </w:rPr>
            </w:pPr>
          </w:p>
        </w:tc>
        <w:tc>
          <w:tcPr>
            <w:tcW w:w="286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Anti-Abeta antibody in AD – 2006 agreement with Genentech</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November 2006, AC Immune signed an exclusive, worldwide licensing agreement for crenezumab, our humanized monoclonal antibody targeting misfolded Abeta. The value of this partnership is potentially greater than USD 340 (CHF 336) million.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Genentech commenced a first Phase 3 clinical study in the first quarter of fiscal 2016 for crenezumab. In February 2017, Genentech started a second Phase 3 clinical trial. If crenezumab receives regulatory approval, we will be entitled to receive royalties that are tied to annual sales volumes with different royalty rates applicable in the U.S. and Europe. To date, we have received total milestone payments of USD 65 (CHF 70.1) million comprised of a USD 25 (CHF 31.6) million up-front payment and USD 40 (CHF 38.2) million for clinical development milestones all achieved prior to January 1, 2017. Genentech may terminate the agreement at any time by providing three months’ notice to us. In such event all costs incurred are still refundable.</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Genentech is a customer. The Company identified the following performance obligations under the contract: (i) a right-to-use license and (ii) services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272)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nine months ended September 30, 2018 and 2017, respectively, we have recognized no revenues from this arrangement.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Anti-Tau antibody in AD – 2012 agreement with Genentech</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2012, we entered into a second agreement with Genentech to commercialize our anti-Tau antibodies for use as immunotherapeutics.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two additional indications built on the same anti-Tau antibody program as well as potential anti-Tau diagnostic products.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we have received payments totaling CHF 59 million, including a CHF 14 million milestone payment recognized and payment received in the fourth quarter of 2017 associated with the first patient dosing in a Phase 2 clinical trial for Alzheimer’s disease with an anti-Tau monoclonal body known as RO7105705,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 As we met all performance obligations on reaching these milestones, we have recognized revenue in the respective periods.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Genentech is a customer. The Company identified the following performance obligations under the contract: (i) a right-to-use license and (ii) services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more than CHF 344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nine months ended September 30, 2018 and 2017, respectively, we have recognized no revenues from this arrangement.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i w:val="1"/>
          <w:iCs w:val="1"/>
          <w:color w:val="auto"/>
        </w:rPr>
        <w:t>Tau Vaccine in AD – 2014 agreement with Janssen Pharmaceuticals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one of the Janssen Pharmaceutical Companies of Johnson and Johnson, to develop and commercialize therapeutic anti-Tau vaccines for the treatment of AD and potentially other Tauopathies. The value of this partnership is potentially up to CHF 500 million and includes upfront and clinical, regulatory and commercial milestones.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 In July 2017, AC Immune and Janssen entered into a Second Amendment to the December 2014 License, Development and Commercialization Agreement. The Amendment allows for the alignment of certain payment provisions with the new Development Plan and Research Plan activities. AC Immune and Janssen will jointly share R&amp;D costs until the completion of Phase 2. Under the terms of the agreement, Janssen may terminate the agreement at any time after completion of the Phase 1b clinical study by providing 90 days’ notice to us.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agreement also allows for the expansion to a second indication based on the same anti-Tau vaccine program and intellectual property related to this program.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received a CHF 25.9 million up-front, non-refundable license fee which we recognized as revenue in 2014. In May 2016, we received a CHF 4.9 million payment for reaching a clinical milestone in the phase 1b study. As we met all performance obligations on reaching the milestone, we have recognized this income as revenue.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Janssen is a customer. The Company identified the following performance obligations under the contract: (i) a right-to-use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the arrangement, which were deemed to be distinct in the context of the contract.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phase 1b study in May 2016. The Company could also receive up to more than CHF 458 million in clinical, regulatory and commercial milestones as well as tiered, high-single digit to mid-double digit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2018 and 2017, we have recognized CHF 1.1 million and CHF 0.2 million, respectively for research and development services provided incremental to the amounts shared in the cost split. For the nine months ended September 30, 2018 and 2017, we have recognized CHF 1.8 million and CHF 0.2 million, respectively for research and development services provided incremental to the amounts shared in the cost split.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i w:val="1"/>
          <w:iCs w:val="1"/>
          <w:color w:val="auto"/>
        </w:rPr>
        <w:t>Tau-PET imaging agent in AD –2014 agreement with Life Molecular Imaging SA (formerly Piramal Imaging SA)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2014, AC Immune SA entered into an agreement, our first diagnostic partnership with Life Molecular Imaging SA (“Life Molecular”), the former Piramal Imaging SA. The partnership with Life Molecular is an exclusive, worldwide licensing agreement for the research, development and commercialization of the Company’s Tau protein positron emission tomography (PET) tracers supporting the diagnosis and clinical management of AD and potential Tau-related disorders and includes upfront and sales milestone payments totaling up to EUR 157 (CHF 181) million, plus royalties on sales at a percentage rate ranging from mid-single digits to low double digits.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this agreement, AC Immune received a EUR 500 (CHF 664) thousand payment which was fully recognized in 2015. In March 2017, we invoiced Life Molecular for a EUR 1.0 (CHF 1.1) million milestone related to the initiation of “Part B” of the first-in-man Phase 1 clinical trial for PSP (Progressive Supranuclear Palsy). As we met all performance obligations on reaching the milestone, we have recognized this milestone as revenue in the first quarter of fiscal 2017. The Company is eligible to receive variable consideration related to the achievement of certain clinical milestones totaling EUR 6 (CHF 6.9) million should the compound make it through to Phase 3 clinical studies. We are also eligible to receive potential regulatory and sales based milestones totaling EUR 150 (CHF 173) million. The Company is also eligible for royalties from the mid-single digits to low-double digits.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Life Molecular is a customer. The Company has identified that the right-to-use license as the only performance obligation. The Company determined that transaction price based on the defined terms allocated to each performance obligation specified in the contract.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2018, Alliance Medical Group purchased Piramal Imaging SA. That company was rebranded as Life Molecular Imaging. The Company’s Agreement will continue under the same terms and conditions with the new counterparty.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2018 and 2017, the Company has recognized no revenues. For the nine months ended September 30, 2018 and 2017, the Company has recognized nil and CHF 1.1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Alpha-synuclein and TDP-43 PET tracers in AD – 2016 agreement with Biogen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13, 2016, AC Immune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development personnel. We will own all intellectual property rights to any invention relating to alpha-synuclein or TDP-43 PET tracers.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commenced a first-in-human study of our alpha-synuclein PET tracer in July 2018 and completed the second year and commenced the third year of our collaboration with Biogen in April 2018. As of September 30, 2018, the Company has fully recognized revenues associated with the technology access fee. For the three months ended September 30, 2018 and 2017, we have recognized CHF 1.0 million and CHF 0.8 million for research and development services, respectively. For the nine months ended September 30, 2018 and 2017, the Company has recognized CHF 3.1 million and CHF 2.1 million for research and development services, respectively. The Company also recorded CHF 0.5 million for the technology access fee in 2017. The Company estimates to recognize CHF 0.9 million for additional research and development service contributions through the end of 2018.</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Recombinant protein therapeutic candidate –2017 agreement with Essex Bio-Technology Limited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this agreement, the parties have agreed to an initial two-year Research Plan, which intends to develop a basic Fibroblast Growth Factor (“bFGF”) as a therapeutic for the treatment of neurodegenerative diseases and to generate novel antibody therapeutics.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Essex Bio-Technology is a customer. AC Immune has identified that its performance obligation is for Full Time Employees to provide research support.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 The Company recognized CHF 0.2 million and less than CHF 0.1 million for the three months ended September 30, 2018 and 2017, respectively. The Company recognized CHF 0.6 million and less than CHF 0.1 million for the nine months ended September 30, 2018 and 2017, respectively. The length of the initial contract is two years through May 2019. Subject to the progress of the project, the Company may expect to recognize approximately CHF 0.5 million as revenues over the next 8 months.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Continuation of 2015 Grant from the Michael J. Fox Foundation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16, 2017, AC Immune formally signed a grant continuation with the Michael J. Fox Foundation for Parkinson’s Disease research (“MJFF”). This grant provides funds for the development of Positron Emission Tomography (PET) tracers for the alpha-synuclein protein, to support the early diagnosis and clinical management of Parkinson’s disease.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this agreement, the MJFF expects that AC Immune will complete tasks according to the agreed timeline. AC Immune’s funding is variable depending on the satisfactory achievement of specific tasks. The Company identified four milestones to achieve but these are outputs of the Company’s services to perform and develop its PET tracer over a 12 months period. The services themselves over time are considered the performance obligation and not each a distinct performance obligation. Therefore, AC Immune has determined it has one performance obligation in the arrangement: the research services in support of the development of the alpha-synuclein PET tracer.</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transaction price consists of the contractual amount of CHF 380 thousand which is allocated to the services performed. However, the consideration is variable dependent upon AC Immune’s completion of key milestones. Using the most likely amount method, AC Immune assessed the project funding and likelihood of milestone obtainment. Management estimated a 100% likelihood of completing all milestones under the terms of the grant and no discount of the transaction price is taken. The Company therefore recognizes the revenues associated with this grant as services are performed. Quarterly, the Company estimates its progress and whether to constrain further revenue recognition. No such constraint was necessary as of September 30, 2018.</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CHF 0.1 million and nil in revenues for the three months ended September 30, 2018 and 2017, respectively. The Company recognized CHF 0.3 million and nil for the nine months ended September 30, 2018 and 2017, respectively. The Company does not expect to record additional revenues for this grant.</w:t>
      </w:r>
    </w:p>
    <w:p>
      <w:pPr>
        <w:spacing w:after="0" w:line="17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6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CHF thousands except share and per share data)</w:t>
            </w: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191"/>
        </w:trPr>
        <w:tc>
          <w:tcPr>
            <w:tcW w:w="60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equity holders of the Company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(13,516)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(36,274)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(EPS):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to compute EPS basic and diluted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64,862,822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57,164,145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59,912,283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57,023,032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2018 and 2017 basic and diluted earnings per share is based on the weighted average number of shares issued and outstanding. Weighted-average shares outstanding excludes antidilutive shares underlying options, non-vested restricted shares and non-vested restricted share units that totaled 1,528,344 and 1,277,145 from the computation of diluted income (loss) per common share for the three months ended September 30, 2018 and 2017, respectively. Weighted-average shares outstanding excludes antidilutive shares underlying options, non-vested restricted shares and non-vested restricted share units that totaled 1,458,498 and 1,519,964 from the computation of diluted income (loss) per common share for the nine months ended September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44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6"/>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 September 30, 2018</w:t>
            </w:r>
          </w:p>
        </w:tc>
        <w:tc>
          <w:tcPr>
            <w:tcW w:w="1240" w:type="dxa"/>
            <w:vAlign w:val="bottom"/>
            <w:tcBorders>
              <w:bottom w:val="single" w:sz="8" w:color="auto"/>
            </w:tcBorders>
          </w:tcPr>
          <w:p>
            <w:pPr>
              <w:spacing w:after="0"/>
              <w:rPr>
                <w:sz w:val="24"/>
                <w:szCs w:val="24"/>
                <w:color w:val="auto"/>
              </w:rPr>
            </w:pPr>
          </w:p>
        </w:tc>
      </w:tr>
      <w:tr>
        <w:trPr>
          <w:trHeight w:val="187"/>
        </w:trPr>
        <w:tc>
          <w:tcPr>
            <w:tcW w:w="4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Computers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Leasehold</w:t>
            </w:r>
          </w:p>
        </w:tc>
        <w:tc>
          <w:tcPr>
            <w:tcW w:w="1240" w:type="dxa"/>
            <w:vAlign w:val="bottom"/>
          </w:tcPr>
          <w:p>
            <w:pPr>
              <w:spacing w:after="0"/>
              <w:rPr>
                <w:sz w:val="16"/>
                <w:szCs w:val="16"/>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Furniture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Lab Equipment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previous year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48"/>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2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r>
      <w:tr>
        <w:trPr>
          <w:trHeight w:val="392"/>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previous year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48"/>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392"/>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310</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1,850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2,353</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2,590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3,317</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continues to enhance its laboratory equipment to support its research and development functions. This effort has accelerated since the year ended December 31, 2017, with CHF 1.3 million invested in lab equipment representing a 30% increase. This is consistent with the Company’s long term strategic plan. Additionally, the Company’s investments in computers and IT have increased by CHF 337 thousand or 59% with the enhancements to its infrastructure.</w:t>
      </w:r>
    </w:p>
    <w:p>
      <w:pPr>
        <w:spacing w:after="0" w:line="17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research and development costs, administrative costs and pension expenses totaling CHF 2.7 million and CHF 1.4 million as of September 30, 2018 and December 31, 2017, respectively.</w:t>
      </w:r>
    </w:p>
    <w:p>
      <w:pPr>
        <w:spacing w:after="0" w:line="15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financing obligation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 AC Immune has accordingly recorded a long-term financing obligation for the total USD 600 thousand (CHF 592 thousand) committed and a corresponding interest accrual of USD 138 thousand (CHF 136 thousand). As AC Immune is yet to receive USD 50 thousand (CHF 49 thousand) as of September 30, 2018 from LuMind, this amount is recorded as a finance receivable within current assets.</w:t>
      </w:r>
    </w:p>
    <w:p>
      <w:pPr>
        <w:spacing w:after="0" w:line="18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receivables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CHF 0.7 million in other current receivables as of September 30, 2018 compared to CHF 0.9 million as of December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less than CHF 0.1 million outstanding but not yet due from two of its collaboration partners as of September 30, 2018.</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 w:name="page21"/>
    <w:bookmarkEnd w:id="20"/>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result,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2018 and September 30, 2017, the Company recorded CHF 1.3 million in net financial expense and CHF 0.8 million in net financial income, respectively. Of those amounts, CHF 1.3 million and CHF 0.8 million were foreign currency remeasurement losses and gains,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2018 and September 30, 2017, the Company recorded CHF 1.2 million and CHF 4.8 million in net financial expenses, respectively. Of those amounts, CHF 1.1 million and CHF 4.8 million were foreign currency remeasurement losses.</w:t>
      </w:r>
    </w:p>
    <w:p>
      <w:pPr>
        <w:spacing w:after="0" w:line="15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Shelf Registration Statement and Follow-On Offering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4, 2018, the Company filed a shelf registration statement on Form F-3 (Reg. No. 333-2246694) (the “Shelf Registration Statement”) with the SEC. The Shelf Registration Statement was declared effective by the SEC on June 8, 2018.</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Shelf Registration Statement allows the Company to offer and sell, from time to time, up to $350,000,000 of common stock,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17, 2018, the Company announced that it commenced offerings of up to 10 million new common shares of the Company with a nominal value of CHF 0.02 per share. On July 24, 2018, the Company announced that it had closed the first subscription rights offering and underwritten primary offering of its common shares, and that the underwriters had exercised in full their option to purchase an additional 1,108,695 shares at a price per share of USD 11.75. The underwriters’ exercise of the option to purchase additional shares brought the total number of common shares sold by the Company to 8,500,000 shares, resulting in total gross proceeds raised in these offerings, before underwriting discounts and estimated expenses of the offering, to approximately USD 99.9 (CHF 98.9) million. On July 20, 2018, the Company commenced a second subscription rights offering of up to 1,500,000 shares. At closing of the second subscription rights offering on July 31, 2018, the Company issued 1,500,000 additional common shares, resulting in gross proceeds of approximately USD 17.6 (CHF 17.4) million.</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the conclusion of these three offerings, the Company raised gross proceeds of approximately USD 117.5 (CHF 116.3) million. Net underwriting fees and transaction costs totaled CHF 6.8 million for a net total of CHF 109.5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31, 2018, as part of the Company’s previously announced second subscription rights offering, a major shareholder and members of the Board and Executive Management purchased an aggregate of 614,147 of the Company’s common shares on the same basis and otherwise on the same terms as the other participants in such rights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 financial statements, for appropriate accounting and disclosure. The Company has determined that there are no events that warrant disclosure or recognition in the financial statements.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nine months ended September 30, 2018 included as Exhibit 99.1 to this Report on Form 6-K. We also recommend that you read our management’s discussion and analysis and our audited financial statements and the notes thereto, which appear in our Annual Report on Form 20-F for the year ended December 31, 2017 on file with the U.S. Securities and Exchange Commission (the “SEC”).</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all references to “AC Immune” or the “company,” “we,” “our,” “ours,” “us” or similar terms refer to AC Immune SA.</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November 13,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2018 and 2017</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 Immune generated revenues of CHF 2.3 million in the three months ended September 30, 2018, an increase of CHF 1.2 million over the comparable period in 2017. AC Immune generated revenues of CHF 5.8 million in the nine months ended September 30, 2018, an increase of CHF 2.0 million over the comparable period in 2017. The following table summarizes our revenues during the three and nine months ended September 30,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7440" w:type="dxa"/>
            <w:vAlign w:val="bottom"/>
          </w:tcPr>
          <w:p>
            <w:pPr>
              <w:spacing w:after="0"/>
              <w:rPr>
                <w:sz w:val="20"/>
                <w:szCs w:val="20"/>
                <w:color w:val="auto"/>
              </w:rPr>
            </w:pPr>
          </w:p>
        </w:tc>
        <w:tc>
          <w:tcPr>
            <w:tcW w:w="220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7440" w:type="dxa"/>
            <w:vAlign w:val="bottom"/>
          </w:tcPr>
          <w:p>
            <w:pPr>
              <w:spacing w:after="0"/>
              <w:rPr>
                <w:sz w:val="16"/>
                <w:szCs w:val="16"/>
                <w:color w:val="auto"/>
              </w:rPr>
            </w:pPr>
          </w:p>
        </w:tc>
        <w:tc>
          <w:tcPr>
            <w:tcW w:w="3980" w:type="dxa"/>
            <w:vAlign w:val="bottom"/>
            <w:tcBorders>
              <w:top w:val="single" w:sz="8" w:color="auto"/>
            </w:tcBorders>
            <w:gridSpan w:val="7"/>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20" w:type="dxa"/>
            <w:vAlign w:val="bottom"/>
          </w:tcPr>
          <w:p>
            <w:pPr>
              <w:spacing w:after="0"/>
              <w:rPr>
                <w:sz w:val="16"/>
                <w:szCs w:val="16"/>
                <w:color w:val="auto"/>
              </w:rPr>
            </w:pPr>
          </w:p>
        </w:tc>
      </w:tr>
      <w:tr>
        <w:trPr>
          <w:trHeight w:val="24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2,305</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1,074</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1,074</w:t>
            </w:r>
          </w:p>
        </w:tc>
        <w:tc>
          <w:tcPr>
            <w:tcW w:w="12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w:t>
            </w:r>
          </w:p>
        </w:tc>
      </w:tr>
      <w:tr>
        <w:trPr>
          <w:trHeight w:val="20"/>
        </w:trPr>
        <w:tc>
          <w:tcPr>
            <w:tcW w:w="7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0"/>
        </w:trPr>
        <w:tc>
          <w:tcPr>
            <w:tcW w:w="7440" w:type="dxa"/>
            <w:vAlign w:val="bottom"/>
          </w:tcPr>
          <w:p>
            <w:pPr>
              <w:spacing w:after="0"/>
              <w:rPr>
                <w:sz w:val="24"/>
                <w:szCs w:val="24"/>
                <w:color w:val="auto"/>
              </w:rPr>
            </w:pPr>
          </w:p>
        </w:tc>
        <w:tc>
          <w:tcPr>
            <w:tcW w:w="220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440" w:type="dxa"/>
            <w:vAlign w:val="bottom"/>
          </w:tcPr>
          <w:p>
            <w:pPr>
              <w:spacing w:after="0"/>
              <w:rPr>
                <w:sz w:val="20"/>
                <w:szCs w:val="20"/>
                <w:color w:val="auto"/>
              </w:rPr>
            </w:pPr>
          </w:p>
        </w:tc>
        <w:tc>
          <w:tcPr>
            <w:tcW w:w="220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7440" w:type="dxa"/>
            <w:vAlign w:val="bottom"/>
          </w:tcPr>
          <w:p>
            <w:pPr>
              <w:spacing w:after="0"/>
              <w:rPr>
                <w:sz w:val="16"/>
                <w:szCs w:val="16"/>
                <w:color w:val="auto"/>
              </w:rPr>
            </w:pPr>
          </w:p>
        </w:tc>
        <w:tc>
          <w:tcPr>
            <w:tcW w:w="3980" w:type="dxa"/>
            <w:vAlign w:val="bottom"/>
            <w:tcBorders>
              <w:top w:val="single" w:sz="8" w:color="auto"/>
            </w:tcBorders>
            <w:gridSpan w:val="7"/>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20" w:type="dxa"/>
            <w:vAlign w:val="bottom"/>
          </w:tcPr>
          <w:p>
            <w:pPr>
              <w:spacing w:after="0"/>
              <w:rPr>
                <w:sz w:val="16"/>
                <w:szCs w:val="16"/>
                <w:color w:val="auto"/>
              </w:rPr>
            </w:pPr>
          </w:p>
        </w:tc>
      </w:tr>
      <w:tr>
        <w:trPr>
          <w:trHeight w:val="248"/>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5,791</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3,834</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1,957</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3,834</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1,957</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2018, the increase in contract revenues compared to the three months ended September 30, 2017 was principally due to recognition of an incremental CHF 0.8 million in collaboration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and research costs in our Janssen agreement in the development of our lead therapeutic vaccine. The Company also recognized an incremental CHF 0.1 million in its collaboration with Essex-Bio.</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2018, the increase in contract revenues was principally due to an increase of CHF 1.6 million in our Janssen collaboration for the development of our lead therapeutic vaccine. The Company also had a CHF 0.5 million increase in revenues associated with its Biogen research and development services. Furthermore, the Company recorded an additional CHF 0.5 million from its agreement with Essex-Bio. These were offset by a CHF 1.1 million decrease related to a milestone from Life Molecular for the initiation of “Part B” of the first-in-man phase 1 clinical trial for PSP (Progressive Supranuclear Palsy) that was received in the prior period.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in both of our Genentech collaborations. Janssen will be responsible for the full development cost from the completion of the first Phase 2. In addition to these arrangements, we expect that our total future research and development costs will continue to increase over current levels in line with our three-pillar strategy that focuses on Alzheimer`s disease, neuro-orphan indications and diagnostics.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2018, research and development expenses totaled CHF 11.5 million and CHF 32.2 million, respectively, compared with CHF 8.2 million and CHF 22.5 million for the same periods in 2017, respectively. This represents an increase of CHF 3.4 million and CHF 9.6 million, respectively. The following tables present the research and development expenses during the three and nine months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7440" w:type="dxa"/>
            <w:vAlign w:val="bottom"/>
          </w:tcPr>
          <w:p>
            <w:pPr>
              <w:spacing w:after="0"/>
              <w:rPr>
                <w:sz w:val="16"/>
                <w:szCs w:val="16"/>
                <w:color w:val="auto"/>
              </w:rPr>
            </w:pPr>
          </w:p>
        </w:tc>
        <w:tc>
          <w:tcPr>
            <w:tcW w:w="3980" w:type="dxa"/>
            <w:vAlign w:val="bottom"/>
            <w:tcBorders>
              <w:top w:val="single" w:sz="8" w:color="auto"/>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20" w:type="dxa"/>
            <w:vAlign w:val="bottom"/>
          </w:tcPr>
          <w:p>
            <w:pPr>
              <w:spacing w:after="0"/>
              <w:rPr>
                <w:sz w:val="16"/>
                <w:szCs w:val="16"/>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2,932</w:t>
            </w: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related costs(2)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 w:type="dxa"/>
            <w:vAlign w:val="bottom"/>
            <w:tcBorders>
              <w:top w:val="single" w:sz="8" w:color="auto"/>
            </w:tcBorders>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0"/>
        </w:trPr>
        <w:tc>
          <w:tcPr>
            <w:tcW w:w="7440" w:type="dxa"/>
            <w:vAlign w:val="bottom"/>
          </w:tcPr>
          <w:p>
            <w:pPr>
              <w:spacing w:after="0"/>
              <w:rPr>
                <w:sz w:val="24"/>
                <w:szCs w:val="24"/>
                <w:color w:val="auto"/>
              </w:rPr>
            </w:pPr>
          </w:p>
        </w:tc>
        <w:tc>
          <w:tcPr>
            <w:tcW w:w="2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4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7440" w:type="dxa"/>
            <w:vAlign w:val="bottom"/>
          </w:tcPr>
          <w:p>
            <w:pPr>
              <w:spacing w:after="0"/>
              <w:rPr>
                <w:sz w:val="16"/>
                <w:szCs w:val="16"/>
                <w:color w:val="auto"/>
              </w:rPr>
            </w:pPr>
          </w:p>
        </w:tc>
        <w:tc>
          <w:tcPr>
            <w:tcW w:w="3980" w:type="dxa"/>
            <w:vAlign w:val="bottom"/>
            <w:tcBorders>
              <w:top w:val="single" w:sz="8" w:color="auto"/>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20" w:type="dxa"/>
            <w:vAlign w:val="bottom"/>
          </w:tcPr>
          <w:p>
            <w:pPr>
              <w:spacing w:after="0"/>
              <w:rPr>
                <w:sz w:val="16"/>
                <w:szCs w:val="16"/>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24,051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8,367</w:t>
            </w:r>
          </w:p>
        </w:tc>
      </w:tr>
      <w:tr>
        <w:trPr>
          <w:trHeight w:val="24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related costs(2)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1,275</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32,150</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9,642</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expense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programs is primarily driven by the discovery programs, the two ACI-24 programs and our Tau-Vaccine program. The following tables present the research and development expenses by major development program during the three and nine months ended September 30, 2018 and 2017:</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Alzheimer’s disease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Non-Alzheimer’s diseases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Diagnostics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programs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not allocated to specific programs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Alzheimer’s disease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Non-Alzheimer’s diseases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Diagnostics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programs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not allocated to specific programs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3980" w:type="dxa"/>
            <w:vAlign w:val="bottom"/>
            <w:tcBorders>
              <w:top w:val="single" w:sz="8" w:color="auto"/>
            </w:tcBorders>
            <w:gridSpan w:val="5"/>
          </w:tcPr>
          <w:p>
            <w:pPr>
              <w:jc w:val="right"/>
              <w:ind w:right="710"/>
              <w:spacing w:after="0" w:line="191" w:lineRule="exact"/>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20" w:type="dxa"/>
            <w:vAlign w:val="bottom"/>
          </w:tcPr>
          <w:p>
            <w:pPr>
              <w:spacing w:after="0"/>
              <w:rPr>
                <w:sz w:val="16"/>
                <w:szCs w:val="16"/>
                <w:color w:val="auto"/>
              </w:rPr>
            </w:pPr>
          </w:p>
        </w:tc>
      </w:tr>
      <w:tr>
        <w:trPr>
          <w:trHeight w:val="216"/>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8"/>
                <w:szCs w:val="18"/>
                <w:color w:val="auto"/>
              </w:rPr>
            </w:pPr>
          </w:p>
        </w:tc>
      </w:tr>
      <w:tr>
        <w:trPr>
          <w:trHeight w:val="216"/>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r>
      <w:tr>
        <w:trPr>
          <w:trHeight w:val="230"/>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r>
      <w:tr>
        <w:trPr>
          <w:trHeight w:val="234"/>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tcPr>
          <w:p>
            <w:pPr>
              <w:spacing w:after="0"/>
              <w:rPr>
                <w:sz w:val="20"/>
                <w:szCs w:val="20"/>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0" w:type="dxa"/>
            <w:vAlign w:val="bottom"/>
            <w:tcBorders>
              <w:top w:val="single" w:sz="8" w:color="auto"/>
              <w:bottom w:val="single" w:sz="8" w:color="auto"/>
            </w:tcBorders>
          </w:tcPr>
          <w:p>
            <w:pPr>
              <w:spacing w:after="0"/>
              <w:rPr>
                <w:sz w:val="18"/>
                <w:szCs w:val="18"/>
                <w:color w:val="auto"/>
              </w:rPr>
            </w:pPr>
          </w:p>
        </w:tc>
      </w:tr>
      <w:tr>
        <w:trPr>
          <w:trHeight w:val="210"/>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Borders>
              <w:bottom w:val="single" w:sz="8" w:color="auto"/>
            </w:tcBorders>
          </w:tcPr>
          <w:p>
            <w:pPr>
              <w:spacing w:after="0"/>
              <w:rPr>
                <w:sz w:val="18"/>
                <w:szCs w:val="18"/>
                <w:color w:val="auto"/>
              </w:rPr>
            </w:pPr>
          </w:p>
        </w:tc>
      </w:tr>
      <w:tr>
        <w:trPr>
          <w:trHeight w:val="223"/>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2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20" w:type="dxa"/>
            <w:vAlign w:val="bottom"/>
          </w:tcPr>
          <w:p>
            <w:pPr>
              <w:spacing w:after="0"/>
              <w:rPr>
                <w:sz w:val="16"/>
                <w:szCs w:val="16"/>
                <w:color w:val="auto"/>
              </w:rPr>
            </w:pPr>
          </w:p>
        </w:tc>
      </w:tr>
      <w:tr>
        <w:trPr>
          <w:trHeight w:val="216"/>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10,657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20" w:type="dxa"/>
            <w:vAlign w:val="bottom"/>
          </w:tcPr>
          <w:p>
            <w:pPr>
              <w:spacing w:after="0"/>
              <w:rPr>
                <w:sz w:val="18"/>
                <w:szCs w:val="18"/>
                <w:color w:val="auto"/>
              </w:rPr>
            </w:pPr>
          </w:p>
        </w:tc>
      </w:tr>
      <w:tr>
        <w:trPr>
          <w:trHeight w:val="216"/>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r>
      <w:tr>
        <w:trPr>
          <w:trHeight w:val="230"/>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9"/>
                <w:szCs w:val="19"/>
                <w:color w:val="auto"/>
              </w:rPr>
            </w:pPr>
          </w:p>
        </w:tc>
      </w:tr>
      <w:tr>
        <w:trPr>
          <w:trHeight w:val="234"/>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8,609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0" w:type="dxa"/>
            <w:vAlign w:val="bottom"/>
          </w:tcPr>
          <w:p>
            <w:pPr>
              <w:spacing w:after="0"/>
              <w:rPr>
                <w:sz w:val="20"/>
                <w:szCs w:val="20"/>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22,623</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0" w:type="dxa"/>
            <w:vAlign w:val="bottom"/>
            <w:tcBorders>
              <w:top w:val="single" w:sz="8" w:color="auto"/>
              <w:bottom w:val="single" w:sz="8" w:color="auto"/>
            </w:tcBorders>
          </w:tcPr>
          <w:p>
            <w:pPr>
              <w:spacing w:after="0"/>
              <w:rPr>
                <w:sz w:val="18"/>
                <w:szCs w:val="18"/>
                <w:color w:val="auto"/>
              </w:rPr>
            </w:pPr>
          </w:p>
        </w:tc>
      </w:tr>
      <w:tr>
        <w:trPr>
          <w:trHeight w:val="210"/>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0" w:type="dxa"/>
            <w:vAlign w:val="bottom"/>
            <w:tcBorders>
              <w:bottom w:val="single" w:sz="8" w:color="auto"/>
            </w:tcBorders>
          </w:tcPr>
          <w:p>
            <w:pPr>
              <w:spacing w:after="0"/>
              <w:rPr>
                <w:sz w:val="18"/>
                <w:szCs w:val="18"/>
                <w:color w:val="auto"/>
              </w:rPr>
            </w:pPr>
          </w:p>
        </w:tc>
      </w:tr>
      <w:tr>
        <w:trPr>
          <w:trHeight w:val="223"/>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32,150</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0" w:type="dxa"/>
            <w:vAlign w:val="bottom"/>
            <w:tcBorders>
              <w:bottom w:val="single" w:sz="8" w:color="auto"/>
            </w:tcBorders>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720" w:space="720"/>
            <w:col w:w="3980"/>
          </w:cols>
          <w:pgMar w:left="240" w:top="580" w:right="239" w:bottom="1440" w:gutter="0" w:footer="0" w:header="0"/>
          <w:type w:val="continuous"/>
        </w:sect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CHF 1.3 million increase in investments in Alzheimer’s disease programs for the three months ended September 30, 2018 predominantly relates to a CHF 1.6 million increase in our Tau-Vaccine program for research and development services in line with the development plan. This increase was offset by a CHF 0.2 million decrease in spending on our ACI-24-AD project as there were higher costs in 2017 to procure materials necessary for manufacturing in anticipation of Phase 2 in 2018. The increase in our discovery programs of CHF 1.4 million was driven by CHF 0.3 million related to the continued proof of concept studies and increase in manufacturing activities of our lead compounds in the Tau Morphomers and a CHF 0.4 million increase related to manufacturing activities in our vaccine technology program. Additional increases arose from a CHF 0.1 million for our anti-a-Synuclein antibody, a CHF 0.3 million in our morphomer inflammation program as we began manufacturing activities and CHF 0.3 million in various other projects.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CHF 3.8 million increase in investments in Alzheimer’s disease programs for the nine months ended September 30, 2018 predominantly relates to a CHF 1.2 million increase in set-up fees such as site selection, administration and related manufacturing costs associated with the Phase 2 study for ACI-24-AD. There was also an increase of CHF 2.8 million for our Tau-Vaccine program for research and development services in line with the development plan. The increase in our discovery programs of CHF 3.9 million was driven by CHF 1.8 million related to the continued proof of concept studies and increase in manufacturing activities of our lead compounds in the Tau Morphomers, a CHF 0.6 million increase related to manufacturing activities in our vaccine technology program and a CHF 0.5 million for our anti-a-Synuclein antibody. The Company also increased its investments by CHF 0.5 million and CHF 0.2 million in its in one of its morphomer inflammation and antibodies, respectively as development activities occurred for the full year 2018 compared to a portion of 2017.</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share-based compensation, professional fees including legal and accounting related services and other operating expenses.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amounted to CHF 2.9 million and CHF 8.7 million in the three and nine months ended September 30, 2018 compared with CHF 2.5 million and CHF 7.0 million in the same periods in 2017, respectively. This represents an increase of CHF 0.4 million and CHF 1.7 million for the respective periods. The following tables present the general and administrative expenses for the three and nine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20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3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20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3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980" w:type="dxa"/>
            <w:vAlign w:val="bottom"/>
            <w:tcBorders>
              <w:top w:val="single" w:sz="8" w:color="auto"/>
            </w:tcBorders>
            <w:gridSpan w:val="7"/>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40" w:type="dxa"/>
            <w:vAlign w:val="bottom"/>
            <w:gridSpan w:val="2"/>
          </w:tcPr>
          <w:p>
            <w:pPr>
              <w:spacing w:after="0"/>
              <w:rPr>
                <w:sz w:val="16"/>
                <w:szCs w:val="16"/>
                <w:color w:val="auto"/>
              </w:rPr>
            </w:pPr>
          </w:p>
        </w:tc>
      </w:tr>
      <w:tr>
        <w:trPr>
          <w:trHeight w:val="216"/>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1,095</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4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Salaries and related costs (2)</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1,835</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1,735</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2,519</w:t>
            </w:r>
          </w:p>
        </w:tc>
        <w:tc>
          <w:tcPr>
            <w:tcW w:w="12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3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20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3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20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3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980" w:type="dxa"/>
            <w:vAlign w:val="bottom"/>
            <w:tcBorders>
              <w:top w:val="single" w:sz="8" w:color="auto"/>
            </w:tcBorders>
            <w:gridSpan w:val="7"/>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40" w:type="dxa"/>
            <w:vAlign w:val="bottom"/>
            <w:gridSpan w:val="2"/>
          </w:tcPr>
          <w:p>
            <w:pPr>
              <w:spacing w:after="0"/>
              <w:rPr>
                <w:sz w:val="16"/>
                <w:szCs w:val="16"/>
                <w:color w:val="auto"/>
              </w:rPr>
            </w:pPr>
          </w:p>
        </w:tc>
      </w:tr>
      <w:tr>
        <w:trPr>
          <w:trHeight w:val="216"/>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2,829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r>
      <w:tr>
        <w:trPr>
          <w:trHeight w:val="24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Salaries and related costs (2)</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5,478</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4,224</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tcPr>
          <w:p>
            <w:pPr>
              <w:spacing w:after="0"/>
              <w:rPr>
                <w:sz w:val="21"/>
                <w:szCs w:val="2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7,053</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Includes depreciation expense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Includes share-based compensation expense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2018, the Company’s general and administrative expenses increased by CHF 0.4 million compared to the comparable period in 2017. This predominantly related to a CHF 0.3 million increase in professional fees.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2018, the Company’s general and administrative expenses increased by CHF 1.7 million compared to the comparable period in 2017. This predominantly related to a CHF 1.1 million increase in share based compensation and CHF 0.4 million in professional services.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results,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2018, the Company reported CHF 1.3 million and CHF 1.2 million in net financial expense compared with a net financial income of CHF 0.8 million and a CHF 4.8 million expense in the same periods in 2017, a variance of (CHF 2.2 million) and CHF 3.6 million,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financial income and expenses during the three and nine months ended September 30, 2018 and 2017:</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remeasurement gain/(loss),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finance (expenses)/income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result,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remeasurement (loss),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finance (expenses)/income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result, net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3980" w:type="dxa"/>
            <w:vAlign w:val="bottom"/>
            <w:tcBorders>
              <w:top w:val="single" w:sz="8" w:color="auto"/>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20" w:type="dxa"/>
            <w:vAlign w:val="bottom"/>
          </w:tcPr>
          <w:p>
            <w:pPr>
              <w:spacing w:after="0"/>
              <w:rPr>
                <w:sz w:val="16"/>
                <w:szCs w:val="16"/>
                <w:color w:val="auto"/>
              </w:rPr>
            </w:pPr>
          </w:p>
        </w:tc>
      </w:tr>
      <w:tr>
        <w:trPr>
          <w:trHeight w:val="216"/>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(2,096)</w:t>
            </w:r>
          </w:p>
        </w:tc>
      </w:tr>
      <w:tr>
        <w:trPr>
          <w:trHeight w:val="234"/>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 w:type="dxa"/>
            <w:vAlign w:val="bottom"/>
            <w:tcBorders>
              <w:top w:val="single" w:sz="8" w:color="auto"/>
            </w:tcBorders>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0"/>
        </w:trPr>
        <w:tc>
          <w:tcPr>
            <w:tcW w:w="27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3980" w:type="dxa"/>
            <w:vAlign w:val="bottom"/>
            <w:tcBorders>
              <w:top w:val="single" w:sz="8" w:color="auto"/>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(in CHF thousands, unaudited)</w:t>
            </w:r>
          </w:p>
        </w:tc>
        <w:tc>
          <w:tcPr>
            <w:tcW w:w="20" w:type="dxa"/>
            <w:vAlign w:val="bottom"/>
          </w:tcPr>
          <w:p>
            <w:pPr>
              <w:spacing w:after="0"/>
              <w:rPr>
                <w:sz w:val="16"/>
                <w:szCs w:val="16"/>
                <w:color w:val="auto"/>
              </w:rPr>
            </w:pPr>
          </w:p>
        </w:tc>
      </w:tr>
      <w:tr>
        <w:trPr>
          <w:trHeight w:val="216"/>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3,742</w:t>
            </w:r>
          </w:p>
        </w:tc>
      </w:tr>
      <w:tr>
        <w:trPr>
          <w:trHeight w:val="234"/>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576" w:right="239" w:bottom="1440" w:gutter="0" w:footer="0" w:header="0"/>
          <w:type w:val="continuous"/>
        </w:sect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25" w:name="page26"/>
    <w:bookmarkEnd w:id="2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key driver for the financial expense during the three months ended September 30, 2018 is the change in net foreign currency remeasurement gains and losses. The Company incurred a CHF 1.3 million net foreign currency loss compared to a CHF 0.8 million net foreign currency gain in the prior period. The USD weakened in relation to the CHF in the current quarter compared to the prior period.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2018, the Company incurred net foreign currency losses of CHF 1.1 million compared to net foreign currency losses of CHF 4.8 million in the prior period, accounting for a CHF 3.7 million variance. This was due primarily to both a weakening of the USD compared to the CHF for the first half of 2017 and the Company’s holding a substantial portion of its cash in USD compared to CHF throughout 2017. As of September 30, 2018, the Company held more than 85% of its cash in CHF. As of September 30, 2017 this was approximately 42% and more exposed to fluctuations in exchange rates.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have been financed primarily by proceeds from the collaboration and license agreements we have with a number of partners (including Genentech, Janssen and Biogen), research grants awarded to us, net proceeds from the issuance of common shares and preferred shares including the net proceeds raised in our initial public offering (“IPO”) and our follow-on offerings in July 2018. As of September 30, 2018, we had cash and cash equivalents of CHF 199.1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 Phase 2 study), pursue the next clinical steps for ACI-24 in Down syndrome, our PET imaging candidates focused on alpha-synuclein and TDP-43 which we are developing together with Biogen and a number of research initiatives focused on neurodegenerative orphan diseases other than AD.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w:t>
      </w:r>
    </w:p>
    <w:p>
      <w:pPr>
        <w:sectPr>
          <w:pgSz w:w="11900" w:h="16838" w:orient="portrait"/>
          <w:cols w:equalWidth="0" w:num="1">
            <w:col w:w="11420"/>
          </w:cols>
          <w:pgMar w:left="240" w:top="580" w:right="2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Nine Months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672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440"/>
        <w:spacing w:after="0"/>
        <w:tabs>
          <w:tab w:leader="none" w:pos="1800" w:val="left"/>
          <w:tab w:leader="none" w:pos="3040" w:val="left"/>
        </w:tabs>
        <w:rPr>
          <w:sz w:val="20"/>
          <w:szCs w:val="20"/>
          <w:color w:val="auto"/>
        </w:rPr>
      </w:pP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5298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(32,322)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(28,453)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30"/>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109,877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109,734</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105,991</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720" w:space="720"/>
            <w:col w:w="3980"/>
          </w:cols>
          <w:pgMar w:left="240" w:top="580" w:right="239" w:bottom="1440" w:gutter="0" w:footer="0" w:header="0"/>
          <w:type w:val="continuous"/>
        </w:sectPr>
      </w:pP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CHF 32.3 million for the nine months ended September 30, 2018 compared with net cash used in operating activities of CHF 28.5 million for the nine months ended September 30, 2017. The change in cash used in operating activities in the first nine months of 2018 was due to the Company’s reporting net loss of CHF 36.3 million for the nine months ended September 30, 2018 compared with net loss of CHF 30.6 million for the same period in 2017 which was driven by (i) the increase in research and development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costs in the first nine months of 2018, and (ii) the net increase in trade and other payables and accrued expenses due to increased research expense payments in the first nine months of 2018 compared to the same period for 2017.</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to CHF 1.7 million for the nine months ended September 30, 2018 compared with net cash used in investing activities of CHF 1.8 million in the nine months ended September 30, 2017. The difference relates to a minimal decrease in capital expenditures for the period.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CHF 109.9 million for the nine months ended September 30, 2018 compared with net cash provided by financing activities of CHF 0.1 million for the nine months ended September 30, 2017. The increase is driven by the cash inflow from our three follow-on offerings completed in July 2018 which yielded a net CHF 109.5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obtain regulatory approval of and commercialize our current or any future product candidates. As of September 30, 2018, we had cash and cash equivalent balances totaling CHF 199.1 million. The increase relative to December 31, 2017 is due to an increase from our three follow-on offerings completed in July 2018 and increase in contract revenues offset by an increase in research and development spending on our major discovery and development programs and the strengthening of the company’s infrastructures,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third quarter of 2021.</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and protecting our portfolio of intellectual property.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JOBS Act Exemption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(1) we have more than USD 1.07 billion in annual revenue, (2) we are deemed to be a “large accelerated filer” under the rules of the SEC, which means the market value of our common shares that are held by non-affiliates exceeds USD 700 million as of the most recently completed second fiscal quarter, or (3) we have issued more than USD 1.0 billion in non-convertible debt during the prior three-year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operating results, as calculated in accordance with International Financial Reporting Standards, or IFRS, as adopted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loss. The following table reconciles net loss to Adjusted Net Loss and Adjusted Net Loss per share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left="4020"/>
        <w:spacing w:after="0"/>
        <w:rPr>
          <w:sz w:val="20"/>
          <w:szCs w:val="20"/>
          <w:color w:val="auto"/>
        </w:rPr>
      </w:pPr>
      <w:r>
        <w:rPr>
          <w:rFonts w:ascii="Times New Roman" w:cs="Times New Roman" w:eastAsia="Times New Roman" w:hAnsi="Times New Roman"/>
          <w:sz w:val="17"/>
          <w:szCs w:val="17"/>
          <w:b w:val="1"/>
          <w:bCs w:val="1"/>
          <w:u w:val="single" w:color="auto"/>
          <w:color w:val="auto"/>
        </w:rPr>
        <w:t>Reconciliation of Loss to Adjusted Loss and</w:t>
      </w:r>
    </w:p>
    <w:p>
      <w:pPr>
        <w:spacing w:after="0" w:line="4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u w:val="single" w:color="auto"/>
          <w:color w:val="auto"/>
        </w:rPr>
        <w:t>Loss Per Share to Adjusted Loss Per Share</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3773170" cy="574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73170" cy="5746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Non-cash share-based payments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currency (gains)/losses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Loss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loss per share – basic and diluted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Loss per share – basic and diluted</w:t>
      </w:r>
    </w:p>
    <w:p>
      <w:pPr>
        <w:spacing w:after="0" w:line="23" w:lineRule="exact"/>
        <w:rPr>
          <w:sz w:val="20"/>
          <w:szCs w:val="20"/>
          <w:color w:val="auto"/>
        </w:rPr>
      </w:pPr>
    </w:p>
    <w:p>
      <w:pPr>
        <w:ind w:left="180" w:hanging="161"/>
        <w:spacing w:after="0" w:line="276" w:lineRule="auto"/>
        <w:rPr>
          <w:sz w:val="20"/>
          <w:szCs w:val="20"/>
          <w:color w:val="auto"/>
        </w:rPr>
      </w:pPr>
      <w:r>
        <w:rPr>
          <w:rFonts w:ascii="Times New Roman" w:cs="Times New Roman" w:eastAsia="Times New Roman" w:hAnsi="Times New Roman"/>
          <w:sz w:val="18"/>
          <w:szCs w:val="18"/>
          <w:color w:val="auto"/>
        </w:rPr>
        <w:t>Weighted-average number of shares used to compute Adjusted Loss per share – basic and diluted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6725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4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6725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32"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7"/>
          <w:szCs w:val="17"/>
          <w:b w:val="1"/>
          <w:bCs w:val="1"/>
          <w:color w:val="auto"/>
        </w:rPr>
        <w:t>(13,516)</w:t>
      </w:r>
      <w:r>
        <w:rPr>
          <w:sz w:val="20"/>
          <w:szCs w:val="20"/>
          <w:color w:val="auto"/>
        </w:rPr>
        <w:tab/>
      </w:r>
      <w:r>
        <w:rPr>
          <w:rFonts w:ascii="Times New Roman" w:cs="Times New Roman" w:eastAsia="Times New Roman" w:hAnsi="Times New Roman"/>
          <w:sz w:val="17"/>
          <w:szCs w:val="17"/>
          <w:b w:val="1"/>
          <w:bCs w:val="1"/>
          <w:color w:val="auto"/>
        </w:rPr>
        <w:t>(8,793)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16725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34" w:lineRule="exact"/>
        <w:rPr>
          <w:sz w:val="20"/>
          <w:szCs w:val="20"/>
          <w:color w:val="auto"/>
        </w:rPr>
      </w:pPr>
    </w:p>
    <w:p>
      <w:pPr>
        <w:ind w:left="2360" w:hanging="1382"/>
        <w:spacing w:after="0"/>
        <w:tabs>
          <w:tab w:leader="none" w:pos="2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570</w:t>
      </w:r>
    </w:p>
    <w:p>
      <w:pPr>
        <w:spacing w:after="0" w:line="38" w:lineRule="exact"/>
        <w:rPr>
          <w:rFonts w:ascii="Times New Roman" w:cs="Times New Roman" w:eastAsia="Times New Roman" w:hAnsi="Times New Roman"/>
          <w:sz w:val="17"/>
          <w:szCs w:val="17"/>
          <w:color w:val="auto"/>
        </w:rPr>
      </w:pPr>
    </w:p>
    <w:p>
      <w:pPr>
        <w:ind w:left="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1,296</w:t>
      </w:r>
      <w:r>
        <w:rPr>
          <w:rFonts w:ascii="Times New Roman" w:cs="Times New Roman" w:eastAsia="Times New Roman" w:hAnsi="Times New Roman"/>
          <w:sz w:val="17"/>
          <w:szCs w:val="17"/>
          <w:color w:val="auto"/>
        </w:rPr>
        <w:t>(800)</w:t>
      </w:r>
    </w:p>
    <w:p>
      <w:pPr>
        <w:spacing w:after="0" w:line="23"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7"/>
          <w:szCs w:val="17"/>
          <w:b w:val="1"/>
          <w:bCs w:val="1"/>
          <w:color w:val="auto"/>
        </w:rPr>
        <w:t>(11,637)</w:t>
      </w:r>
      <w:r>
        <w:rPr>
          <w:sz w:val="20"/>
          <w:szCs w:val="20"/>
          <w:color w:val="auto"/>
        </w:rPr>
        <w:tab/>
      </w:r>
      <w:r>
        <w:rPr>
          <w:rFonts w:ascii="Times New Roman" w:cs="Times New Roman" w:eastAsia="Times New Roman" w:hAnsi="Times New Roman"/>
          <w:sz w:val="17"/>
          <w:szCs w:val="17"/>
          <w:b w:val="1"/>
          <w:bCs w:val="1"/>
          <w:color w:val="auto"/>
        </w:rPr>
        <w:t>(9,023)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672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16725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r>
      <w:tr>
        <w:trPr>
          <w:trHeight w:val="412"/>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64,862,822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57,164,145</w:t>
            </w: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Nine Months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6465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4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6465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(36,274)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(30,575)</w:t>
            </w:r>
          </w:p>
        </w:tc>
      </w:tr>
      <w:tr>
        <w:trPr>
          <w:trHeight w:val="421"/>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24"/>
                <w:szCs w:val="24"/>
                <w:color w:val="auto"/>
              </w:rPr>
            </w:pPr>
          </w:p>
        </w:tc>
      </w:tr>
      <w:tr>
        <w:trPr>
          <w:trHeight w:val="234"/>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20" w:type="dxa"/>
            <w:vAlign w:val="bottom"/>
          </w:tcPr>
          <w:p>
            <w:pPr>
              <w:spacing w:after="0"/>
              <w:rPr>
                <w:sz w:val="20"/>
                <w:szCs w:val="20"/>
                <w:color w:val="auto"/>
              </w:rPr>
            </w:pPr>
          </w:p>
        </w:tc>
      </w:tr>
      <w:tr>
        <w:trPr>
          <w:trHeight w:val="210"/>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(24,908)</w:t>
            </w:r>
          </w:p>
        </w:tc>
        <w:tc>
          <w:tcPr>
            <w:tcW w:w="20" w:type="dxa"/>
            <w:vAlign w:val="bottom"/>
            <w:tcBorders>
              <w:bottom w:val="single" w:sz="8" w:color="auto"/>
            </w:tcBorders>
          </w:tcPr>
          <w:p>
            <w:pPr>
              <w:spacing w:after="0"/>
              <w:rPr>
                <w:sz w:val="18"/>
                <w:szCs w:val="18"/>
                <w:color w:val="auto"/>
              </w:rPr>
            </w:pPr>
          </w:p>
        </w:tc>
      </w:tr>
      <w:tr>
        <w:trPr>
          <w:trHeight w:val="426"/>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20" w:type="dxa"/>
            <w:vAlign w:val="bottom"/>
          </w:tcPr>
          <w:p>
            <w:pPr>
              <w:spacing w:after="0"/>
              <w:rPr>
                <w:sz w:val="18"/>
                <w:szCs w:val="18"/>
                <w:color w:val="auto"/>
              </w:rPr>
            </w:pPr>
          </w:p>
        </w:tc>
      </w:tr>
      <w:tr>
        <w:trPr>
          <w:trHeight w:val="412"/>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59,912,283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57,023,032</w:t>
            </w:r>
          </w:p>
        </w:tc>
        <w:tc>
          <w:tcPr>
            <w:tcW w:w="20" w:type="dxa"/>
            <w:vAlign w:val="bottom"/>
          </w:tcPr>
          <w:p>
            <w:pPr>
              <w:spacing w:after="0"/>
              <w:rPr>
                <w:sz w:val="24"/>
                <w:szCs w:val="24"/>
                <w:color w:val="auto"/>
              </w:rPr>
            </w:pPr>
          </w:p>
        </w:tc>
      </w:tr>
    </w:tbl>
    <w:p>
      <w:pPr>
        <w:spacing w:after="0" w:line="230" w:lineRule="exact"/>
        <w:rPr>
          <w:sz w:val="20"/>
          <w:szCs w:val="20"/>
          <w:color w:val="auto"/>
        </w:rPr>
      </w:pPr>
    </w:p>
    <w:p>
      <w:pPr>
        <w:sectPr>
          <w:pgSz w:w="11900" w:h="16838" w:orient="portrait"/>
          <w:cols w:equalWidth="0" w:num="3">
            <w:col w:w="5740" w:space="340"/>
            <w:col w:w="2620" w:space="120"/>
            <w:col w:w="2600"/>
          </w:cols>
          <w:pgMar w:left="240" w:top="576" w:right="239" w:bottom="1440" w:gutter="0" w:footer="0" w:header="0"/>
          <w:type w:val="continuous"/>
        </w:sectPr>
      </w:pPr>
    </w:p>
    <w:p>
      <w:pPr>
        <w:spacing w:after="0" w:line="183" w:lineRule="exact"/>
        <w:rPr>
          <w:sz w:val="20"/>
          <w:szCs w:val="20"/>
          <w:color w:val="auto"/>
        </w:rPr>
      </w:pPr>
    </w:p>
    <w:p>
      <w:pPr>
        <w:ind w:left="640" w:hanging="321"/>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61" w:lineRule="exact"/>
        <w:rPr>
          <w:rFonts w:ascii="Times New Roman" w:cs="Times New Roman" w:eastAsia="Times New Roman" w:hAnsi="Times New Roman"/>
          <w:sz w:val="18"/>
          <w:szCs w:val="18"/>
          <w:color w:val="auto"/>
        </w:rPr>
      </w:pPr>
    </w:p>
    <w:p>
      <w:pPr>
        <w:ind w:left="640" w:right="20" w:hanging="321"/>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foreign currency remeasurement gains and losses for the period, predominantly impacted by the change in the exchange rate between the US Dollar and the Swiss Franc.</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Adjustments for the three and nine months ended September 30, 2018 were CHF 1.9 million and 3.0 million in net losses, respectively. These were largely due to foreign currency remeasurement losses of CHF 1.3 million and CHF 1.1 million, respectively, predominantly related to the cash balance of the Company as a result of a weakening of the US Dollar against the Swiss Franc for most of the third quarter. The Company also recorded CHF 0.6 million and CHF 1.9 million for the three and nine months, respectively, for share-based compensation expenses. The latter represented a CHF 1.0 million increase compared to the nine months ended September 30, 2017.</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697990" cy="531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440"/>
        <w:spacing w:after="0"/>
        <w:rPr>
          <w:sz w:val="20"/>
          <w:szCs w:val="20"/>
          <w:color w:val="auto"/>
        </w:rPr>
      </w:pPr>
      <w:r>
        <w:rPr>
          <w:rFonts w:ascii="Arial" w:cs="Arial" w:eastAsia="Arial" w:hAnsi="Arial"/>
          <w:sz w:val="22"/>
          <w:szCs w:val="22"/>
          <w:b w:val="1"/>
          <w:bCs w:val="1"/>
          <w:color w:val="auto"/>
        </w:rPr>
        <w:t>PRESS RELEASE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Third Quarter 2018 Financial Results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Corporate Update</w:t>
      </w:r>
    </w:p>
    <w:p>
      <w:pPr>
        <w:spacing w:after="0" w:line="274"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20"/>
          <w:szCs w:val="20"/>
          <w:color w:val="C00000"/>
        </w:rPr>
      </w:pPr>
      <w:r>
        <w:rPr>
          <w:rFonts w:ascii="Arial" w:cs="Arial" w:eastAsia="Arial" w:hAnsi="Arial"/>
          <w:sz w:val="20"/>
          <w:szCs w:val="20"/>
          <w:b w:val="1"/>
          <w:bCs w:val="1"/>
          <w:color w:val="auto"/>
        </w:rPr>
        <w:t>Announced important clinical milestones for ACI-24 vaccine in Alzheimer's disease and Down Syndrome</w:t>
      </w:r>
    </w:p>
    <w:p>
      <w:pPr>
        <w:spacing w:after="0" w:line="214" w:lineRule="exact"/>
        <w:rPr>
          <w:rFonts w:ascii="Times New Roman" w:cs="Times New Roman" w:eastAsia="Times New Roman" w:hAnsi="Times New Roman"/>
          <w:sz w:val="20"/>
          <w:szCs w:val="20"/>
          <w:color w:val="C00000"/>
        </w:rPr>
      </w:pPr>
    </w:p>
    <w:p>
      <w:pPr>
        <w:ind w:left="340" w:hanging="332"/>
        <w:spacing w:after="0" w:line="278" w:lineRule="auto"/>
        <w:tabs>
          <w:tab w:leader="none" w:pos="340" w:val="left"/>
        </w:tabs>
        <w:numPr>
          <w:ilvl w:val="0"/>
          <w:numId w:val="17"/>
        </w:numPr>
        <w:rPr>
          <w:rFonts w:ascii="Times New Roman" w:cs="Times New Roman" w:eastAsia="Times New Roman" w:hAnsi="Times New Roman"/>
          <w:sz w:val="20"/>
          <w:szCs w:val="20"/>
          <w:color w:val="C00000"/>
        </w:rPr>
      </w:pPr>
      <w:r>
        <w:rPr>
          <w:rFonts w:ascii="Arial" w:cs="Arial" w:eastAsia="Arial" w:hAnsi="Arial"/>
          <w:sz w:val="20"/>
          <w:szCs w:val="20"/>
          <w:b w:val="1"/>
          <w:bCs w:val="1"/>
          <w:color w:val="auto"/>
        </w:rPr>
        <w:t>Company record high, period end cash position of approximately CHF 200 million that is expected to extend our cash runway to Q3 2021, excluding potential incoming milestones</w:t>
      </w:r>
    </w:p>
    <w:p>
      <w:pPr>
        <w:spacing w:after="0" w:line="114" w:lineRule="exact"/>
        <w:rPr>
          <w:rFonts w:ascii="Times New Roman" w:cs="Times New Roman" w:eastAsia="Times New Roman" w:hAnsi="Times New Roman"/>
          <w:sz w:val="20"/>
          <w:szCs w:val="20"/>
          <w:color w:val="C00000"/>
        </w:rPr>
      </w:pPr>
    </w:p>
    <w:p>
      <w:pPr>
        <w:ind w:left="340" w:hanging="332"/>
        <w:spacing w:after="0" w:line="278" w:lineRule="auto"/>
        <w:tabs>
          <w:tab w:leader="none" w:pos="340" w:val="left"/>
        </w:tabs>
        <w:numPr>
          <w:ilvl w:val="0"/>
          <w:numId w:val="17"/>
        </w:numPr>
        <w:rPr>
          <w:rFonts w:ascii="Times New Roman" w:cs="Times New Roman" w:eastAsia="Times New Roman" w:hAnsi="Times New Roman"/>
          <w:sz w:val="20"/>
          <w:szCs w:val="20"/>
          <w:color w:val="C00000"/>
        </w:rPr>
      </w:pPr>
      <w:r>
        <w:rPr>
          <w:rFonts w:ascii="Arial" w:cs="Arial" w:eastAsia="Arial" w:hAnsi="Arial"/>
          <w:sz w:val="20"/>
          <w:szCs w:val="20"/>
          <w:b w:val="1"/>
          <w:bCs w:val="1"/>
          <w:color w:val="auto"/>
        </w:rPr>
        <w:t>Successfully issued 10 million new shares via three offerings to raise gross proceeds of USD 117.5 (CHF 116.3) million</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Lausanne, Switzerland, November 13, 2018 </w:t>
      </w:r>
      <w:r>
        <w:rPr>
          <w:rFonts w:ascii="Arial" w:cs="Arial" w:eastAsia="Arial" w:hAnsi="Arial"/>
          <w:sz w:val="18"/>
          <w:szCs w:val="18"/>
          <w:color w:val="auto"/>
        </w:rPr>
        <w:t>– AC Immune SA (NASDAQ: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broad pipeline focused on neurodegenerative diseases, today announced financial results for the three and nine months ended September 30, 2018.</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Prof. Andrea Pfeifer, CEO of AC Immune, commented</w:t>
      </w:r>
      <w:r>
        <w:rPr>
          <w:rFonts w:ascii="Arial" w:cs="Arial" w:eastAsia="Arial" w:hAnsi="Arial"/>
          <w:sz w:val="18"/>
          <w:szCs w:val="18"/>
          <w:color w:val="auto"/>
        </w:rPr>
        <w:t>: “During the third quarter we raised USD 117.5 million, and broadened 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base with 11 new institutional investors. We are grateful for the continued support of our existing shareholders who also participated. These proceeds are expected to fund our three pillar strategy through at least 2021, excluding potential incoming milestones. This capital raise, and the established investors who participated, are a strong endorsement of our scientific pipeline and business model.”</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also continued to advance key assets in our pipeline, announcing both the start and dosing of the first patient in the Phase 2 trial with ACI-24 in patients with mild Alzheimer's disease and completing recruitment for the high-dose cohort of the Phase 1b study with ACI-24 for Abeta-related cognitive decline in individuals with Down Syndrome. Vaccines are potentially an important option for the treatment and prevention of neurodegenerative diseases and are one of our main targets for clinical development.</w:t>
      </w:r>
    </w:p>
    <w:p>
      <w:pPr>
        <w:spacing w:after="0" w:line="16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 new exploratory Phase 2 data analysis presented at the AAIC 2018</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showed that our lead product candidate crenezumab significantly reduces Abeta oligomers in cerebrospinal fluid in patients with Alzheimer’s disease. We are encouraged about crenezumab’s potential as a disease modifying therapy, particularly given its distinct differentiation from other beta-amyloid antibodies in terms of both target specificity and safety.”</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6</w:t>
      </w:r>
    </w:p>
    <w:p>
      <w:pPr>
        <w:ind w:left="140" w:hanging="132"/>
        <w:spacing w:after="0" w:line="194" w:lineRule="auto"/>
        <w:tabs>
          <w:tab w:leader="none" w:pos="1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Alzheimer’s Association International Conference, Chicago, July 22 - 26,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Key Financial Data – Unaudited (CHF million)</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4140" w:type="dxa"/>
            <w:vAlign w:val="bottom"/>
            <w:tcBorders>
              <w:top w:val="single" w:sz="8" w:color="auto"/>
              <w:left w:val="single" w:sz="8" w:color="auto"/>
              <w:right w:val="single" w:sz="8" w:color="auto"/>
            </w:tcBorders>
          </w:tcPr>
          <w:p>
            <w:pPr>
              <w:spacing w:after="0"/>
              <w:rPr>
                <w:sz w:val="16"/>
                <w:szCs w:val="16"/>
                <w:color w:val="auto"/>
              </w:rPr>
            </w:pPr>
          </w:p>
        </w:tc>
        <w:tc>
          <w:tcPr>
            <w:tcW w:w="3080" w:type="dxa"/>
            <w:vAlign w:val="bottom"/>
            <w:tcBorders>
              <w:top w:val="single" w:sz="8" w:color="auto"/>
            </w:tcBorders>
            <w:gridSpan w:val="3"/>
          </w:tcPr>
          <w:p>
            <w:pPr>
              <w:jc w:val="center"/>
              <w:ind w:left="416"/>
              <w:spacing w:after="0" w:line="191" w:lineRule="exact"/>
              <w:rPr>
                <w:sz w:val="20"/>
                <w:szCs w:val="20"/>
                <w:color w:val="auto"/>
              </w:rPr>
            </w:pPr>
            <w:r>
              <w:rPr>
                <w:rFonts w:ascii="Arial" w:cs="Arial" w:eastAsia="Arial" w:hAnsi="Arial"/>
                <w:sz w:val="18"/>
                <w:szCs w:val="18"/>
                <w:b w:val="1"/>
                <w:bCs w:val="1"/>
                <w:color w:val="auto"/>
                <w:w w:val="99"/>
              </w:rPr>
              <w:t>For the three months ended</w:t>
            </w:r>
          </w:p>
        </w:tc>
        <w:tc>
          <w:tcPr>
            <w:tcW w:w="580" w:type="dxa"/>
            <w:vAlign w:val="bottom"/>
            <w:tcBorders>
              <w:top w:val="single" w:sz="8" w:color="auto"/>
              <w:right w:val="single" w:sz="8" w:color="auto"/>
            </w:tcBorders>
          </w:tcPr>
          <w:p>
            <w:pPr>
              <w:spacing w:after="0"/>
              <w:rPr>
                <w:sz w:val="16"/>
                <w:szCs w:val="16"/>
                <w:color w:val="auto"/>
              </w:rPr>
            </w:pPr>
          </w:p>
        </w:tc>
        <w:tc>
          <w:tcPr>
            <w:tcW w:w="3620" w:type="dxa"/>
            <w:vAlign w:val="bottom"/>
            <w:tcBorders>
              <w:top w:val="single" w:sz="8" w:color="auto"/>
              <w:right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9"/>
              </w:rPr>
              <w:t>For the nine months ended September</w:t>
            </w:r>
          </w:p>
        </w:tc>
      </w:tr>
      <w:tr>
        <w:trPr>
          <w:trHeight w:val="227"/>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510"/>
              <w:spacing w:after="0"/>
              <w:rPr>
                <w:sz w:val="20"/>
                <w:szCs w:val="20"/>
                <w:color w:val="auto"/>
              </w:rPr>
            </w:pPr>
            <w:r>
              <w:rPr>
                <w:rFonts w:ascii="Arial" w:cs="Arial" w:eastAsia="Arial" w:hAnsi="Arial"/>
                <w:sz w:val="18"/>
                <w:szCs w:val="18"/>
                <w:b w:val="1"/>
                <w:bCs w:val="1"/>
                <w:color w:val="auto"/>
                <w:w w:val="99"/>
              </w:rPr>
              <w:t>September 30,</w:t>
            </w:r>
          </w:p>
        </w:tc>
        <w:tc>
          <w:tcPr>
            <w:tcW w:w="5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center"/>
              <w:ind w:right="1610"/>
              <w:spacing w:after="0"/>
              <w:rPr>
                <w:sz w:val="20"/>
                <w:szCs w:val="20"/>
                <w:color w:val="auto"/>
              </w:rPr>
            </w:pPr>
            <w:r>
              <w:rPr>
                <w:rFonts w:ascii="Arial" w:cs="Arial" w:eastAsia="Arial" w:hAnsi="Arial"/>
                <w:sz w:val="18"/>
                <w:szCs w:val="18"/>
                <w:b w:val="1"/>
                <w:bCs w:val="1"/>
                <w:color w:val="auto"/>
                <w:w w:val="95"/>
              </w:rPr>
              <w:t>30,</w:t>
            </w:r>
          </w:p>
        </w:tc>
      </w:tr>
      <w:tr>
        <w:trPr>
          <w:trHeight w:val="196"/>
        </w:trPr>
        <w:tc>
          <w:tcPr>
            <w:tcW w:w="4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7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ind w:right="552"/>
              <w:spacing w:after="0" w:line="196" w:lineRule="exact"/>
              <w:rPr>
                <w:sz w:val="20"/>
                <w:szCs w:val="20"/>
                <w:color w:val="auto"/>
              </w:rPr>
            </w:pPr>
            <w:r>
              <w:rPr>
                <w:rFonts w:ascii="Arial" w:cs="Arial" w:eastAsia="Arial" w:hAnsi="Arial"/>
                <w:sz w:val="18"/>
                <w:szCs w:val="18"/>
                <w:b w:val="1"/>
                <w:bCs w:val="1"/>
                <w:color w:val="auto"/>
              </w:rPr>
              <w:t>2018</w:t>
            </w:r>
          </w:p>
        </w:tc>
        <w:tc>
          <w:tcPr>
            <w:tcW w:w="1940" w:type="dxa"/>
            <w:vAlign w:val="bottom"/>
            <w:tcBorders>
              <w:bottom w:val="single" w:sz="8" w:color="auto"/>
              <w:right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2017</w:t>
            </w:r>
          </w:p>
        </w:tc>
      </w:tr>
      <w:tr>
        <w:trPr>
          <w:trHeight w:val="156"/>
        </w:trPr>
        <w:tc>
          <w:tcPr>
            <w:tcW w:w="4140" w:type="dxa"/>
            <w:vAlign w:val="bottom"/>
            <w:tcBorders>
              <w:left w:val="single" w:sz="8" w:color="auto"/>
              <w:bottom w:val="single" w:sz="8" w:color="auto"/>
              <w:right w:val="single" w:sz="8" w:color="auto"/>
            </w:tcBorders>
          </w:tcPr>
          <w:p>
            <w:pPr>
              <w:spacing w:after="0"/>
              <w:rPr>
                <w:sz w:val="13"/>
                <w:szCs w:val="13"/>
                <w:color w:val="auto"/>
              </w:rPr>
            </w:pPr>
          </w:p>
        </w:tc>
        <w:tc>
          <w:tcPr>
            <w:tcW w:w="3080" w:type="dxa"/>
            <w:vAlign w:val="bottom"/>
            <w:tcBorders>
              <w:bottom w:val="single" w:sz="8" w:color="auto"/>
            </w:tcBorders>
            <w:gridSpan w:val="3"/>
          </w:tcPr>
          <w:p>
            <w:pPr>
              <w:jc w:val="center"/>
              <w:ind w:left="456"/>
              <w:spacing w:after="0" w:line="155" w:lineRule="exact"/>
              <w:rPr>
                <w:sz w:val="20"/>
                <w:szCs w:val="20"/>
                <w:color w:val="auto"/>
              </w:rPr>
            </w:pPr>
            <w:r>
              <w:rPr>
                <w:rFonts w:ascii="Arial" w:cs="Arial" w:eastAsia="Arial" w:hAnsi="Arial"/>
                <w:sz w:val="14"/>
                <w:szCs w:val="14"/>
                <w:color w:val="auto"/>
              </w:rPr>
              <w:t>(in CHF million except per share data)</w:t>
            </w:r>
          </w:p>
        </w:tc>
        <w:tc>
          <w:tcPr>
            <w:tcW w:w="580" w:type="dxa"/>
            <w:vAlign w:val="bottom"/>
            <w:tcBorders>
              <w:bottom w:val="single" w:sz="8" w:color="auto"/>
              <w:right w:val="single" w:sz="8" w:color="auto"/>
            </w:tcBorders>
          </w:tcPr>
          <w:p>
            <w:pPr>
              <w:spacing w:after="0"/>
              <w:rPr>
                <w:sz w:val="13"/>
                <w:szCs w:val="13"/>
                <w:color w:val="auto"/>
              </w:rPr>
            </w:pPr>
          </w:p>
        </w:tc>
        <w:tc>
          <w:tcPr>
            <w:tcW w:w="3620" w:type="dxa"/>
            <w:vAlign w:val="bottom"/>
            <w:tcBorders>
              <w:bottom w:val="single" w:sz="8" w:color="auto"/>
              <w:right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rPr>
              <w:t>(in CHF million except per share data)</w:t>
            </w:r>
          </w:p>
        </w:tc>
      </w:tr>
      <w:tr>
        <w:trPr>
          <w:trHeight w:val="196"/>
        </w:trPr>
        <w:tc>
          <w:tcPr>
            <w:tcW w:w="41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r>
      <w:tr>
        <w:trPr>
          <w:trHeight w:val="196"/>
        </w:trPr>
        <w:tc>
          <w:tcPr>
            <w:tcW w:w="41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R&amp;D expenses</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(32.2)</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(22.5)</w:t>
            </w:r>
          </w:p>
        </w:tc>
      </w:tr>
      <w:tr>
        <w:trPr>
          <w:trHeight w:val="196"/>
        </w:trPr>
        <w:tc>
          <w:tcPr>
            <w:tcW w:w="41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G&amp;A expenses</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r>
      <w:tr>
        <w:trPr>
          <w:trHeight w:val="196"/>
        </w:trPr>
        <w:tc>
          <w:tcPr>
            <w:tcW w:w="41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IFRS Loss for the period</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(13.5)</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(36.3)</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(30.6)</w:t>
            </w:r>
          </w:p>
        </w:tc>
      </w:tr>
      <w:tr>
        <w:trPr>
          <w:trHeight w:val="196"/>
        </w:trPr>
        <w:tc>
          <w:tcPr>
            <w:tcW w:w="41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IFRS Loss per Share – basic and diluted</w:t>
            </w: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16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(0.61)</w:t>
            </w:r>
          </w:p>
        </w:tc>
        <w:tc>
          <w:tcPr>
            <w:tcW w:w="1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r>
      <w:tr>
        <w:trPr>
          <w:trHeight w:val="196"/>
        </w:trPr>
        <w:tc>
          <w:tcPr>
            <w:tcW w:w="4140" w:type="dxa"/>
            <w:vAlign w:val="bottom"/>
            <w:tcBorders>
              <w:left w:val="single" w:sz="8" w:color="auto"/>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r>
      <w:tr>
        <w:trPr>
          <w:trHeight w:val="237"/>
        </w:trPr>
        <w:tc>
          <w:tcPr>
            <w:tcW w:w="4140" w:type="dxa"/>
            <w:vAlign w:val="bottom"/>
            <w:tcBorders>
              <w:left w:val="single" w:sz="8" w:color="auto"/>
              <w:bottom w:val="single" w:sz="8" w:color="auto"/>
              <w:right w:val="single" w:sz="8" w:color="auto"/>
            </w:tcBorders>
          </w:tcPr>
          <w:p>
            <w:pPr>
              <w:ind w:left="60"/>
              <w:spacing w:after="0" w:line="236" w:lineRule="exact"/>
              <w:rPr>
                <w:sz w:val="20"/>
                <w:szCs w:val="20"/>
                <w:color w:val="auto"/>
              </w:rPr>
            </w:pPr>
            <w:r>
              <w:rPr>
                <w:rFonts w:ascii="Arial" w:cs="Arial" w:eastAsia="Arial" w:hAnsi="Arial"/>
                <w:sz w:val="17"/>
                <w:szCs w:val="17"/>
                <w:color w:val="auto"/>
              </w:rPr>
              <w:t>Adjusted Loss for the period</w:t>
            </w:r>
            <w:r>
              <w:rPr>
                <w:rFonts w:ascii="Arial" w:cs="Arial" w:eastAsia="Arial" w:hAnsi="Arial"/>
                <w:sz w:val="27"/>
                <w:szCs w:val="27"/>
                <w:color w:val="auto"/>
                <w:vertAlign w:val="superscript"/>
              </w:rPr>
              <w:t>1</w:t>
            </w: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4140" w:type="dxa"/>
            <w:vAlign w:val="bottom"/>
            <w:tcBorders>
              <w:left w:val="single" w:sz="8" w:color="auto"/>
              <w:bottom w:val="single" w:sz="8" w:color="auto"/>
              <w:right w:val="single" w:sz="8" w:color="auto"/>
            </w:tcBorders>
          </w:tcPr>
          <w:p>
            <w:pPr>
              <w:ind w:left="60"/>
              <w:spacing w:after="0" w:line="236" w:lineRule="exact"/>
              <w:rPr>
                <w:sz w:val="20"/>
                <w:szCs w:val="20"/>
                <w:color w:val="auto"/>
              </w:rPr>
            </w:pPr>
            <w:r>
              <w:rPr>
                <w:rFonts w:ascii="Arial" w:cs="Arial" w:eastAsia="Arial" w:hAnsi="Arial"/>
                <w:sz w:val="17"/>
                <w:szCs w:val="17"/>
                <w:color w:val="auto"/>
              </w:rPr>
              <w:t>Adjusted Loss Share – basic and diluted</w:t>
            </w:r>
            <w:r>
              <w:rPr>
                <w:rFonts w:ascii="Arial" w:cs="Arial" w:eastAsia="Arial" w:hAnsi="Arial"/>
                <w:sz w:val="27"/>
                <w:szCs w:val="27"/>
                <w:color w:val="auto"/>
                <w:vertAlign w:val="superscript"/>
              </w:rPr>
              <w:t>1</w:t>
            </w: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(0.44)</w:t>
            </w:r>
          </w:p>
        </w:tc>
      </w:tr>
    </w:tbl>
    <w:p>
      <w:pPr>
        <w:spacing w:after="0" w:line="180" w:lineRule="exact"/>
        <w:rPr>
          <w:sz w:val="20"/>
          <w:szCs w:val="20"/>
          <w:color w:val="auto"/>
        </w:rPr>
      </w:pPr>
    </w:p>
    <w:p>
      <w:pPr>
        <w:ind w:left="340" w:right="200" w:hanging="332"/>
        <w:spacing w:after="0" w:line="276"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Adjusted (Loss) and Adjusted Loss per Share are non-IFRS measures. See “Non-IFRS Financial Measures” below for further information and reconciliation to the most directly comparable IFRS measures.</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4140" w:type="dxa"/>
            <w:vAlign w:val="bottom"/>
            <w:tcBorders>
              <w:top w:val="single" w:sz="8" w:color="auto"/>
              <w:left w:val="single" w:sz="8" w:color="auto"/>
              <w:right w:val="single" w:sz="8" w:color="auto"/>
            </w:tcBorders>
          </w:tcPr>
          <w:p>
            <w:pPr>
              <w:spacing w:after="0"/>
              <w:rPr>
                <w:sz w:val="16"/>
                <w:szCs w:val="16"/>
                <w:color w:val="auto"/>
              </w:rPr>
            </w:pPr>
          </w:p>
        </w:tc>
        <w:tc>
          <w:tcPr>
            <w:tcW w:w="1980" w:type="dxa"/>
            <w:vAlign w:val="bottom"/>
            <w:tcBorders>
              <w:top w:val="single" w:sz="8" w:color="auto"/>
            </w:tcBorders>
          </w:tcPr>
          <w:p>
            <w:pPr>
              <w:jc w:val="center"/>
              <w:ind w:left="630"/>
              <w:spacing w:after="0" w:line="191" w:lineRule="exact"/>
              <w:rPr>
                <w:sz w:val="20"/>
                <w:szCs w:val="20"/>
                <w:color w:val="auto"/>
              </w:rPr>
            </w:pPr>
            <w:r>
              <w:rPr>
                <w:rFonts w:ascii="Arial" w:cs="Arial" w:eastAsia="Arial" w:hAnsi="Arial"/>
                <w:sz w:val="18"/>
                <w:szCs w:val="18"/>
                <w:b w:val="1"/>
                <w:bCs w:val="1"/>
                <w:color w:val="auto"/>
              </w:rPr>
              <w:t>As of</w:t>
            </w:r>
          </w:p>
        </w:tc>
        <w:tc>
          <w:tcPr>
            <w:tcW w:w="760" w:type="dxa"/>
            <w:vAlign w:val="bottom"/>
            <w:tcBorders>
              <w:top w:val="single" w:sz="8" w:color="auto"/>
              <w:right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jc w:val="center"/>
              <w:ind w:right="350"/>
              <w:spacing w:after="0" w:line="191" w:lineRule="exact"/>
              <w:rPr>
                <w:sz w:val="20"/>
                <w:szCs w:val="20"/>
                <w:color w:val="auto"/>
              </w:rPr>
            </w:pPr>
            <w:r>
              <w:rPr>
                <w:rFonts w:ascii="Arial" w:cs="Arial" w:eastAsia="Arial" w:hAnsi="Arial"/>
                <w:sz w:val="18"/>
                <w:szCs w:val="18"/>
                <w:b w:val="1"/>
                <w:bCs w:val="1"/>
                <w:color w:val="auto"/>
                <w:w w:val="97"/>
              </w:rPr>
              <w:t>As of</w:t>
            </w:r>
          </w:p>
        </w:tc>
        <w:tc>
          <w:tcPr>
            <w:tcW w:w="2260" w:type="dxa"/>
            <w:vAlign w:val="bottom"/>
            <w:tcBorders>
              <w:top w:val="single" w:sz="8" w:color="auto"/>
              <w:right w:val="single" w:sz="8" w:color="auto"/>
            </w:tcBorders>
          </w:tcPr>
          <w:p>
            <w:pPr>
              <w:spacing w:after="0"/>
              <w:rPr>
                <w:sz w:val="16"/>
                <w:szCs w:val="16"/>
                <w:color w:val="auto"/>
              </w:rPr>
            </w:pPr>
          </w:p>
        </w:tc>
      </w:tr>
      <w:tr>
        <w:trPr>
          <w:trHeight w:val="227"/>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19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September 30,</w:t>
            </w:r>
          </w:p>
        </w:tc>
        <w:tc>
          <w:tcPr>
            <w:tcW w:w="7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December 31,</w:t>
            </w:r>
          </w:p>
        </w:tc>
        <w:tc>
          <w:tcPr>
            <w:tcW w:w="2260" w:type="dxa"/>
            <w:vAlign w:val="bottom"/>
            <w:tcBorders>
              <w:bottom w:val="single" w:sz="8" w:color="auto"/>
              <w:right w:val="single" w:sz="8" w:color="auto"/>
            </w:tcBorders>
          </w:tcPr>
          <w:p>
            <w:pPr>
              <w:spacing w:after="0"/>
              <w:rPr>
                <w:sz w:val="19"/>
                <w:szCs w:val="19"/>
                <w:color w:val="auto"/>
              </w:rPr>
            </w:pPr>
          </w:p>
        </w:tc>
      </w:tr>
      <w:tr>
        <w:trPr>
          <w:trHeight w:val="196"/>
        </w:trPr>
        <w:tc>
          <w:tcPr>
            <w:tcW w:w="4140" w:type="dxa"/>
            <w:vAlign w:val="bottom"/>
            <w:tcBorders>
              <w:left w:val="single" w:sz="8" w:color="auto"/>
              <w:bottom w:val="single" w:sz="8" w:color="auto"/>
              <w:right w:val="single" w:sz="8" w:color="auto"/>
            </w:tcBorders>
          </w:tcPr>
          <w:p>
            <w:pPr>
              <w:spacing w:after="0"/>
              <w:rPr>
                <w:sz w:val="17"/>
                <w:szCs w:val="17"/>
                <w:color w:val="auto"/>
              </w:rPr>
            </w:pPr>
          </w:p>
        </w:tc>
        <w:tc>
          <w:tcPr>
            <w:tcW w:w="1980" w:type="dxa"/>
            <w:vAlign w:val="bottom"/>
            <w:tcBorders>
              <w:bottom w:val="single" w:sz="8" w:color="auto"/>
            </w:tcBorders>
          </w:tcPr>
          <w:p>
            <w:pPr>
              <w:jc w:val="center"/>
              <w:ind w:left="650"/>
              <w:spacing w:after="0" w:line="196" w:lineRule="exact"/>
              <w:rPr>
                <w:sz w:val="20"/>
                <w:szCs w:val="20"/>
                <w:color w:val="auto"/>
              </w:rPr>
            </w:pPr>
            <w:r>
              <w:rPr>
                <w:rFonts w:ascii="Arial" w:cs="Arial" w:eastAsia="Arial" w:hAnsi="Arial"/>
                <w:sz w:val="18"/>
                <w:szCs w:val="18"/>
                <w:b w:val="1"/>
                <w:bCs w:val="1"/>
                <w:color w:val="auto"/>
                <w:w w:val="99"/>
              </w:rPr>
              <w:t>2018</w:t>
            </w:r>
          </w:p>
        </w:tc>
        <w:tc>
          <w:tcPr>
            <w:tcW w:w="76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ind w:right="350"/>
              <w:spacing w:after="0" w:line="196" w:lineRule="exact"/>
              <w:rPr>
                <w:sz w:val="20"/>
                <w:szCs w:val="20"/>
                <w:color w:val="auto"/>
              </w:rPr>
            </w:pPr>
            <w:r>
              <w:rPr>
                <w:rFonts w:ascii="Arial" w:cs="Arial" w:eastAsia="Arial" w:hAnsi="Arial"/>
                <w:sz w:val="18"/>
                <w:szCs w:val="18"/>
                <w:b w:val="1"/>
                <w:bCs w:val="1"/>
                <w:color w:val="auto"/>
                <w:w w:val="99"/>
              </w:rPr>
              <w:t>2017</w:t>
            </w:r>
          </w:p>
        </w:tc>
        <w:tc>
          <w:tcPr>
            <w:tcW w:w="2260" w:type="dxa"/>
            <w:vAlign w:val="bottom"/>
            <w:tcBorders>
              <w:bottom w:val="single" w:sz="8" w:color="auto"/>
              <w:right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Change</w:t>
            </w:r>
          </w:p>
        </w:tc>
      </w:tr>
      <w:tr>
        <w:trPr>
          <w:trHeight w:val="156"/>
        </w:trPr>
        <w:tc>
          <w:tcPr>
            <w:tcW w:w="4140" w:type="dxa"/>
            <w:vAlign w:val="bottom"/>
            <w:tcBorders>
              <w:left w:val="single" w:sz="8" w:color="auto"/>
              <w:bottom w:val="single" w:sz="8" w:color="auto"/>
              <w:right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(in CHF million)</w:t>
            </w:r>
          </w:p>
        </w:tc>
        <w:tc>
          <w:tcPr>
            <w:tcW w:w="188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r>
      <w:tr>
        <w:trPr>
          <w:trHeight w:val="196"/>
        </w:trPr>
        <w:tc>
          <w:tcPr>
            <w:tcW w:w="41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Cash and cash equivalents</w:t>
            </w:r>
          </w:p>
        </w:tc>
        <w:tc>
          <w:tcPr>
            <w:tcW w:w="19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199.1</w:t>
            </w: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2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74.7</w:t>
            </w:r>
          </w:p>
        </w:tc>
      </w:tr>
      <w:tr>
        <w:trPr>
          <w:trHeight w:val="196"/>
        </w:trPr>
        <w:tc>
          <w:tcPr>
            <w:tcW w:w="414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Total shareholder’s equity</w:t>
            </w:r>
          </w:p>
        </w:tc>
        <w:tc>
          <w:tcPr>
            <w:tcW w:w="19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192.0</w:t>
            </w: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116.8</w:t>
            </w:r>
          </w:p>
        </w:tc>
        <w:tc>
          <w:tcPr>
            <w:tcW w:w="22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75.2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2018 Company Highlights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Vaccine for Alzheimer's Disease</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 has started the Phase 2 study with ACI-24 in patients with mild Alzheimer's disease (AD). The aim of this double-blind, randomized, placebo-controlled study with an adaptive design is to assess the safety, tolerability, immunogenicity, target engagement, biomarkers and clinical efficacy of ACI-24. The trial will seek to confirm the positive trends on Abeta PET imaging and clinical measurement (CDR-SB°) of the previous Phase 1 safety study. The Phase 2 trial will be conducted in several European countries and the first patients have been screened.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in Down Syndrome</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 has completed recruitment for the high-dose cohort of the ACI-24 Phase 1b study for the treatment of Alzheimer's disease-like characteristics in adults with Down Syndrome (DS), a condition affecting approximately one in 700 newborns. The first low-dose and the second high-dose cohorts have been fully recruited in August 2017 and in July 2018 respectively, and interim results of the low dose cohort are expected later in 2018. In addition to cognitive dysfunction beginning in childhood, individuals with DS are genetically-predisposed to develop Abeta-related cognitive decline at a much younger age and with much greater probability than the general population.</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are available in our corresponding Statements of Cash Flows filed with our Form 6-K, published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Closing of Three Primary Offerings for 10,000,000 Common Shares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July, the Company completed three offerings, totaling 10,000,000 new common shares at a price per share of USD 11.75, from which the Company obtained gross proceeds of approximately USD 117.5 million (CHF 116.3 million). Net underwriting fees and transaction costs totaled CHF 6.8 million, yielding net proceeds of CHF 109.5 million.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2018 Financial Highlights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revenues fluctuate as a result of our collaborations with current and potentially new partners, the timing of milestone achievements, and the size of each milestone payment.</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generated revenues of CHF 2.3 million in the three months ended September 30, 2018, an increase of CHF 1.2 million over the comparable period in 2017. Contract revenues improved due to an incremental CHF 0.8 million for research and development services performed for the anti-pTau Vaccine (ACI-35) together with Janssen, CHF</w:t>
      </w:r>
      <w:r>
        <w:rPr>
          <w:rFonts w:ascii="Arial" w:cs="Arial" w:eastAsia="Arial" w:hAnsi="Arial"/>
          <w:sz w:val="18"/>
          <w:szCs w:val="18"/>
          <w:color w:val="FFFFFF"/>
        </w:rPr>
        <w:t>°</w:t>
      </w:r>
      <w:r>
        <w:rPr>
          <w:rFonts w:ascii="Arial" w:cs="Arial" w:eastAsia="Arial" w:hAnsi="Arial"/>
          <w:sz w:val="18"/>
          <w:szCs w:val="18"/>
          <w:color w:val="auto"/>
        </w:rPr>
        <w:t>0.2</w:t>
      </w:r>
      <w:r>
        <w:rPr>
          <w:rFonts w:ascii="Arial" w:cs="Arial" w:eastAsia="Arial" w:hAnsi="Arial"/>
          <w:sz w:val="18"/>
          <w:szCs w:val="18"/>
          <w:color w:val="FFFFFF"/>
        </w:rPr>
        <w:t>°</w:t>
      </w:r>
      <w:r>
        <w:rPr>
          <w:rFonts w:ascii="Arial" w:cs="Arial" w:eastAsia="Arial" w:hAnsi="Arial"/>
          <w:sz w:val="18"/>
          <w:szCs w:val="18"/>
          <w:color w:val="auto"/>
        </w:rPr>
        <w:t>million related to the TDP-43 PET Imaging Tracers Biogen collaboration and CHF 0.1 million for research services provided to Essex Bio-Technology. We also recognized CHF 0.1 million in grant revenue from the Michael J. Fox Foundation.</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recognized CHF 5.8 million in the nine months ended September 30, 2018, a CHF</w:t>
      </w:r>
      <w:r>
        <w:rPr>
          <w:rFonts w:ascii="Arial" w:cs="Arial" w:eastAsia="Arial" w:hAnsi="Arial"/>
          <w:sz w:val="18"/>
          <w:szCs w:val="18"/>
          <w:color w:val="FFFFFF"/>
        </w:rPr>
        <w:t>°</w:t>
      </w:r>
      <w:r>
        <w:rPr>
          <w:rFonts w:ascii="Arial" w:cs="Arial" w:eastAsia="Arial" w:hAnsi="Arial"/>
          <w:sz w:val="18"/>
          <w:szCs w:val="18"/>
          <w:color w:val="auto"/>
        </w:rPr>
        <w:t>2.0</w:t>
      </w:r>
      <w:r>
        <w:rPr>
          <w:rFonts w:ascii="Arial" w:cs="Arial" w:eastAsia="Arial" w:hAnsi="Arial"/>
          <w:sz w:val="18"/>
          <w:szCs w:val="18"/>
          <w:color w:val="FFFFFF"/>
        </w:rPr>
        <w:t>°</w:t>
      </w:r>
      <w:r>
        <w:rPr>
          <w:rFonts w:ascii="Arial" w:cs="Arial" w:eastAsia="Arial" w:hAnsi="Arial"/>
          <w:sz w:val="18"/>
          <w:szCs w:val="18"/>
          <w:color w:val="auto"/>
        </w:rPr>
        <w:t>million increase over the comparable period in 2017. Contract revenues improved principally due to increases of CHF 1.6 million for research and development services performed for the anti-pTau Vaccine (ACI-35) together with Janssen, CHF</w:t>
      </w:r>
      <w:r>
        <w:rPr>
          <w:rFonts w:ascii="Arial" w:cs="Arial" w:eastAsia="Arial" w:hAnsi="Arial"/>
          <w:sz w:val="18"/>
          <w:szCs w:val="18"/>
          <w:color w:val="FFFFFF"/>
        </w:rPr>
        <w:t>°</w:t>
      </w:r>
      <w:r>
        <w:rPr>
          <w:rFonts w:ascii="Arial" w:cs="Arial" w:eastAsia="Arial" w:hAnsi="Arial"/>
          <w:sz w:val="18"/>
          <w:szCs w:val="18"/>
          <w:color w:val="auto"/>
        </w:rPr>
        <w:t>0.5 million for research services provided to Essex Bio-Technology and CHF 0.5 million for research and development revenues from Biogen. The Company also recorded CHF 0.3 million in grant revenue from the Michael J. Fox Foundation. This was offset by a non-recurring CHF 1.1 million milestone in Q1 2017 from Life Molecular Imaging (formerly Piramal Imaging).</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three months ended September 30, 2018, AC Immune invested CHF 11.5 million in research and development, compared with CHF 8.2 million for the same period in 2017. The increase in R&amp;D spending was primarily driven by investments in a variety of our programs. In our Alzheimer’s disease programs, this includes an incremental CHF 1.6 million for our anti-pTau Vaccine (ACI-35) program. The increase in our discovery programs of CHF 1.4 million was driven by a variety of projects including CHF 0.3 million related to the continued proof of concept studies and additional manufacturing activities of our lead compounds in the Tau Morphomers and a CHF 0.4 million increase related to manufacturing activities in our vaccine technology program.</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nine months ended September 30, 2018, AC Immune invested CHF 32.2 million in research and development, compared with CHF 22.5 million for the same period in 2017. The increase in R&amp;D spending was primarily driven by investments of CHF</w:t>
      </w:r>
      <w:r>
        <w:rPr>
          <w:rFonts w:ascii="Arial" w:cs="Arial" w:eastAsia="Arial" w:hAnsi="Arial"/>
          <w:sz w:val="18"/>
          <w:szCs w:val="18"/>
          <w:color w:val="FFFFFF"/>
        </w:rPr>
        <w:t>°</w:t>
      </w:r>
      <w:r>
        <w:rPr>
          <w:rFonts w:ascii="Arial" w:cs="Arial" w:eastAsia="Arial" w:hAnsi="Arial"/>
          <w:sz w:val="18"/>
          <w:szCs w:val="18"/>
          <w:color w:val="auto"/>
        </w:rPr>
        <w:t>3.8</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are available in our corresponding Statements of Cash Flows filed with our Form 6-K, published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33" w:name="page34"/>
    <w:bookmarkEnd w:id="33"/>
    <w:p>
      <w:pPr>
        <w:jc w:val="both"/>
        <w:spacing w:after="0" w:line="245" w:lineRule="auto"/>
        <w:rPr>
          <w:sz w:val="20"/>
          <w:szCs w:val="20"/>
          <w:color w:val="auto"/>
        </w:rPr>
      </w:pPr>
      <w:r>
        <w:rPr>
          <w:rFonts w:ascii="Arial" w:cs="Arial" w:eastAsia="Arial" w:hAnsi="Arial"/>
          <w:sz w:val="18"/>
          <w:szCs w:val="18"/>
          <w:color w:val="auto"/>
        </w:rPr>
        <w:t>million in our Alzheimer’s disease programs, specifically a CHF 1.2 million increase for our ACI-24 program in Alzheimer’s disease (AD) to start-up the Phase 2 study. We also invested an incremental CHF 2.8 million for our anti-pTau Vaccine (ACI-35) program. Importantly, we increased our investments in our Discovery programs by CHF</w:t>
      </w:r>
      <w:r>
        <w:rPr>
          <w:rFonts w:ascii="Arial" w:cs="Arial" w:eastAsia="Arial" w:hAnsi="Arial"/>
          <w:sz w:val="18"/>
          <w:szCs w:val="18"/>
          <w:color w:val="FFFFFF"/>
        </w:rPr>
        <w:t>°</w:t>
      </w:r>
      <w:r>
        <w:rPr>
          <w:rFonts w:ascii="Arial" w:cs="Arial" w:eastAsia="Arial" w:hAnsi="Arial"/>
          <w:sz w:val="18"/>
          <w:szCs w:val="18"/>
          <w:color w:val="auto"/>
        </w:rPr>
        <w:t>3.9 million, driven by a CHF 1.8 million increase for preparing the Phase 1 entry of our lead compounds in the Tau Morphomers™ program. Additionally, there were CHF</w:t>
      </w:r>
      <w:r>
        <w:rPr>
          <w:rFonts w:ascii="Arial" w:cs="Arial" w:eastAsia="Arial" w:hAnsi="Arial"/>
          <w:sz w:val="18"/>
          <w:szCs w:val="18"/>
          <w:color w:val="FFFFFF"/>
        </w:rPr>
        <w:t>°</w:t>
      </w:r>
      <w:r>
        <w:rPr>
          <w:rFonts w:ascii="Arial" w:cs="Arial" w:eastAsia="Arial" w:hAnsi="Arial"/>
          <w:sz w:val="18"/>
          <w:szCs w:val="18"/>
          <w:color w:val="auto"/>
        </w:rPr>
        <w:t>0.6 million increases related to our vaccine technology program and CHF</w:t>
      </w:r>
      <w:r>
        <w:rPr>
          <w:rFonts w:ascii="Arial" w:cs="Arial" w:eastAsia="Arial" w:hAnsi="Arial"/>
          <w:sz w:val="18"/>
          <w:szCs w:val="18"/>
          <w:color w:val="FFFFFF"/>
        </w:rPr>
        <w:t>°</w:t>
      </w:r>
      <w:r>
        <w:rPr>
          <w:rFonts w:ascii="Arial" w:cs="Arial" w:eastAsia="Arial" w:hAnsi="Arial"/>
          <w:sz w:val="18"/>
          <w:szCs w:val="18"/>
          <w:color w:val="auto"/>
        </w:rPr>
        <w:t>0.5</w:t>
      </w:r>
      <w:r>
        <w:rPr>
          <w:rFonts w:ascii="Arial" w:cs="Arial" w:eastAsia="Arial" w:hAnsi="Arial"/>
          <w:sz w:val="18"/>
          <w:szCs w:val="18"/>
          <w:color w:val="FFFFFF"/>
        </w:rPr>
        <w:t>°</w:t>
      </w:r>
      <w:r>
        <w:rPr>
          <w:rFonts w:ascii="Arial" w:cs="Arial" w:eastAsia="Arial" w:hAnsi="Arial"/>
          <w:sz w:val="18"/>
          <w:szCs w:val="18"/>
          <w:color w:val="auto"/>
        </w:rPr>
        <w:t>million for our anti-alpha-Synuclein antibody.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General and administrative expenses amounted to CHF 2.9 million in the three months ended September 30, 2018, compared with CHF 2.5 million in the same period in 2017. For the nine months ended September 30, 2018, and 2017, general and administrative expenses were CHF 8.7 million and CHF 7.0 million, respectively. The changes predominantly related to increases in personnel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Loss for the period</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the three months ended September 30, 2018, the Company had a net loss of CHF 13.5 million compared with net loss of CHF 8.8 million for the same period in 2017. The increased net loss for this three month period was partly attributable to the CHF 3.8 million increase in R&amp;D and G&amp;A expenses and CHF 2.2 million decrease in Finance result offset by the CHF 1.2 million in revenues additional revenues.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2018, the Company had a net loss of CHF 36.3 million compared with net loss of CHF 30.6 million for the same period in 2017. The increase in net loss for this nine month period was attributable to the increased spending of CHF 11.3 million in R&amp;D and G&amp;A expenses offset by gains in our Finance result of CHF 3.6 million and CHF 2.0 million in revenues.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September 30, 2018, AC Immune had total cash and cash equivalents of CHF 199.1 million compared to CHF</w:t>
      </w:r>
      <w:r>
        <w:rPr>
          <w:rFonts w:ascii="Arial" w:cs="Arial" w:eastAsia="Arial" w:hAnsi="Arial"/>
          <w:sz w:val="18"/>
          <w:szCs w:val="18"/>
          <w:color w:val="FFFFFF"/>
        </w:rPr>
        <w:t>°</w:t>
      </w:r>
      <w:r>
        <w:rPr>
          <w:rFonts w:ascii="Arial" w:cs="Arial" w:eastAsia="Arial" w:hAnsi="Arial"/>
          <w:sz w:val="18"/>
          <w:szCs w:val="18"/>
          <w:color w:val="auto"/>
        </w:rPr>
        <w:t>124.4 million as of December 31, 2017. This CHF 74.7 million increase was principally due to the Company’s three follow on offerings which yielded a CHF 109.5 million in proceeds, after deducting underwriting fees and transaction costs. Net cash flows used in operating activities of CHF 32.3 million offset this cash increase, due to the higher investments in our major discovery and development programs, and the continued strengthening of the Company’s infrastructure, systems and organization as a publicly-traded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are available in our corresponding Statements of Cash Flows filed with our Form 6-K, published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ongoing operating performance. Adjusted Loss per Share is defined as Adjusted Loss for the relevant period divided by the weighted-average number of shares for such period. The following table reconciles net loss to Adjusted Loss and Adjusted Loss per Share for the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 to Adjusted Loss and Loss Per Share to Adjusted Loss Per Share (unaudited)</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4720" w:type="dxa"/>
            <w:vAlign w:val="bottom"/>
            <w:tcBorders>
              <w:top w:val="single" w:sz="8" w:color="auto"/>
              <w:left w:val="single" w:sz="8" w:color="auto"/>
              <w:right w:val="single" w:sz="8" w:color="auto"/>
            </w:tcBorders>
          </w:tcPr>
          <w:p>
            <w:pPr>
              <w:spacing w:after="0"/>
              <w:rPr>
                <w:sz w:val="16"/>
                <w:szCs w:val="16"/>
                <w:color w:val="auto"/>
              </w:rPr>
            </w:pPr>
          </w:p>
        </w:tc>
        <w:tc>
          <w:tcPr>
            <w:tcW w:w="3420" w:type="dxa"/>
            <w:vAlign w:val="bottom"/>
            <w:tcBorders>
              <w:top w:val="single" w:sz="8" w:color="auto"/>
              <w:right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99"/>
              </w:rPr>
              <w:t>For the three months ended</w:t>
            </w:r>
          </w:p>
        </w:tc>
        <w:tc>
          <w:tcPr>
            <w:tcW w:w="3280" w:type="dxa"/>
            <w:vAlign w:val="bottom"/>
            <w:tcBorders>
              <w:top w:val="single" w:sz="8" w:color="auto"/>
              <w:right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27"/>
        </w:trPr>
        <w:tc>
          <w:tcPr>
            <w:tcW w:w="4720" w:type="dxa"/>
            <w:vAlign w:val="bottom"/>
            <w:tcBorders>
              <w:left w:val="single" w:sz="8" w:color="auto"/>
              <w:bottom w:val="single" w:sz="8" w:color="auto"/>
              <w:right w:val="single" w:sz="8" w:color="auto"/>
            </w:tcBorders>
          </w:tcPr>
          <w:p>
            <w:pPr>
              <w:spacing w:after="0"/>
              <w:rPr>
                <w:sz w:val="19"/>
                <w:szCs w:val="19"/>
                <w:color w:val="auto"/>
              </w:rPr>
            </w:pPr>
          </w:p>
        </w:tc>
        <w:tc>
          <w:tcPr>
            <w:tcW w:w="2360" w:type="dxa"/>
            <w:vAlign w:val="bottom"/>
            <w:tcBorders>
              <w:bottom w:val="single" w:sz="8" w:color="auto"/>
            </w:tcBorders>
            <w:gridSpan w:val="2"/>
          </w:tcPr>
          <w:p>
            <w:pPr>
              <w:jc w:val="center"/>
              <w:ind w:left="931"/>
              <w:spacing w:after="0"/>
              <w:rPr>
                <w:sz w:val="20"/>
                <w:szCs w:val="20"/>
                <w:color w:val="auto"/>
              </w:rPr>
            </w:pPr>
            <w:r>
              <w:rPr>
                <w:rFonts w:ascii="Arial" w:cs="Arial" w:eastAsia="Arial" w:hAnsi="Arial"/>
                <w:sz w:val="18"/>
                <w:szCs w:val="18"/>
                <w:b w:val="1"/>
                <w:bCs w:val="1"/>
                <w:color w:val="auto"/>
                <w:w w:val="99"/>
              </w:rPr>
              <w:t>September 30,</w:t>
            </w:r>
          </w:p>
        </w:tc>
        <w:tc>
          <w:tcPr>
            <w:tcW w:w="106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tcBorders>
            <w:gridSpan w:val="2"/>
          </w:tcPr>
          <w:p>
            <w:pPr>
              <w:jc w:val="center"/>
              <w:ind w:left="911"/>
              <w:spacing w:after="0"/>
              <w:rPr>
                <w:sz w:val="20"/>
                <w:szCs w:val="20"/>
                <w:color w:val="auto"/>
              </w:rPr>
            </w:pPr>
            <w:r>
              <w:rPr>
                <w:rFonts w:ascii="Arial" w:cs="Arial" w:eastAsia="Arial" w:hAnsi="Arial"/>
                <w:sz w:val="18"/>
                <w:szCs w:val="18"/>
                <w:b w:val="1"/>
                <w:bCs w:val="1"/>
                <w:color w:val="auto"/>
                <w:w w:val="99"/>
              </w:rPr>
              <w:t>September 30,</w:t>
            </w: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2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right"/>
              <w:ind w:right="631"/>
              <w:spacing w:after="0" w:line="196" w:lineRule="exact"/>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2017</w:t>
            </w:r>
          </w:p>
        </w:tc>
        <w:tc>
          <w:tcPr>
            <w:tcW w:w="1700" w:type="dxa"/>
            <w:vAlign w:val="bottom"/>
            <w:tcBorders>
              <w:bottom w:val="single" w:sz="8" w:color="auto"/>
              <w:right w:val="single" w:sz="8" w:color="auto"/>
            </w:tcBorders>
          </w:tcPr>
          <w:p>
            <w:pPr>
              <w:jc w:val="right"/>
              <w:ind w:right="591"/>
              <w:spacing w:after="0" w:line="196" w:lineRule="exact"/>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156"/>
        </w:trPr>
        <w:tc>
          <w:tcPr>
            <w:tcW w:w="4720" w:type="dxa"/>
            <w:vAlign w:val="bottom"/>
            <w:tcBorders>
              <w:left w:val="single" w:sz="8" w:color="auto"/>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rPr>
              <w:t>(in CHF millions except per share data)</w:t>
            </w:r>
          </w:p>
        </w:tc>
        <w:tc>
          <w:tcPr>
            <w:tcW w:w="3280" w:type="dxa"/>
            <w:vAlign w:val="bottom"/>
            <w:tcBorders>
              <w:bottom w:val="single" w:sz="8" w:color="auto"/>
              <w:right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rPr>
              <w:t>(in CHF millions except per share data)</w:t>
            </w:r>
          </w:p>
        </w:tc>
        <w:tc>
          <w:tcPr>
            <w:tcW w:w="0" w:type="dxa"/>
            <w:vAlign w:val="bottom"/>
          </w:tcPr>
          <w:p>
            <w:pPr>
              <w:spacing w:after="0"/>
              <w:rPr>
                <w:sz w:val="1"/>
                <w:szCs w:val="1"/>
                <w:color w:val="auto"/>
              </w:rPr>
            </w:pPr>
          </w:p>
        </w:tc>
      </w:tr>
      <w:tr>
        <w:trPr>
          <w:trHeight w:val="196"/>
        </w:trPr>
        <w:tc>
          <w:tcPr>
            <w:tcW w:w="4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Net Loss</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(13.5)</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(36.3)</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7"/>
        </w:trPr>
        <w:tc>
          <w:tcPr>
            <w:tcW w:w="4720" w:type="dxa"/>
            <w:vAlign w:val="bottom"/>
            <w:tcBorders>
              <w:left w:val="single" w:sz="8" w:color="auto"/>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Adjustments:</w:t>
            </w: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5"/>
                <w:szCs w:val="15"/>
                <w:color w:val="auto"/>
              </w:rPr>
            </w:pP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0.6</w:t>
            </w:r>
          </w:p>
        </w:tc>
        <w:tc>
          <w:tcPr>
            <w:tcW w:w="1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5"/>
                <w:szCs w:val="15"/>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9"/>
        </w:trPr>
        <w:tc>
          <w:tcPr>
            <w:tcW w:w="4720" w:type="dxa"/>
            <w:vAlign w:val="bottom"/>
            <w:tcBorders>
              <w:left w:val="single" w:sz="8" w:color="auto"/>
              <w:right w:val="single" w:sz="8" w:color="auto"/>
            </w:tcBorders>
          </w:tcPr>
          <w:p>
            <w:pPr>
              <w:ind w:left="260"/>
              <w:spacing w:after="0" w:line="239" w:lineRule="exact"/>
              <w:rPr>
                <w:sz w:val="20"/>
                <w:szCs w:val="20"/>
                <w:color w:val="auto"/>
              </w:rPr>
            </w:pPr>
            <w:r>
              <w:rPr>
                <w:rFonts w:ascii="Arial" w:cs="Arial" w:eastAsia="Arial" w:hAnsi="Arial"/>
                <w:sz w:val="17"/>
                <w:szCs w:val="17"/>
                <w:color w:val="auto"/>
              </w:rPr>
              <w:t>Non-Cash share-based compensation</w:t>
            </w:r>
            <w:r>
              <w:rPr>
                <w:rFonts w:ascii="Arial" w:cs="Arial" w:eastAsia="Arial" w:hAnsi="Arial"/>
                <w:sz w:val="27"/>
                <w:szCs w:val="27"/>
                <w:color w:val="auto"/>
                <w:vertAlign w:val="superscript"/>
              </w:rPr>
              <w:t>1</w:t>
            </w:r>
          </w:p>
        </w:tc>
        <w:tc>
          <w:tcPr>
            <w:tcW w:w="1820" w:type="dxa"/>
            <w:vAlign w:val="bottom"/>
            <w:tcBorders>
              <w:right w:val="single" w:sz="8" w:color="auto"/>
            </w:tcBorders>
            <w:vMerge w:val="continue"/>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Borders>
              <w:right w:val="single" w:sz="8" w:color="auto"/>
            </w:tcBorders>
            <w:vMerge w:val="continue"/>
          </w:tcPr>
          <w:p>
            <w:pPr>
              <w:spacing w:after="0"/>
              <w:rPr>
                <w:sz w:val="20"/>
                <w:szCs w:val="20"/>
                <w:color w:val="auto"/>
              </w:rPr>
            </w:pPr>
          </w:p>
        </w:tc>
        <w:tc>
          <w:tcPr>
            <w:tcW w:w="1700" w:type="dxa"/>
            <w:vAlign w:val="bottom"/>
            <w:tcBorders>
              <w:right w:val="single" w:sz="8" w:color="auto"/>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720" w:type="dxa"/>
            <w:vAlign w:val="bottom"/>
            <w:tcBorders>
              <w:left w:val="single" w:sz="8" w:color="auto"/>
              <w:bottom w:val="single" w:sz="8" w:color="auto"/>
              <w:right w:val="single" w:sz="8" w:color="auto"/>
            </w:tcBorders>
          </w:tcPr>
          <w:p>
            <w:pPr>
              <w:ind w:left="260"/>
              <w:spacing w:after="0" w:line="266" w:lineRule="exact"/>
              <w:rPr>
                <w:sz w:val="20"/>
                <w:szCs w:val="20"/>
                <w:color w:val="auto"/>
              </w:rPr>
            </w:pPr>
            <w:r>
              <w:rPr>
                <w:rFonts w:ascii="Arial" w:cs="Arial" w:eastAsia="Arial" w:hAnsi="Arial"/>
                <w:sz w:val="18"/>
                <w:szCs w:val="18"/>
                <w:color w:val="auto"/>
              </w:rPr>
              <w:t>Foreign currency remeasurement (Gains)/Losses</w:t>
            </w:r>
            <w:r>
              <w:rPr>
                <w:rFonts w:ascii="Arial" w:cs="Arial" w:eastAsia="Arial" w:hAnsi="Arial"/>
                <w:sz w:val="30"/>
                <w:szCs w:val="30"/>
                <w:color w:val="auto"/>
                <w:vertAlign w:val="superscript"/>
              </w:rPr>
              <w:t>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Adjusted Loss for the period</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(33.3)</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96"/>
        </w:trPr>
        <w:tc>
          <w:tcPr>
            <w:tcW w:w="472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Loss per Share – basic and diluted</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(0.61)</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196"/>
        </w:trPr>
        <w:tc>
          <w:tcPr>
            <w:tcW w:w="472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Adjustment to Loss per Share – basic and diluted</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4720" w:type="dxa"/>
            <w:vAlign w:val="bottom"/>
            <w:tcBorders>
              <w:left w:val="single" w:sz="8" w:color="auto"/>
              <w:bottom w:val="single" w:sz="8" w:color="auto"/>
              <w:right w:val="single" w:sz="8" w:color="auto"/>
            </w:tcBorders>
          </w:tcPr>
          <w:p>
            <w:pPr>
              <w:ind w:left="60"/>
              <w:spacing w:after="0" w:line="236" w:lineRule="exact"/>
              <w:rPr>
                <w:sz w:val="20"/>
                <w:szCs w:val="20"/>
                <w:color w:val="auto"/>
              </w:rPr>
            </w:pPr>
            <w:r>
              <w:rPr>
                <w:rFonts w:ascii="Arial" w:cs="Arial" w:eastAsia="Arial" w:hAnsi="Arial"/>
                <w:sz w:val="17"/>
                <w:szCs w:val="17"/>
                <w:color w:val="auto"/>
              </w:rPr>
              <w:t>Adjusted Loss per Share – basic and diluted</w:t>
            </w:r>
            <w:r>
              <w:rPr>
                <w:rFonts w:ascii="Arial" w:cs="Arial" w:eastAsia="Arial" w:hAnsi="Arial"/>
                <w:sz w:val="27"/>
                <w:szCs w:val="27"/>
                <w:color w:val="auto"/>
                <w:vertAlign w:val="superscript"/>
              </w:rPr>
              <w:t>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73"/>
        </w:trPr>
        <w:tc>
          <w:tcPr>
            <w:tcW w:w="4720" w:type="dxa"/>
            <w:vAlign w:val="bottom"/>
            <w:tcBorders>
              <w:left w:val="single" w:sz="8" w:color="auto"/>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Weighted-average number of shares used to compute</w:t>
            </w: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64,862,822</w:t>
            </w:r>
          </w:p>
        </w:tc>
        <w:tc>
          <w:tcPr>
            <w:tcW w:w="540" w:type="dxa"/>
            <w:vAlign w:val="bottom"/>
          </w:tcPr>
          <w:p>
            <w:pPr>
              <w:spacing w:after="0"/>
              <w:rPr>
                <w:sz w:val="15"/>
                <w:szCs w:val="15"/>
                <w:color w:val="auto"/>
              </w:rPr>
            </w:pP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57,164,145</w:t>
            </w:r>
          </w:p>
        </w:tc>
        <w:tc>
          <w:tcPr>
            <w:tcW w:w="1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59,912,283</w:t>
            </w:r>
          </w:p>
        </w:tc>
        <w:tc>
          <w:tcPr>
            <w:tcW w:w="560" w:type="dxa"/>
            <w:vAlign w:val="bottom"/>
          </w:tcPr>
          <w:p>
            <w:pPr>
              <w:spacing w:after="0"/>
              <w:rPr>
                <w:sz w:val="15"/>
                <w:szCs w:val="15"/>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57,023,032</w:t>
            </w:r>
          </w:p>
        </w:tc>
        <w:tc>
          <w:tcPr>
            <w:tcW w:w="0" w:type="dxa"/>
            <w:vAlign w:val="bottom"/>
          </w:tcPr>
          <w:p>
            <w:pPr>
              <w:spacing w:after="0"/>
              <w:rPr>
                <w:sz w:val="1"/>
                <w:szCs w:val="1"/>
                <w:color w:val="auto"/>
              </w:rPr>
            </w:pPr>
          </w:p>
        </w:tc>
      </w:tr>
      <w:tr>
        <w:trPr>
          <w:trHeight w:val="135"/>
        </w:trPr>
        <w:tc>
          <w:tcPr>
            <w:tcW w:w="47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Adjusted Loss per Share – basic and diluted</w:t>
            </w:r>
          </w:p>
        </w:tc>
        <w:tc>
          <w:tcPr>
            <w:tcW w:w="182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7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43"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 w:lineRule="exact"/>
        <w:rPr>
          <w:sz w:val="20"/>
          <w:szCs w:val="20"/>
          <w:color w:val="auto"/>
        </w:rPr>
      </w:pPr>
    </w:p>
    <w:p>
      <w:pPr>
        <w:ind w:left="340" w:hanging="332"/>
        <w:spacing w:after="0" w:line="251"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Expenditures</w:t>
      </w:r>
    </w:p>
    <w:p>
      <w:pPr>
        <w:spacing w:after="0" w:line="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Adjustments for the three and nine months ended September 30, 2018, were CHF 1.9 million and CHF 3.0 million, respectively. These were largely due to foreign currency remeasurement losses of CHF 1.3 million and CHF 1.1 million, respectively, predominantly related to the cash balance of the Company as a result of a weakening of the US Dollar against the Swiss Franc for most of the third quarter. The Company also recorded CHF 0.6 million and CHF 1.9 million for the three and nine months, respectively, for share-based compensation expenses. The latter represented a CHF 1.0 million increase compared to the nine months ended September 30,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w:t>
      </w:r>
    </w:p>
    <w:p>
      <w:pPr>
        <w:spacing w:after="0" w:line="270" w:lineRule="exact"/>
        <w:rPr>
          <w:sz w:val="20"/>
          <w:szCs w:val="20"/>
          <w:color w:val="auto"/>
        </w:rPr>
      </w:pPr>
    </w:p>
    <w:p>
      <w:pPr>
        <w:ind w:left="11060"/>
        <w:spacing w:after="0"/>
        <w:rPr>
          <w:sz w:val="20"/>
          <w:szCs w:val="20"/>
          <w:color w:val="auto"/>
        </w:rPr>
      </w:pPr>
      <w:r>
        <w:rPr>
          <w:rFonts w:ascii="Arial" w:cs="Arial" w:eastAsia="Arial" w:hAnsi="Arial"/>
          <w:sz w:val="18"/>
          <w:szCs w:val="18"/>
          <w:color w:val="auto"/>
        </w:rPr>
        <w:t>5 / 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are available in our corresponding Statements of Cash Flows filed with our Form 6-K, published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5" w:name="page36"/>
    <w:bookmarkEnd w:id="35"/>
    <w:p>
      <w:pPr>
        <w:jc w:val="both"/>
        <w:spacing w:after="0" w:line="243" w:lineRule="auto"/>
        <w:rPr>
          <w:sz w:val="20"/>
          <w:szCs w:val="20"/>
          <w:color w:val="auto"/>
        </w:rPr>
      </w:pPr>
      <w:r>
        <w:rPr>
          <w:rFonts w:ascii="Arial" w:cs="Arial" w:eastAsia="Arial" w:hAnsi="Arial"/>
          <w:sz w:val="18"/>
          <w:szCs w:val="18"/>
          <w:color w:val="auto"/>
        </w:rPr>
        <w:t>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anti-amyloid-β monoclonal IgG4 antibody that targets monomeric and aggregated forms of amyloid-β, with highest affinity for neurotoxic oligomers. Crenezumab is currently in two Phase 3 clinical studies for AD, under a global program conducted by the collaboration partner Roche/Genentech. Other collaborations include Biogen, Janssen Pharmaceuticals, Nestlé Institute of Health Sciences, Life Molecular Imaging (formerly Piramal Imaging) and Essex Bio-Technology.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5520" w:type="dxa"/>
            <w:vAlign w:val="bottom"/>
            <w:tcBorders>
              <w:top w:val="single" w:sz="8" w:color="auto"/>
              <w:left w:val="single" w:sz="8" w:color="auto"/>
              <w:right w:val="single" w:sz="8" w:color="auto"/>
            </w:tcBorders>
            <w:gridSpan w:val="6"/>
          </w:tcPr>
          <w:p>
            <w:pPr>
              <w:ind w:left="60"/>
              <w:spacing w:after="0" w:line="173" w:lineRule="exact"/>
              <w:rPr>
                <w:sz w:val="20"/>
                <w:szCs w:val="20"/>
                <w:color w:val="auto"/>
              </w:rPr>
            </w:pPr>
            <w:r>
              <w:rPr>
                <w:rFonts w:ascii="Arial" w:cs="Arial" w:eastAsia="Arial" w:hAnsi="Arial"/>
                <w:sz w:val="18"/>
                <w:szCs w:val="18"/>
                <w:b w:val="1"/>
                <w:bCs w:val="1"/>
                <w:color w:val="auto"/>
              </w:rPr>
              <w:t>In Europe</w:t>
            </w:r>
          </w:p>
        </w:tc>
        <w:tc>
          <w:tcPr>
            <w:tcW w:w="5900" w:type="dxa"/>
            <w:vAlign w:val="bottom"/>
            <w:tcBorders>
              <w:top w:val="single" w:sz="8" w:color="auto"/>
              <w:right w:val="single" w:sz="8" w:color="auto"/>
            </w:tcBorders>
            <w:gridSpan w:val="4"/>
          </w:tcPr>
          <w:p>
            <w:pPr>
              <w:ind w:left="20"/>
              <w:spacing w:after="0" w:line="173" w:lineRule="exact"/>
              <w:rPr>
                <w:sz w:val="20"/>
                <w:szCs w:val="20"/>
                <w:color w:val="auto"/>
              </w:rPr>
            </w:pPr>
            <w:r>
              <w:rPr>
                <w:rFonts w:ascii="Arial" w:cs="Arial" w:eastAsia="Arial" w:hAnsi="Arial"/>
                <w:sz w:val="18"/>
                <w:szCs w:val="18"/>
                <w:b w:val="1"/>
                <w:bCs w:val="1"/>
                <w:color w:val="auto"/>
              </w:rPr>
              <w:t>In the US</w:t>
            </w:r>
          </w:p>
        </w:tc>
      </w:tr>
      <w:tr>
        <w:trPr>
          <w:trHeight w:val="203"/>
        </w:trPr>
        <w:tc>
          <w:tcPr>
            <w:tcW w:w="5520" w:type="dxa"/>
            <w:vAlign w:val="bottom"/>
            <w:tcBorders>
              <w:left w:val="single" w:sz="8" w:color="auto"/>
              <w:right w:val="single" w:sz="8" w:color="auto"/>
            </w:tcBorders>
            <w:gridSpan w:val="6"/>
          </w:tcPr>
          <w:p>
            <w:pPr>
              <w:ind w:left="60"/>
              <w:spacing w:after="0" w:line="202" w:lineRule="exact"/>
              <w:rPr>
                <w:sz w:val="20"/>
                <w:szCs w:val="20"/>
                <w:color w:val="auto"/>
              </w:rPr>
            </w:pPr>
            <w:r>
              <w:rPr>
                <w:rFonts w:ascii="Arial" w:cs="Arial" w:eastAsia="Arial" w:hAnsi="Arial"/>
                <w:sz w:val="18"/>
                <w:szCs w:val="18"/>
                <w:color w:val="auto"/>
              </w:rPr>
              <w:t>Beatrix Benz</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Lisa Sher</w:t>
            </w:r>
          </w:p>
        </w:tc>
      </w:tr>
      <w:tr>
        <w:trPr>
          <w:trHeight w:val="203"/>
        </w:trPr>
        <w:tc>
          <w:tcPr>
            <w:tcW w:w="5520" w:type="dxa"/>
            <w:vAlign w:val="bottom"/>
            <w:tcBorders>
              <w:left w:val="single" w:sz="8" w:color="auto"/>
              <w:right w:val="single" w:sz="8" w:color="auto"/>
            </w:tcBorders>
            <w:gridSpan w:val="6"/>
          </w:tcPr>
          <w:p>
            <w:pPr>
              <w:ind w:left="60"/>
              <w:spacing w:after="0" w:line="202" w:lineRule="exact"/>
              <w:rPr>
                <w:sz w:val="20"/>
                <w:szCs w:val="20"/>
                <w:color w:val="auto"/>
              </w:rPr>
            </w:pPr>
            <w:r>
              <w:rPr>
                <w:rFonts w:ascii="Arial" w:cs="Arial" w:eastAsia="Arial" w:hAnsi="Arial"/>
                <w:sz w:val="18"/>
                <w:szCs w:val="18"/>
                <w:color w:val="auto"/>
              </w:rPr>
              <w:t>AC Immune Corporate Communications</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AC Immune Investor Relations</w:t>
            </w:r>
          </w:p>
        </w:tc>
      </w:tr>
      <w:tr>
        <w:trPr>
          <w:trHeight w:val="203"/>
        </w:trPr>
        <w:tc>
          <w:tcPr>
            <w:tcW w:w="5520" w:type="dxa"/>
            <w:vAlign w:val="bottom"/>
            <w:tcBorders>
              <w:left w:val="single" w:sz="8" w:color="auto"/>
              <w:right w:val="single" w:sz="8" w:color="auto"/>
            </w:tcBorders>
            <w:gridSpan w:val="6"/>
          </w:tcPr>
          <w:p>
            <w:pPr>
              <w:ind w:left="60"/>
              <w:spacing w:after="0" w:line="202" w:lineRule="exact"/>
              <w:rPr>
                <w:sz w:val="20"/>
                <w:szCs w:val="20"/>
                <w:color w:val="auto"/>
              </w:rPr>
            </w:pPr>
            <w:r>
              <w:rPr>
                <w:rFonts w:ascii="Arial" w:cs="Arial" w:eastAsia="Arial" w:hAnsi="Arial"/>
                <w:sz w:val="18"/>
                <w:szCs w:val="18"/>
                <w:color w:val="auto"/>
              </w:rPr>
              <w:t>Phone: +41 21 345 91 34</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Phone: +1 970 987 26 54</w:t>
            </w:r>
          </w:p>
        </w:tc>
      </w:tr>
      <w:tr>
        <w:trPr>
          <w:trHeight w:val="198"/>
        </w:trPr>
        <w:tc>
          <w:tcPr>
            <w:tcW w:w="5520" w:type="dxa"/>
            <w:vAlign w:val="bottom"/>
            <w:tcBorders>
              <w:left w:val="single" w:sz="8" w:color="auto"/>
              <w:right w:val="single" w:sz="8" w:color="auto"/>
            </w:tcBorders>
            <w:gridSpan w:val="6"/>
          </w:tcPr>
          <w:p>
            <w:pPr>
              <w:ind w:left="60"/>
              <w:spacing w:after="0" w:line="19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beatrix.benz@acimmune.com</w:t>
            </w:r>
          </w:p>
        </w:tc>
        <w:tc>
          <w:tcPr>
            <w:tcW w:w="5900" w:type="dxa"/>
            <w:vAlign w:val="bottom"/>
            <w:tcBorders>
              <w:right w:val="single" w:sz="8" w:color="auto"/>
            </w:tcBorders>
            <w:gridSpan w:val="4"/>
          </w:tcPr>
          <w:p>
            <w:pPr>
              <w:ind w:left="20"/>
              <w:spacing w:after="0" w:line="19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lisa.sher@acimmune.com</w:t>
            </w: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r>
        <w:trPr>
          <w:trHeight w:val="160"/>
        </w:trPr>
        <w:tc>
          <w:tcPr>
            <w:tcW w:w="5520" w:type="dxa"/>
            <w:vAlign w:val="bottom"/>
            <w:tcBorders>
              <w:left w:val="single" w:sz="8" w:color="auto"/>
              <w:right w:val="single" w:sz="8" w:color="auto"/>
            </w:tcBorders>
            <w:gridSpan w:val="6"/>
          </w:tcPr>
          <w:p>
            <w:pPr>
              <w:ind w:left="60"/>
              <w:spacing w:after="0" w:line="160" w:lineRule="exact"/>
              <w:rPr>
                <w:sz w:val="20"/>
                <w:szCs w:val="20"/>
                <w:color w:val="auto"/>
              </w:rPr>
            </w:pPr>
            <w:r>
              <w:rPr>
                <w:rFonts w:ascii="Arial" w:cs="Arial" w:eastAsia="Arial" w:hAnsi="Arial"/>
                <w:sz w:val="18"/>
                <w:szCs w:val="18"/>
                <w:color w:val="auto"/>
              </w:rPr>
              <w:t>Nick Miles/Toomas Kull</w:t>
            </w:r>
          </w:p>
        </w:tc>
        <w:tc>
          <w:tcPr>
            <w:tcW w:w="5900" w:type="dxa"/>
            <w:vAlign w:val="bottom"/>
            <w:tcBorders>
              <w:right w:val="single" w:sz="8" w:color="auto"/>
            </w:tcBorders>
            <w:gridSpan w:val="4"/>
          </w:tcPr>
          <w:p>
            <w:pPr>
              <w:ind w:left="20"/>
              <w:spacing w:after="0" w:line="160" w:lineRule="exact"/>
              <w:rPr>
                <w:sz w:val="20"/>
                <w:szCs w:val="20"/>
                <w:color w:val="auto"/>
              </w:rPr>
            </w:pPr>
            <w:r>
              <w:rPr>
                <w:rFonts w:ascii="Arial" w:cs="Arial" w:eastAsia="Arial" w:hAnsi="Arial"/>
                <w:sz w:val="18"/>
                <w:szCs w:val="18"/>
                <w:color w:val="auto"/>
              </w:rPr>
              <w:t>Ted Agne</w:t>
            </w:r>
          </w:p>
        </w:tc>
      </w:tr>
      <w:tr>
        <w:trPr>
          <w:trHeight w:val="203"/>
        </w:trPr>
        <w:tc>
          <w:tcPr>
            <w:tcW w:w="5520" w:type="dxa"/>
            <w:vAlign w:val="bottom"/>
            <w:tcBorders>
              <w:left w:val="single" w:sz="8" w:color="auto"/>
              <w:right w:val="single" w:sz="8" w:color="auto"/>
            </w:tcBorders>
            <w:gridSpan w:val="6"/>
          </w:tcPr>
          <w:p>
            <w:pPr>
              <w:ind w:left="60"/>
              <w:spacing w:after="0" w:line="202" w:lineRule="exact"/>
              <w:rPr>
                <w:sz w:val="20"/>
                <w:szCs w:val="20"/>
                <w:color w:val="auto"/>
              </w:rPr>
            </w:pPr>
            <w:r>
              <w:rPr>
                <w:rFonts w:ascii="Arial" w:cs="Arial" w:eastAsia="Arial" w:hAnsi="Arial"/>
                <w:sz w:val="18"/>
                <w:szCs w:val="18"/>
                <w:color w:val="auto"/>
              </w:rPr>
              <w:t>Cabinet Privé de Conseils s.a.</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The Communications Strategy Group Inc.</w:t>
            </w:r>
          </w:p>
        </w:tc>
      </w:tr>
      <w:tr>
        <w:trPr>
          <w:trHeight w:val="203"/>
        </w:trPr>
        <w:tc>
          <w:tcPr>
            <w:tcW w:w="5520" w:type="dxa"/>
            <w:vAlign w:val="bottom"/>
            <w:tcBorders>
              <w:left w:val="single" w:sz="8" w:color="auto"/>
              <w:right w:val="single" w:sz="8" w:color="auto"/>
            </w:tcBorders>
            <w:gridSpan w:val="6"/>
          </w:tcPr>
          <w:p>
            <w:pPr>
              <w:ind w:left="60"/>
              <w:spacing w:after="0" w:line="202" w:lineRule="exact"/>
              <w:rPr>
                <w:sz w:val="20"/>
                <w:szCs w:val="20"/>
                <w:color w:val="auto"/>
              </w:rPr>
            </w:pPr>
            <w:r>
              <w:rPr>
                <w:rFonts w:ascii="Arial" w:cs="Arial" w:eastAsia="Arial" w:hAnsi="Arial"/>
                <w:sz w:val="18"/>
                <w:szCs w:val="18"/>
                <w:color w:val="auto"/>
              </w:rPr>
              <w:t>Phone: +41 22 552 46 46</w:t>
            </w:r>
          </w:p>
        </w:tc>
        <w:tc>
          <w:tcPr>
            <w:tcW w:w="590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Phone: +1 781 631 3117</w:t>
            </w:r>
          </w:p>
        </w:tc>
      </w:tr>
      <w:tr>
        <w:trPr>
          <w:trHeight w:val="198"/>
        </w:trPr>
        <w:tc>
          <w:tcPr>
            <w:tcW w:w="5520" w:type="dxa"/>
            <w:vAlign w:val="bottom"/>
            <w:tcBorders>
              <w:left w:val="single" w:sz="8" w:color="auto"/>
              <w:right w:val="single" w:sz="8" w:color="auto"/>
            </w:tcBorders>
            <w:gridSpan w:val="6"/>
          </w:tcPr>
          <w:p>
            <w:pPr>
              <w:ind w:left="60"/>
              <w:spacing w:after="0" w:line="19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miles@cpc-pr.com</w:t>
            </w:r>
          </w:p>
        </w:tc>
        <w:tc>
          <w:tcPr>
            <w:tcW w:w="5900" w:type="dxa"/>
            <w:vAlign w:val="bottom"/>
            <w:tcBorders>
              <w:right w:val="single" w:sz="8" w:color="auto"/>
            </w:tcBorders>
            <w:gridSpan w:val="4"/>
          </w:tcPr>
          <w:p>
            <w:pPr>
              <w:ind w:left="20"/>
              <w:spacing w:after="0" w:line="19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edagne@comstratgroup.com</w:t>
            </w:r>
          </w:p>
        </w:tc>
      </w:tr>
      <w:tr>
        <w:trPr>
          <w:trHeight w:val="183"/>
        </w:trPr>
        <w:tc>
          <w:tcPr>
            <w:tcW w:w="6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kull@cpc-pr.com</w:t>
            </w:r>
          </w:p>
        </w:tc>
        <w:tc>
          <w:tcPr>
            <w:tcW w:w="3360" w:type="dxa"/>
            <w:vAlign w:val="bottom"/>
            <w:tcBorders>
              <w:right w:val="single" w:sz="8" w:color="auto"/>
            </w:tcBorders>
            <w:gridSpan w:val="2"/>
          </w:tcPr>
          <w:p>
            <w:pPr>
              <w:spacing w:after="0"/>
              <w:rPr>
                <w:sz w:val="15"/>
                <w:szCs w:val="15"/>
                <w:color w:val="auto"/>
              </w:rPr>
            </w:pPr>
          </w:p>
        </w:tc>
        <w:tc>
          <w:tcPr>
            <w:tcW w:w="640" w:type="dxa"/>
            <w:vAlign w:val="bottom"/>
          </w:tcPr>
          <w:p>
            <w:pPr>
              <w:spacing w:after="0"/>
              <w:rPr>
                <w:sz w:val="15"/>
                <w:szCs w:val="15"/>
                <w:color w:val="auto"/>
              </w:rPr>
            </w:pPr>
          </w:p>
        </w:tc>
        <w:tc>
          <w:tcPr>
            <w:tcW w:w="20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940" w:type="dxa"/>
            <w:vAlign w:val="bottom"/>
            <w:tcBorders>
              <w:right w:val="single" w:sz="8" w:color="auto"/>
            </w:tcBorders>
          </w:tcPr>
          <w:p>
            <w:pPr>
              <w:spacing w:after="0"/>
              <w:rPr>
                <w:sz w:val="15"/>
                <w:szCs w:val="15"/>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r>
        <w:trPr>
          <w:trHeight w:val="506"/>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900" w:type="dxa"/>
            <w:vAlign w:val="bottom"/>
            <w:gridSpan w:val="4"/>
          </w:tcPr>
          <w:p>
            <w:pPr>
              <w:ind w:left="5540"/>
              <w:spacing w:after="0"/>
              <w:rPr>
                <w:sz w:val="20"/>
                <w:szCs w:val="20"/>
                <w:color w:val="auto"/>
              </w:rPr>
            </w:pPr>
            <w:r>
              <w:rPr>
                <w:rFonts w:ascii="Arial" w:cs="Arial" w:eastAsia="Arial" w:hAnsi="Arial"/>
                <w:sz w:val="18"/>
                <w:szCs w:val="18"/>
                <w:color w:val="auto"/>
                <w:w w:val="91"/>
              </w:rPr>
              <w:t>6 / 6</w:t>
            </w:r>
          </w:p>
        </w:tc>
      </w:tr>
    </w:tbl>
    <w:p>
      <w:pPr>
        <w:spacing w:after="0"/>
        <w:rPr>
          <w:sz w:val="20"/>
          <w:szCs w:val="20"/>
          <w:color w:val="auto"/>
        </w:rPr>
      </w:pPr>
      <w:r>
        <w:rPr>
          <w:rFonts w:ascii="Arial" w:cs="Arial" w:eastAsia="Arial" w:hAnsi="Arial"/>
          <w:sz w:val="18"/>
          <w:szCs w:val="18"/>
          <w:i w:val="1"/>
          <w:iCs w:val="1"/>
          <w:color w:val="auto"/>
        </w:rPr>
        <w:t>Further details are available in our corresponding Statements of Cash Flows filed with our Form 6-K, published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31"/>
    </w:lvl>
  </w:abstractNum>
  <w:abstractNum w:abstractNumId="1">
    <w:nsid w:val="1190CDE7"/>
    <w:multiLevelType w:val="hybridMultilevel"/>
    <w:lvl w:ilvl="0">
      <w:lvlJc w:val="left"/>
      <w:lvlText w:val="(%1)"/>
      <w:numFmt w:val="decimal"/>
      <w:start w:val="65"/>
    </w:lvl>
    <w:lvl w:ilvl="1">
      <w:lvlJc w:val="left"/>
      <w:lvlText w:val="3"/>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583"/>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bullet"/>
      <w:start w:val="1"/>
    </w:lvl>
  </w:abstractNum>
  <w:abstractNum w:abstractNumId="18">
    <w:nsid w:val="62BBD95A"/>
    <w:multiLevelType w:val="hybridMultilevel"/>
    <w:lvl w:ilvl="0">
      <w:lvlJc w:val="left"/>
      <w:lvlText w:val="1"/>
      <w:numFmt w:val="bullet"/>
      <w:start w:val="1"/>
    </w:lvl>
  </w:abstractNum>
  <w:abstractNum w:abstractNumId="19">
    <w:nsid w:val="436C6125"/>
    <w:multiLevelType w:val="hybridMultilevel"/>
    <w:lvl w:ilvl="0">
      <w:lvlJc w:val="left"/>
      <w:lvlText w:val="1"/>
      <w:numFmt w:val="bullet"/>
      <w:start w:val="1"/>
    </w:lvl>
  </w:abstractNum>
  <w:abstractNum w:abstractNumId="20">
    <w:nsid w:val="628C895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2019-12-08T13:51:01Z</dcterms:created>
  <dcterms:modified xsi:type="dcterms:W3CDTF">2019-12-08T13:51:01Z</dcterms:modified>
</cp:coreProperties>
</file>