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October 23, 2020</w:t>
      </w:r>
    </w:p>
    <w:p>
      <w:pPr>
        <w:spacing w:after="0" w:line="24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7"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 IMMUNE SA</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ectPr>
          <w:pgSz w:w="11900" w:h="16838" w:orient="portrait"/>
          <w:cols w:equalWidth="0" w:num="1">
            <w:col w:w="11240"/>
          </w:cols>
          <w:pgMar w:left="320" w:top="229" w:right="339" w:bottom="1440" w:gutter="0" w:footer="0" w:header="0"/>
        </w:sectPr>
      </w:pPr>
    </w:p>
    <w:p>
      <w:pPr>
        <w:spacing w:after="0" w:line="225"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Switzerland</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ind w:left="3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6820" w:space="720"/>
            <w:col w:w="3700"/>
          </w:cols>
          <w:pgMar w:left="320" w:top="229"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w:t>
      </w:r>
    </w:p>
    <w:p>
      <w:pPr>
        <w:spacing w:after="0" w:line="9"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Switzerland</w:t>
      </w:r>
    </w:p>
    <w:p>
      <w:pPr>
        <w:spacing w:after="0" w:line="9"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+41 21 345 91 21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and Telephone Number of Registrant’s Principal Executive Offices)</w:t>
      </w:r>
    </w:p>
    <w:p>
      <w:pPr>
        <w:spacing w:after="0" w:line="207"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 East 40th Street, 10th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and Telephone Number of Agent For Service)</w:t>
      </w:r>
    </w:p>
    <w:p>
      <w:pPr>
        <w:spacing w:after="0" w:line="207"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Derek J. Dostal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Richard D. Truesdell, Jr.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ind w:left="5500" w:hanging="438"/>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450-4000</w:t>
      </w:r>
    </w:p>
    <w:p>
      <w:pPr>
        <w:spacing w:after="0" w:line="206" w:lineRule="exact"/>
        <w:rPr>
          <w:rFonts w:ascii="Arial" w:cs="Arial" w:eastAsia="Arial" w:hAnsi="Arial"/>
          <w:sz w:val="18"/>
          <w:szCs w:val="18"/>
          <w:b w:val="1"/>
          <w:bCs w:val="1"/>
          <w:color w:val="auto"/>
        </w:rPr>
      </w:pPr>
    </w:p>
    <w:p>
      <w:pPr>
        <w:ind w:left="31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_______________________________________________________</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this Registration Statement becomes effective.</w:t>
      </w:r>
    </w:p>
    <w:p>
      <w:pPr>
        <w:spacing w:after="0" w:line="252" w:lineRule="exact"/>
        <w:rPr>
          <w:sz w:val="24"/>
          <w:szCs w:val="24"/>
          <w:color w:val="auto"/>
        </w:rPr>
      </w:pPr>
    </w:p>
    <w:p>
      <w:pPr>
        <w:ind w:right="300" w:firstLine="324"/>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right="300" w:firstLine="324"/>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0"/>
          <w:szCs w:val="20"/>
          <w:color w:val="auto"/>
        </w:rPr>
      </w:pPr>
    </w:p>
    <w:p>
      <w:pPr>
        <w:ind w:right="2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0"/>
          <w:szCs w:val="20"/>
          <w:color w:val="auto"/>
        </w:rPr>
      </w:pPr>
    </w:p>
    <w:p>
      <w:pPr>
        <w:ind w:right="400" w:firstLine="324"/>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right="1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92" w:lineRule="exact"/>
        <w:rPr>
          <w:sz w:val="20"/>
          <w:szCs w:val="20"/>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If an emerging growth company that prepares its financial statements in accordance with U.S. GAAP, indicate by check mark if the registrant has</w:t>
      </w:r>
    </w:p>
    <w:p>
      <w:pPr>
        <w:spacing w:after="0" w:line="3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elected not to use the extended transition period for complying with any new or revised financial accounting standards † provided pursuant to Section 7(a)</w:t>
      </w:r>
    </w:p>
    <w:p>
      <w:pPr>
        <w:spacing w:after="0" w:line="27"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(2)(B) of the Securities Act. </w:t>
      </w:r>
      <w:r>
        <w:rPr>
          <w:rFonts w:ascii="MS PGothic" w:cs="MS PGothic" w:eastAsia="MS PGothic" w:hAnsi="MS PGothic"/>
          <w:sz w:val="18"/>
          <w:szCs w:val="18"/>
          <w:color w:val="auto"/>
        </w:rPr>
        <w:t>☐</w:t>
      </w:r>
    </w:p>
    <w:p>
      <w:pPr>
        <w:spacing w:after="0" w:line="216" w:lineRule="exact"/>
        <w:rPr>
          <w:sz w:val="20"/>
          <w:szCs w:val="20"/>
          <w:color w:val="auto"/>
        </w:rPr>
      </w:pPr>
    </w:p>
    <w:p>
      <w:pPr>
        <w:ind w:right="120" w:firstLine="332"/>
        <w:spacing w:after="0" w:line="277" w:lineRule="auto"/>
        <w:tabs>
          <w:tab w:leader="none" w:pos="45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5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82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r>
      <w:tr>
        <w:trPr>
          <w:trHeight w:val="178"/>
        </w:trPr>
        <w:tc>
          <w:tcPr>
            <w:tcW w:w="4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820" w:type="dxa"/>
            <w:vAlign w:val="bottom"/>
          </w:tcPr>
          <w:p>
            <w:pPr>
              <w:jc w:val="center"/>
              <w:ind w:left="50"/>
              <w:spacing w:after="0" w:line="178" w:lineRule="exact"/>
              <w:rPr>
                <w:sz w:val="20"/>
                <w:szCs w:val="20"/>
                <w:color w:val="auto"/>
              </w:rPr>
            </w:pPr>
            <w:r>
              <w:rPr>
                <w:rFonts w:ascii="Arial" w:cs="Arial" w:eastAsia="Arial" w:hAnsi="Arial"/>
                <w:sz w:val="18"/>
                <w:szCs w:val="18"/>
                <w:b w:val="1"/>
                <w:bCs w:val="1"/>
                <w:color w:val="auto"/>
                <w:w w:val="86"/>
              </w:rPr>
              <w:t>Proposed</w:t>
            </w:r>
          </w:p>
        </w:tc>
        <w:tc>
          <w:tcPr>
            <w:tcW w:w="17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16"/>
        </w:trPr>
        <w:tc>
          <w:tcPr>
            <w:tcW w:w="4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2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Maximum Aggregate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600" w:type="dxa"/>
            <w:vAlign w:val="bottom"/>
          </w:tcPr>
          <w:p>
            <w:pPr>
              <w:spacing w:after="0"/>
              <w:rPr>
                <w:sz w:val="18"/>
                <w:szCs w:val="18"/>
                <w:color w:val="auto"/>
              </w:rPr>
            </w:pPr>
          </w:p>
        </w:tc>
      </w:tr>
      <w:tr>
        <w:trPr>
          <w:trHeight w:val="216"/>
        </w:trPr>
        <w:tc>
          <w:tcPr>
            <w:tcW w:w="4500" w:type="dxa"/>
            <w:vAlign w:val="bottom"/>
          </w:tcPr>
          <w:p>
            <w:pPr>
              <w:ind w:left="1440"/>
              <w:spacing w:after="0"/>
              <w:rPr>
                <w:sz w:val="20"/>
                <w:szCs w:val="20"/>
                <w:color w:val="auto"/>
              </w:rPr>
            </w:pPr>
            <w:r>
              <w:rPr>
                <w:rFonts w:ascii="Arial" w:cs="Arial" w:eastAsia="Arial" w:hAnsi="Arial"/>
                <w:sz w:val="18"/>
                <w:szCs w:val="18"/>
                <w:b w:val="1"/>
                <w:bCs w:val="1"/>
                <w:color w:val="auto"/>
              </w:rPr>
              <w:t>Title of Each Class of</w:t>
            </w:r>
          </w:p>
        </w:tc>
        <w:tc>
          <w:tcPr>
            <w:tcW w:w="156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Amount</w:t>
            </w:r>
          </w:p>
        </w:tc>
        <w:tc>
          <w:tcPr>
            <w:tcW w:w="182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Price per Common</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Maximum Aggregate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41"/>
        </w:trPr>
        <w:tc>
          <w:tcPr>
            <w:tcW w:w="450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Securities to be Registered</w:t>
            </w:r>
          </w:p>
        </w:tc>
        <w:tc>
          <w:tcPr>
            <w:tcW w:w="15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96"/>
              </w:rPr>
              <w:t>to be Registered</w:t>
            </w:r>
          </w:p>
        </w:tc>
        <w:tc>
          <w:tcPr>
            <w:tcW w:w="182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Share (1)</w:t>
            </w:r>
          </w:p>
        </w:tc>
        <w:tc>
          <w:tcPr>
            <w:tcW w:w="17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Offering Price (1)</w:t>
            </w:r>
          </w:p>
        </w:tc>
        <w:tc>
          <w:tcPr>
            <w:tcW w:w="16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Registration Fee</w:t>
            </w:r>
          </w:p>
        </w:tc>
      </w:tr>
      <w:tr>
        <w:trPr>
          <w:trHeight w:val="216"/>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Shares, par value CHF 0.02 per share (2)</w:t>
            </w:r>
          </w:p>
        </w:tc>
        <w:tc>
          <w:tcPr>
            <w:tcW w:w="15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11,999,999</w:t>
            </w:r>
          </w:p>
        </w:tc>
        <w:tc>
          <w:tcPr>
            <w:tcW w:w="182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8"/>
              </w:rPr>
              <w:t>$4.47</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$53,639,995.53</w:t>
            </w:r>
          </w:p>
        </w:tc>
        <w:tc>
          <w:tcPr>
            <w:tcW w:w="1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$5,852.13</w:t>
            </w:r>
          </w:p>
        </w:tc>
      </w:tr>
      <w:tr>
        <w:trPr>
          <w:trHeight w:val="224"/>
        </w:trPr>
        <w:tc>
          <w:tcPr>
            <w:tcW w:w="4500" w:type="dxa"/>
            <w:vAlign w:val="bottom"/>
          </w:tcPr>
          <w:p>
            <w:pPr>
              <w:spacing w:after="0"/>
              <w:rPr>
                <w:sz w:val="20"/>
                <w:szCs w:val="20"/>
                <w:color w:val="auto"/>
              </w:rPr>
            </w:pPr>
            <w:r>
              <w:rPr>
                <w:rFonts w:ascii="Arial" w:cs="Arial" w:eastAsia="Arial" w:hAnsi="Arial"/>
                <w:sz w:val="18"/>
                <w:szCs w:val="18"/>
                <w:color w:val="auto"/>
              </w:rPr>
              <w:t>__________________________</w:t>
            </w:r>
          </w:p>
        </w:tc>
        <w:tc>
          <w:tcPr>
            <w:tcW w:w="1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187" w:lineRule="exact"/>
        <w:rPr>
          <w:sz w:val="20"/>
          <w:szCs w:val="20"/>
          <w:color w:val="auto"/>
        </w:rPr>
      </w:pPr>
    </w:p>
    <w:p>
      <w:pPr>
        <w:ind w:left="380" w:right="280" w:hanging="318"/>
        <w:spacing w:after="0" w:line="291"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Estimated solely for the purposes of calculating the registration fee. Pursuant to Rule 457(c) under the Securities Act, the registration fee has been calculated based on the average of the high and low prices, as reported by the Nasdaq Global Market, for our common shares on October 21, 2020.</w:t>
      </w:r>
    </w:p>
    <w:p>
      <w:pPr>
        <w:ind w:left="380" w:right="180" w:hanging="318"/>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the common shares being registered hereby are offered for the account of the selling shareholder identified in the prospectus forming part of this registration statement.</w:t>
      </w:r>
    </w:p>
    <w:p>
      <w:pPr>
        <w:spacing w:after="0" w:line="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20" w:lineRule="exact"/>
        <w:rPr>
          <w:sz w:val="20"/>
          <w:szCs w:val="20"/>
          <w:color w:val="auto"/>
        </w:rPr>
      </w:pPr>
    </w:p>
    <w:p>
      <w:pPr>
        <w:spacing w:after="0" w:line="263" w:lineRule="auto"/>
        <w:rPr>
          <w:sz w:val="20"/>
          <w:szCs w:val="20"/>
          <w:color w:val="auto"/>
        </w:rPr>
      </w:pPr>
      <w:r>
        <w:rPr>
          <w:rFonts w:ascii="Arial" w:cs="Arial" w:eastAsia="Arial" w:hAnsi="Arial"/>
          <w:sz w:val="18"/>
          <w:szCs w:val="18"/>
          <w:color w:val="FF0000"/>
        </w:rPr>
        <w:t>The information in this prospectus is not complete and may be changed. The selling shareholder may not sell these securities until the registration statement filed with the Securities and Exchange Commission is effective. This prospectus is not an offer to sell these securities, and the selling shareholder is not soliciting an offer to buy these securities in any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October 23,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11,999,999 Common Shares Offered by the Selling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208915</wp:posOffset>
            </wp:positionV>
            <wp:extent cx="2151380" cy="677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5138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AC IMMUNE SA</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in Switzerland)</w:t>
      </w:r>
    </w:p>
    <w:p>
      <w:pPr>
        <w:spacing w:after="0" w:line="209"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The selling shareholder may offer and sell up to 11,999,999 common shares. This prospectus describes the general terms of these securities and the general manner in which these securities will be offered. Depending on the method of distribution, a prospectus supplement may be required in connection with certain sales by the selling shareholder. You should read this prospectus and any applicable prospectus supplement before you invest.</w:t>
      </w:r>
    </w:p>
    <w:p>
      <w:pPr>
        <w:spacing w:after="0" w:line="14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The securities covered by this prospectus may be offered to or through one or more underwriters, dealers and agents, or directly to purchasers. The names of any underwriters, dealers or agents, if any, will be included in a supplement to this prospectus. For general information about the distribution of securities offered, please see “Plan of Distribution” beginning on page 27.</w:t>
      </w:r>
    </w:p>
    <w:p>
      <w:pPr>
        <w:spacing w:after="0" w:line="184"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Our common shares are listed on the NASDAQ Global Market under the symbol “ACIU.” On October 21, 2020, the last sale price of our common shares as reported by the NASDAQ Global Market was $4.47 per common share. As of October 21, 2020, the aggregate market value of our outstanding common shares held by non-affiliates was approximately $121,828,289.97 based on approximately 71,741,285 shares of outstanding common shares, of which approximately 27,254,651 shares were held by non-affiliates. We have not offered any securities pursuant to General Instruction I.B.5 of Form F-3 during the prior 12 calendar month period that ends on, and includes, the date of this prospectus.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5 of this prospectus.</w:t>
      </w:r>
    </w:p>
    <w:p>
      <w:pPr>
        <w:spacing w:after="0" w:line="225"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3940"/>
              <w:spacing w:after="0"/>
              <w:rPr>
                <w:sz w:val="20"/>
                <w:szCs w:val="20"/>
                <w:color w:val="auto"/>
              </w:rPr>
            </w:pPr>
            <w:r>
              <w:rPr>
                <w:rFonts w:ascii="Arial" w:cs="Arial" w:eastAsia="Arial" w:hAnsi="Arial"/>
                <w:sz w:val="18"/>
                <w:szCs w:val="18"/>
                <w:b w:val="1"/>
                <w:bCs w:val="1"/>
                <w:color w:val="auto"/>
                <w:w w:val="99"/>
              </w:rPr>
              <w:t>The date of this prospectus is</w:t>
            </w:r>
          </w:p>
        </w:tc>
        <w:tc>
          <w:tcPr>
            <w:tcW w:w="4740" w:type="dxa"/>
            <w:vAlign w:val="bottom"/>
          </w:tcPr>
          <w:p>
            <w:pPr>
              <w:jc w:val="right"/>
              <w:ind w:right="3850"/>
              <w:spacing w:after="0"/>
              <w:rPr>
                <w:sz w:val="20"/>
                <w:szCs w:val="20"/>
                <w:color w:val="auto"/>
              </w:rPr>
            </w:pPr>
            <w:r>
              <w:rPr>
                <w:rFonts w:ascii="Arial" w:cs="Arial" w:eastAsia="Arial" w:hAnsi="Arial"/>
                <w:sz w:val="18"/>
                <w:szCs w:val="18"/>
                <w:b w:val="1"/>
                <w:bCs w:val="1"/>
                <w:color w:val="auto"/>
              </w:rPr>
              <w:t>, 2020.</w:t>
            </w:r>
          </w:p>
        </w:tc>
      </w:tr>
      <w:tr>
        <w:trPr>
          <w:trHeight w:val="567"/>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selling shareholder has not authorized anyone to provide you with information different or additional to the information contained in or incorporated by reference in this prospectus or any related prospectus supplement the selling shareholder provides to you. The selling shareholder is not making an offer of securities in any jurisdiction where the offer is not permitted. You should not assume that the information contained in or incorporated by reference in this prospectus is accurate as of any date other than the date on the front of this prospectus. Unless otherwise noted or the context otherwise requires, references in this prospectus to “AC Immune,” “the Company,” “our company,” “we,” “us,” “our” or similar terms refer to AC Immune SA.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7100" w:type="dxa"/>
            <w:vAlign w:val="bottom"/>
            <w:gridSpan w:val="2"/>
          </w:tcPr>
          <w:p>
            <w:pPr>
              <w:jc w:val="center"/>
              <w:ind w:right="4050"/>
              <w:spacing w:after="0"/>
              <w:rPr>
                <w:sz w:val="20"/>
                <w:szCs w:val="20"/>
                <w:color w:val="auto"/>
              </w:rPr>
            </w:pPr>
            <w:r>
              <w:rPr>
                <w:rFonts w:ascii="Arial" w:cs="Arial" w:eastAsia="Arial" w:hAnsi="Arial"/>
                <w:sz w:val="18"/>
                <w:szCs w:val="18"/>
                <w:b w:val="1"/>
                <w:bCs w:val="1"/>
                <w:color w:val="auto"/>
                <w:w w:val="98"/>
              </w:rPr>
              <w:t>TABLE OF CONTENTS</w:t>
            </w:r>
          </w:p>
        </w:tc>
      </w:tr>
      <w:tr>
        <w:trPr>
          <w:trHeight w:val="234"/>
        </w:trPr>
        <w:tc>
          <w:tcPr>
            <w:tcW w:w="4140" w:type="dxa"/>
            <w:vAlign w:val="bottom"/>
          </w:tcPr>
          <w:p>
            <w:pPr>
              <w:spacing w:after="0"/>
              <w:rPr>
                <w:sz w:val="20"/>
                <w:szCs w:val="20"/>
                <w:color w:val="auto"/>
              </w:rPr>
            </w:pPr>
          </w:p>
        </w:tc>
        <w:tc>
          <w:tcPr>
            <w:tcW w:w="6760" w:type="dxa"/>
            <w:vAlign w:val="bottom"/>
          </w:tcPr>
          <w:p>
            <w:pPr>
              <w:jc w:val="center"/>
              <w:ind w:right="3710"/>
              <w:spacing w:after="0"/>
              <w:rPr>
                <w:sz w:val="20"/>
                <w:szCs w:val="20"/>
                <w:color w:val="auto"/>
              </w:rPr>
            </w:pPr>
            <w:r>
              <w:rPr>
                <w:rFonts w:ascii="Arial" w:cs="Arial" w:eastAsia="Arial" w:hAnsi="Arial"/>
                <w:sz w:val="18"/>
                <w:szCs w:val="18"/>
                <w:b w:val="1"/>
                <w:bCs w:val="1"/>
                <w:color w:val="auto"/>
                <w:w w:val="90"/>
              </w:rPr>
              <w:t>_______________________________</w:t>
            </w:r>
          </w:p>
        </w:tc>
        <w:tc>
          <w:tcPr>
            <w:tcW w:w="340" w:type="dxa"/>
            <w:vAlign w:val="bottom"/>
          </w:tcPr>
          <w:p>
            <w:pPr>
              <w:spacing w:after="0"/>
              <w:rPr>
                <w:sz w:val="20"/>
                <w:szCs w:val="20"/>
                <w:color w:val="auto"/>
              </w:rPr>
            </w:pPr>
          </w:p>
        </w:tc>
      </w:tr>
      <w:tr>
        <w:trPr>
          <w:trHeight w:val="392"/>
        </w:trPr>
        <w:tc>
          <w:tcPr>
            <w:tcW w:w="4140" w:type="dxa"/>
            <w:vAlign w:val="bottom"/>
          </w:tcPr>
          <w:p>
            <w:pPr>
              <w:spacing w:after="0"/>
              <w:rPr>
                <w:sz w:val="24"/>
                <w:szCs w:val="24"/>
                <w:color w:val="auto"/>
              </w:rPr>
            </w:pPr>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P</w:t>
            </w:r>
            <w:r>
              <w:rPr>
                <w:rFonts w:ascii="Arial" w:cs="Arial" w:eastAsia="Arial" w:hAnsi="Arial"/>
                <w:sz w:val="12"/>
                <w:szCs w:val="12"/>
                <w:color w:val="auto"/>
              </w:rPr>
              <w:t>AGE</w:t>
            </w:r>
          </w:p>
        </w:tc>
      </w:tr>
      <w:tr>
        <w:trPr>
          <w:trHeight w:val="438"/>
        </w:trPr>
        <w:tc>
          <w:tcPr>
            <w:tcW w:w="414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About This Prospectus</w:t>
              </w:r>
            </w:hyperlink>
          </w:p>
        </w:tc>
        <w:tc>
          <w:tcPr>
            <w:tcW w:w="67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14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Where You Can Find More Information</w:t>
              </w:r>
            </w:hyperlink>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140" w:type="dxa"/>
            <w:vAlign w:val="bottom"/>
          </w:tcPr>
          <w:p>
            <w:pPr>
              <w:spacing w:after="0"/>
              <w:rPr>
                <w:rFonts w:ascii="Arial" w:cs="Arial" w:eastAsia="Arial" w:hAnsi="Arial"/>
                <w:sz w:val="18"/>
                <w:szCs w:val="18"/>
                <w:u w:val="single" w:color="auto"/>
                <w:color w:val="0000FF"/>
                <w:w w:val="96"/>
              </w:rPr>
            </w:pPr>
            <w:hyperlink w:anchor="page6">
              <w:r>
                <w:rPr>
                  <w:rFonts w:ascii="Arial" w:cs="Arial" w:eastAsia="Arial" w:hAnsi="Arial"/>
                  <w:sz w:val="18"/>
                  <w:szCs w:val="18"/>
                  <w:u w:val="single" w:color="auto"/>
                  <w:color w:val="0000FF"/>
                  <w:w w:val="96"/>
                </w:rPr>
                <w:t>Special Note Regarding Forward-Looking Statements</w:t>
              </w:r>
            </w:hyperlink>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140" w:type="dxa"/>
            <w:vAlign w:val="bottom"/>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AC Immune SA</w:t>
              </w:r>
            </w:hyperlink>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140" w:type="dxa"/>
            <w:vAlign w:val="bottom"/>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Risk Factors</w:t>
              </w:r>
            </w:hyperlink>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140" w:type="dxa"/>
            <w:vAlign w:val="bottom"/>
          </w:tcPr>
          <w:p>
            <w:pPr>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Use of Proceeds</w:t>
              </w:r>
            </w:hyperlink>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4140" w:type="dxa"/>
            <w:vAlign w:val="bottom"/>
          </w:tcPr>
          <w:p>
            <w:pPr>
              <w:spacing w:after="0"/>
              <w:rPr>
                <w:rFonts w:ascii="Arial" w:cs="Arial" w:eastAsia="Arial" w:hAnsi="Arial"/>
                <w:sz w:val="18"/>
                <w:szCs w:val="18"/>
                <w:u w:val="single" w:color="auto"/>
                <w:color w:val="0000FF"/>
                <w:w w:val="93"/>
              </w:rPr>
            </w:pPr>
            <w:hyperlink w:anchor="page10">
              <w:r>
                <w:rPr>
                  <w:rFonts w:ascii="Arial" w:cs="Arial" w:eastAsia="Arial" w:hAnsi="Arial"/>
                  <w:sz w:val="18"/>
                  <w:szCs w:val="18"/>
                  <w:u w:val="single" w:color="auto"/>
                  <w:color w:val="0000FF"/>
                  <w:w w:val="93"/>
                </w:rPr>
                <w:t>Description of Share Capital and Articles of Association</w:t>
              </w:r>
            </w:hyperlink>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4140" w:type="dxa"/>
            <w:vAlign w:val="bottom"/>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Comparison of Swiss Law and Delaware Law</w:t>
              </w:r>
            </w:hyperlink>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14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Selling Shareholder</w:t>
              </w:r>
            </w:hyperlink>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14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Plan of Distribution</w:t>
              </w:r>
            </w:hyperlink>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140" w:type="dxa"/>
            <w:vAlign w:val="bottom"/>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Incorporation of Certain Information By Reference</w:t>
              </w:r>
            </w:hyperlink>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140" w:type="dxa"/>
            <w:vAlign w:val="bottom"/>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Expenses</w:t>
              </w:r>
            </w:hyperlink>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140" w:type="dxa"/>
            <w:vAlign w:val="bottom"/>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Legal Matters</w:t>
              </w:r>
            </w:hyperlink>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140" w:type="dxa"/>
            <w:vAlign w:val="bottom"/>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Experts</w:t>
              </w:r>
            </w:hyperlink>
          </w:p>
        </w:tc>
        <w:tc>
          <w:tcPr>
            <w:tcW w:w="710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14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Indemnification of Officers and Directors</w:t>
              </w:r>
            </w:hyperlink>
          </w:p>
        </w:tc>
        <w:tc>
          <w:tcPr>
            <w:tcW w:w="6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II-1</w:t>
            </w:r>
          </w:p>
        </w:tc>
      </w:tr>
      <w:tr>
        <w:trPr>
          <w:trHeight w:val="216"/>
        </w:trPr>
        <w:tc>
          <w:tcPr>
            <w:tcW w:w="414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Exhibits</w:t>
              </w:r>
            </w:hyperlink>
          </w:p>
        </w:tc>
        <w:tc>
          <w:tcPr>
            <w:tcW w:w="6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II-1</w:t>
            </w:r>
          </w:p>
        </w:tc>
      </w:tr>
      <w:tr>
        <w:trPr>
          <w:trHeight w:val="230"/>
        </w:trPr>
        <w:tc>
          <w:tcPr>
            <w:tcW w:w="414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Undertakings</w:t>
              </w:r>
            </w:hyperlink>
          </w:p>
        </w:tc>
        <w:tc>
          <w:tcPr>
            <w:tcW w:w="6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II-2</w:t>
            </w:r>
          </w:p>
        </w:tc>
      </w:tr>
      <w:tr>
        <w:trPr>
          <w:trHeight w:val="810"/>
        </w:trPr>
        <w:tc>
          <w:tcPr>
            <w:tcW w:w="414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jc w:val="center"/>
              <w:ind w:right="3750"/>
              <w:spacing w:after="0"/>
              <w:rPr>
                <w:sz w:val="20"/>
                <w:szCs w:val="20"/>
                <w:color w:val="auto"/>
              </w:rPr>
            </w:pPr>
            <w:r>
              <w:rPr>
                <w:rFonts w:ascii="Arial" w:cs="Arial" w:eastAsia="Arial" w:hAnsi="Arial"/>
                <w:sz w:val="18"/>
                <w:szCs w:val="18"/>
                <w:color w:val="auto"/>
                <w:w w:val="79"/>
              </w:rPr>
              <w:t>1</w:t>
            </w: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utilizing a “shelf” registration process. The selling shareholder and its pledgees, assignees, transferees or other successors in interest may offer from time to time up to 11,999,999 of our common shares. Depending on the method of distribution, a prospectus supplement may be required in connection with certain sales by the selling shareholder. This prospectus supplement may also add, update or change information contained in this prospectus. You should read both this prospectus and any prospectus supplement together with additional information described under the headings “Where You Can Find More Information” and “Incorporation of Certain Information by Reference.”</w:t>
      </w:r>
    </w:p>
    <w:p>
      <w:pPr>
        <w:spacing w:after="0" w:line="19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have filed or incorporated by reference exhibits to the registration statement of which this prospectus forms a part. You should read the exhibits carefully for provisions that may be important to you.</w:t>
      </w:r>
    </w:p>
    <w:p>
      <w:pPr>
        <w:spacing w:after="0" w:line="166" w:lineRule="exact"/>
        <w:rPr>
          <w:sz w:val="20"/>
          <w:szCs w:val="20"/>
          <w:color w:val="auto"/>
        </w:rPr>
      </w:pPr>
    </w:p>
    <w:p>
      <w:pPr>
        <w:ind w:right="40" w:firstLine="324"/>
        <w:spacing w:after="0" w:line="258" w:lineRule="auto"/>
        <w:rPr>
          <w:sz w:val="20"/>
          <w:szCs w:val="20"/>
          <w:color w:val="auto"/>
        </w:rPr>
      </w:pPr>
      <w:r>
        <w:rPr>
          <w:rFonts w:ascii="Arial" w:cs="Arial" w:eastAsia="Arial" w:hAnsi="Arial"/>
          <w:sz w:val="18"/>
          <w:szCs w:val="18"/>
          <w:b w:val="1"/>
          <w:bCs w:val="1"/>
          <w:color w:val="auto"/>
        </w:rPr>
        <w:t>Neither the delivery of this prospectus nor any sale made under it implies that there has been no change in our affairs or that the information in this prospectus is correct as of any date after the date of this prospectus. You should not assume that the information in this prospectus, including any information incorporated in this prospectus by reference, the accompanying prospectus supplement or any free writing prospectus prepared by us, is accurate as of any date other than the date on the front of those documents. Our business, financial condition, results of operations and prospects may have changed since that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should not assume that the information contained in this prospectus is accurate as of any other date.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file or furnish certain information with the SEC, including annual reports on Form 20-F and reports on Form 6-K under the Securities Exchange Act of 1934, as amended, or the Exchange Act. You may read and copy this information at the following location of the SEC: Public Reference Room, 100 F Street, N.E., Washington, D.C. 20549.</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You may obtain information on the operation of the SEC’s Public Reference Room by calling the SEC at 1-800-SEC-0330. The SEC also maintains an Internet site that contains reports and other information about issuers like us who file electronically with the SEC. The address of the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As a foreign private issuer, we are exempt under the Exchange Act from, among other things, the rules prescribing the furnishing and content of proxy statements, and our managing directors, supervisory directors and principal shareholders are exempt from the reporting and short-swing profit recovery provisions contained in Section 16 of the Exchange Act.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factors relating to:</w:t>
      </w:r>
    </w:p>
    <w:p>
      <w:pPr>
        <w:spacing w:after="0" w:line="255" w:lineRule="exact"/>
        <w:rPr>
          <w:sz w:val="20"/>
          <w:szCs w:val="20"/>
          <w:color w:val="auto"/>
        </w:rPr>
      </w:pPr>
    </w:p>
    <w:p>
      <w:pPr>
        <w:ind w:left="660" w:right="8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and maintain regulatory approval and to commercialize semorinemab, ACI-35, Morphomer Tau, ACI-24 for Alzheimer’s disease (AD) and for Down syndrome (DS), crenezumab and PI-2620 (our Tau-PET Imaging Tracer);</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clinical safety, efficacy and utility of our product candidates;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product candidates;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and maintain our, and not infringe on third parties’, intellectual property rights throughout the world;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144"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Food and Drug Administration’s and applicable foreign regulatory authorities’ acceptance of data from studies we and our collaboration partners conduct within and outside the United States now and in the future;</w:t>
      </w:r>
    </w:p>
    <w:p>
      <w:pPr>
        <w:spacing w:after="0" w:line="89"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89"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7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Covid-19 on our business, suppliers, patients and employees and any other impact of Covid-19;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other risk factors discussed in our most recent Annual Report on Form 20-F.</w:t>
      </w:r>
    </w:p>
    <w:p>
      <w:pPr>
        <w:spacing w:after="0" w:line="29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These forward-looking statements speak only as of the date of this prospectus and are subject to a number of risks, uncertainties and assumptions described under the sections in this prospectus entitled “Risk Factors”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such as the global pandemic originating with Covid-19,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a clinical stage biopharmaceutical company focused on neurodegenerative diseases with six product candidates in clinical trials. We leverage our two proprietary technology platforms to discover, design and develop novel, proprietary small molecules, antibodies and vaccines for prevention, diagnosis and treatment of neurodegenerative diseases associated with protein misfolding. Misfolded proteins are generally recognized as the leading cause of neurodegenerative diseases, such as Alzheimer’s disease (AD) and Parkinson’s disease (PD) with common mechanisms and drug targets, such as Tau, Abeta, alpha-synuclein and Tar DNA-binding Protein (TDP-43). We believe that our large and diverse pipeline of nine therapeutic candidates and three diagnostic candidates has the potential to drive a paradigm shift in the treatment of a broad spectrum of neurodegenerative and other diseases related to protein misfolding.</w:t>
      </w:r>
    </w:p>
    <w:p>
      <w:pPr>
        <w:spacing w:after="0" w:line="195" w:lineRule="exact"/>
        <w:rPr>
          <w:sz w:val="20"/>
          <w:szCs w:val="20"/>
          <w:color w:val="auto"/>
        </w:rPr>
      </w:pPr>
    </w:p>
    <w:p>
      <w:pPr>
        <w:ind w:right="240" w:firstLine="324"/>
        <w:spacing w:after="0" w:line="275"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Swiss enterprise identification number is CHE-109.878.825. Our domicile and registered office is in Ecublens, near Lausanne, Canton of Vaud, Switzerland. Our common shares were admitted to trading on NASDAQ Global Market on September 23, 2016. Our shares are traded under the symbol “ACIU.”</w:t>
      </w:r>
    </w:p>
    <w:p>
      <w:pPr>
        <w:spacing w:after="0" w:line="176"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Our registered and principal executive offices are located at EPFL Innovation Park, Building B, 1015 Lausanne, Switzerland, our general telephone number is (41) 21 345 91 21 and our internet address is www.acimmune.com. Our website and the information contained on or accessible through our website are not part of this prospectus.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Before making a decision to invest in our securities, you should carefully consider the risks described under “Risk Factors” in the applicable prospectus supplement and in our then most recent Annual Report on Form 20-F, and in any updates to those risk factors in our reports Form 6-K incorporated herein, together with all of the other information appearing or incorporated by reference in this prospectus and any applicable prospectus supplement, in light of your particular investment objectives and financial circumstances.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will not receive any proceeds from the sale of common shares by the selling shareholder. All proceeds from the sale of such securities will be received by the selling shareholder.</w:t>
      </w:r>
    </w:p>
    <w:p>
      <w:pPr>
        <w:spacing w:after="0" w:line="27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225" w:right="79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As of the date of this prospectus, our issued share capital is CHF 1,534,825.70, consisting of 76,741,285 common shares with a nominal value of CHF 0.02 each. We have no dividend rights certificates (</w:t>
      </w:r>
      <w:r>
        <w:rPr>
          <w:rFonts w:ascii="Arial" w:cs="Arial" w:eastAsia="Arial" w:hAnsi="Arial"/>
          <w:sz w:val="18"/>
          <w:szCs w:val="18"/>
          <w:i w:val="1"/>
          <w:iCs w:val="1"/>
          <w:color w:val="auto"/>
        </w:rPr>
        <w:t>bons de jouissance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On September 14, 2020, we adopted the articles of association and when we refer to our articles of association in this prospectus, we refer to the articles of association as filed as Exhibit 4.1 hereto.</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right="200" w:firstLine="324"/>
        <w:spacing w:after="0" w:line="301" w:lineRule="auto"/>
        <w:rPr>
          <w:sz w:val="20"/>
          <w:szCs w:val="20"/>
          <w:color w:val="auto"/>
        </w:rPr>
      </w:pPr>
      <w:r>
        <w:rPr>
          <w:rFonts w:ascii="Arial" w:cs="Arial" w:eastAsia="Arial" w:hAnsi="Arial"/>
          <w:sz w:val="16"/>
          <w:szCs w:val="16"/>
          <w:color w:val="auto"/>
        </w:rPr>
        <w:t>Under our articles of association, our purpose is the research, study, development, manufacture, promotion, sale and marketing of products and substances within the pharmaceutical and nutrition industry as well as the purchase, sale and exploitation of patents and licenses in this field. We may engage in any activities which are apt to favor our purpose directly or indirectly. We may also acquire and sell real estate. We may open branch offices in Switzerland and abroad and may also acquire participations in other companies. We may provide securities to our subsidiaries and supply guarantees.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22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 simple majority of the votes cast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77"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165" w:lineRule="exact"/>
        <w:rPr>
          <w:sz w:val="20"/>
          <w:szCs w:val="20"/>
          <w:color w:val="auto"/>
        </w:rPr>
      </w:pPr>
    </w:p>
    <w:p>
      <w:pPr>
        <w:ind w:left="660" w:right="2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5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Pursuant to the CO, shareholders have preemptive subscription rights (</w:t>
      </w:r>
      <w:r>
        <w:rPr>
          <w:rFonts w:ascii="Arial" w:cs="Arial" w:eastAsia="Arial" w:hAnsi="Arial"/>
          <w:sz w:val="16"/>
          <w:szCs w:val="16"/>
          <w:i w:val="1"/>
          <w:iCs w:val="1"/>
          <w:color w:val="auto"/>
        </w:rPr>
        <w:t>droits de souscription</w:t>
      </w:r>
      <w:r>
        <w:rPr>
          <w:rFonts w:ascii="Arial" w:cs="Arial" w:eastAsia="Arial" w:hAnsi="Arial"/>
          <w:sz w:val="16"/>
          <w:szCs w:val="16"/>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6"/>
          <w:szCs w:val="16"/>
          <w:i w:val="1"/>
          <w:iCs w:val="1"/>
          <w:color w:val="auto"/>
        </w:rPr>
        <w:t>droit de souscrire préalablement</w:t>
      </w:r>
      <w:r>
        <w:rPr>
          <w:rFonts w:ascii="Arial" w:cs="Arial" w:eastAsia="Arial" w:hAnsi="Arial"/>
          <w:sz w:val="16"/>
          <w:szCs w:val="16"/>
          <w:color w:val="auto"/>
        </w:rPr>
        <w:t>) for the subscription of conversion rights, convertible bonds or similar debt instruments.</w:t>
      </w:r>
    </w:p>
    <w:p>
      <w:pPr>
        <w:spacing w:after="0" w:line="14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preemptive subscription rights are granted, but not exercised, the board of directors may allocate the preemptive subscription rights as it elects.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225"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Under Article 3a of our articles of association, our board of directors is authorized to increase the nominal share capital, in one or several steps until June 27, 2022, by a maximum amount of CHF 190,000.00 by issuing a maximum of 9,500,000 common shares with a nominal value of CHF 0.02 each, to be fully paid up. An increase of the share capital (i) by means of an offering underwritten by a financial institution, a syndicate or another third party or third parties, followed by an offer to the then-existing shareholders of the Company and (ii) in partial amounts shall also be permissible.</w:t>
      </w:r>
    </w:p>
    <w:p>
      <w:pPr>
        <w:spacing w:after="0" w:line="157"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Our board of directors shall determine the time of the issuance, the issue price, the manner in which the new common shares have to be paid up, the date from which the common shares carry the right to dividends, the conditions for the exercise of the preemptive rights and the allotment of preemptive rights that have not been exercised. Our board of directors may allow the preemptive rights that have not been exercised to expire, or it may place with third parties such rights or common shares, the preemptive rights of which have not been exercised, at market conditions or use them otherwise in the interest of the Company.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of directors is authorized to withdraw or limit the preemptive rights of the shareholders and to allot them to third parties:</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issue price of the new common shares is determined by reference to the market price; or</w:t>
      </w:r>
    </w:p>
    <w:p>
      <w:pPr>
        <w:spacing w:after="0" w:line="171"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for the acquisition of an enterprise, part of an enterprise or participations, or for the financing or refinancing of any of such acquisition, or in the event of share placement for the financing or refinancing of such placement; or</w:t>
      </w:r>
    </w:p>
    <w:p>
      <w:pPr>
        <w:spacing w:after="0" w:line="89"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common shares on domestic or foreign stock exchanges; or</w:t>
      </w:r>
    </w:p>
    <w:p>
      <w:pPr>
        <w:spacing w:after="0" w:line="43"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for purposes of granting an over-allotment option (Greenshoe) of up to 20% of the total number of common shares in a placement or sale of common shares to the respective initial purchaser(s) or underwriter(s); or</w:t>
      </w:r>
    </w:p>
    <w:p>
      <w:pPr>
        <w:spacing w:after="0" w:line="89"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for raising of capital (including private placements) in a fast and flexible which probably could not be reached without the exclusion of the statutory preemptive right of the existing shareholders; or</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other valid grounds in the sense of Article 652b para. 2 CO; or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660" w:right="120"/>
        <w:spacing w:after="0" w:line="275" w:lineRule="auto"/>
        <w:rPr>
          <w:sz w:val="20"/>
          <w:szCs w:val="20"/>
          <w:color w:val="auto"/>
        </w:rPr>
      </w:pPr>
      <w:r>
        <w:rPr>
          <w:rFonts w:ascii="Arial" w:cs="Arial" w:eastAsia="Arial" w:hAnsi="Arial"/>
          <w:sz w:val="17"/>
          <w:szCs w:val="17"/>
          <w:color w:val="auto"/>
        </w:rPr>
        <w:t>following a shareholder or a group of shareholders acting in concert having accumulated shareholdings in excess of 33 1/3 %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Bonds and Similar Debt Instruments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Article 3b of our articles of association, our nominal share capital may be increased by a maximum amount of CHF 91,560.94 through the issuance of not more than 4,578,047 common shares, which would have to be fully paid-in, with a nominal value of CHF 0.02 each, by the exercise of conversion and/or option or warrant rights granted in connection with bonds or similar instruments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18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subscription right of shareholders to subscribe to the convertible bond issuance:</w:t>
      </w:r>
    </w:p>
    <w:p>
      <w:pPr>
        <w:spacing w:after="0" w:line="238" w:lineRule="exact"/>
        <w:rPr>
          <w:sz w:val="20"/>
          <w:szCs w:val="20"/>
          <w:color w:val="auto"/>
        </w:rPr>
      </w:pPr>
    </w:p>
    <w:p>
      <w:pPr>
        <w:ind w:left="660" w:right="280"/>
        <w:spacing w:after="0" w:line="465" w:lineRule="auto"/>
        <w:rPr>
          <w:sz w:val="20"/>
          <w:szCs w:val="20"/>
          <w:color w:val="auto"/>
        </w:rPr>
      </w:pPr>
      <w:r>
        <w:rPr>
          <w:rFonts w:ascii="Arial" w:cs="Arial" w:eastAsia="Arial" w:hAnsi="Arial"/>
          <w:sz w:val="18"/>
          <w:szCs w:val="18"/>
          <w:color w:val="auto"/>
        </w:rPr>
        <w:t>in order to finance or re-finance the acquisition of companies, parts of companies or holdings, or new investments planned by the Company; or in order to issue convertible bonds and warrants on the international capital markets or through private placement.</w:t>
      </w:r>
    </w:p>
    <w:p>
      <w:pPr>
        <w:spacing w:after="0" w:line="10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To the extent that the advance subscription rights are withdrawn, then (i) the instruments are to be placed at market conditions, (ii) the exercise period is not to exceed ten years from the date of issue for warrants and twenty years for conversion rights and (iii) the conversion or exercise price for the new shares is to be set at least in line with the market conditions prevailing at the date on which the instruments are issued.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Conditional Share Capital for Employee Benefit Plans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Under Article 3c of our articles of association, our nominal share capital may, to the exclusion of the preemptive subscription rights of shareholders, be increased by a maximum aggregate amount of CHF 68,877.60 through the issuance of not more than 3,443,880 common shares, which would have to be fully paid-in, with a nominal value of CHF 0.02 each, by the exercise of option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shares are uncertificated securities (</w:t>
      </w:r>
      <w:r>
        <w:rPr>
          <w:rFonts w:ascii="Arial" w:cs="Arial" w:eastAsia="Arial" w:hAnsi="Arial"/>
          <w:sz w:val="16"/>
          <w:szCs w:val="16"/>
          <w:i w:val="1"/>
          <w:iCs w:val="1"/>
          <w:color w:val="auto"/>
        </w:rPr>
        <w:t>droits-valeurs</w:t>
      </w:r>
      <w:r>
        <w:rPr>
          <w:rFonts w:ascii="Arial" w:cs="Arial" w:eastAsia="Arial" w:hAnsi="Arial"/>
          <w:sz w:val="16"/>
          <w:szCs w:val="16"/>
          <w:color w:val="auto"/>
        </w:rPr>
        <w:t>, within the meaning of Article 973c of the CO) and, when administered by a financial intermediary (</w:t>
      </w:r>
      <w:r>
        <w:rPr>
          <w:rFonts w:ascii="Arial" w:cs="Arial" w:eastAsia="Arial" w:hAnsi="Arial"/>
          <w:sz w:val="16"/>
          <w:szCs w:val="16"/>
          <w:i w:val="1"/>
          <w:iCs w:val="1"/>
          <w:color w:val="auto"/>
        </w:rPr>
        <w:t>dépositaire</w:t>
      </w:r>
      <w:r>
        <w:rPr>
          <w:rFonts w:ascii="Arial" w:cs="Arial" w:eastAsia="Arial" w:hAnsi="Arial"/>
          <w:sz w:val="16"/>
          <w:szCs w:val="16"/>
          <w:color w:val="auto"/>
        </w:rPr>
        <w:t>, within the meaning of the Federal Act on Intermediated Securities, “FISA”), qualify as intermediated securities (</w:t>
      </w:r>
      <w:r>
        <w:rPr>
          <w:rFonts w:ascii="Arial" w:cs="Arial" w:eastAsia="Arial" w:hAnsi="Arial"/>
          <w:sz w:val="16"/>
          <w:szCs w:val="16"/>
          <w:i w:val="1"/>
          <w:iCs w:val="1"/>
          <w:color w:val="auto"/>
        </w:rPr>
        <w:t>titres</w:t>
      </w:r>
      <w:r>
        <w:rPr>
          <w:rFonts w:ascii="Arial" w:cs="Arial" w:eastAsia="Arial" w:hAnsi="Arial"/>
          <w:sz w:val="16"/>
          <w:szCs w:val="16"/>
          <w:color w:val="auto"/>
        </w:rPr>
        <w:t xml:space="preserve"> </w:t>
      </w:r>
      <w:r>
        <w:rPr>
          <w:rFonts w:ascii="Arial" w:cs="Arial" w:eastAsia="Arial" w:hAnsi="Arial"/>
          <w:sz w:val="16"/>
          <w:szCs w:val="16"/>
          <w:i w:val="1"/>
          <w:iCs w:val="1"/>
          <w:color w:val="auto"/>
        </w:rPr>
        <w:t>intermédiés</w:t>
      </w:r>
      <w:r>
        <w:rPr>
          <w:rFonts w:ascii="Arial" w:cs="Arial" w:eastAsia="Arial" w:hAnsi="Arial"/>
          <w:sz w:val="16"/>
          <w:szCs w:val="16"/>
          <w:color w:val="auto"/>
        </w:rPr>
        <w:t>, within the meaning of the FISA). In accordance with Article 973c of the CO, we will maintain a non-public register of uncertificated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registre des droits-valeurs</w:t>
      </w:r>
      <w:r>
        <w:rPr>
          <w:rFonts w:ascii="Arial" w:cs="Arial" w:eastAsia="Arial" w:hAnsi="Arial"/>
          <w:sz w:val="16"/>
          <w:szCs w:val="16"/>
          <w:color w:val="auto"/>
        </w:rPr>
        <w:t>). We may at any time convert uncertificated securities into share certificates (including global certificates), one kind of certificate into another, or share certificates (including global certificates) into uncertificated securities. Following entry in the share register, a shareholder may at any time request from us a written confirmation in respect of the shares held by such shareholder, as reflected in the share register. Shareholders</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are not entitled, however, to request the printing and delivery of certificates. We may print and deliver certificates for shares at any time.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225"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generally means on or before June 30.</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29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144"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89"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89"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approving the total compensation of members of the board of directors and executive management, which under Swiss law is not necessarily limited to the executive officers;</w:t>
      </w:r>
    </w:p>
    <w:p>
      <w:pPr>
        <w:spacing w:after="0" w:line="89"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31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An extraordinary general meeting of shareholders may be called by a resolution of the board of directors or of the general meeting of shareholders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the votes cast at the general meeting of shareholders regardless of abstentions or empty or invalid votes, unless otherwise stipulated by law.</w:t>
      </w:r>
    </w:p>
    <w:p>
      <w:pPr>
        <w:spacing w:after="0" w:line="12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23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creating shares with preference rights;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144"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the share capital out of equity, against contributions in-kind or for the purpose of acquiring specific assets and granting specific benefits;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limiting or withdrawing shareholder’s preemptive subscription rights;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alleviating or withdrawing of restrictions upon the transfer of registered shares and the removal of the voting cap of 331/3%;</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removing or amending the indemnification provision for the board of directors and executive management;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293" w:lineRule="exact"/>
        <w:rPr>
          <w:sz w:val="20"/>
          <w:szCs w:val="20"/>
          <w:color w:val="auto"/>
        </w:rPr>
      </w:pPr>
    </w:p>
    <w:p>
      <w:pPr>
        <w:ind w:right="580" w:firstLine="324"/>
        <w:spacing w:after="0" w:line="263"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 Compulsory Acquisitions; Appraisal Rights.”</w:t>
      </w:r>
    </w:p>
    <w:p>
      <w:pPr>
        <w:spacing w:after="0" w:line="184"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Notice</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9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Agenda Requests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Pursuant to Swiss law, one or more shareholders, whose combined shareholdings represent the lower of (i) one tenth of the share capital or (ii) an aggregate nominal value of at least CHF 1,000,000, may request that an item be included in the agenda for a general meeting of shareholders. To be timely, the shareholder’s request must be received by us generally at least 120 calendar days before the first anniversary of the date that the Company's proxy statement was released to shareholders in connection with the previous year's ordinary general meeting of</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shareholders. The request must be made in writing and contain, for each of the agenda items, the following information:</w:t>
      </w:r>
    </w:p>
    <w:p>
      <w:pPr>
        <w:spacing w:after="0" w:line="29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brief description of the business desired to be brought before the meeting and the reasons for conducting such business at the meeting;</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and address, as they appear on the Company's register of shareholders, of the shareholder proposing such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of the Company which are beneficially owned by such shareholder;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dates upon which the shareholder acquired such shares;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documentary support for any claim of beneficial ownership;</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material interest of such shareholder in such business;</w:t>
      </w:r>
    </w:p>
    <w:p>
      <w:pPr>
        <w:spacing w:after="0" w:line="144"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statement in support of the matter and, for proposals sought to be included in the Company's proxy statement, any other information required by Securities and Exchange Commission Rule "14a-8".</w:t>
      </w:r>
    </w:p>
    <w:p>
      <w:pPr>
        <w:spacing w:after="0" w:line="23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61" w:lineRule="exact"/>
        <w:rPr>
          <w:sz w:val="20"/>
          <w:szCs w:val="20"/>
          <w:color w:val="auto"/>
        </w:rPr>
      </w:pPr>
    </w:p>
    <w:p>
      <w:pPr>
        <w:jc w:val="both"/>
        <w:ind w:right="180" w:firstLine="324"/>
        <w:spacing w:after="0" w:line="275" w:lineRule="auto"/>
        <w:rPr>
          <w:sz w:val="20"/>
          <w:szCs w:val="20"/>
          <w:color w:val="auto"/>
        </w:rPr>
      </w:pPr>
      <w:r>
        <w:rPr>
          <w:rFonts w:ascii="Arial" w:cs="Arial" w:eastAsia="Arial" w:hAnsi="Arial"/>
          <w:sz w:val="17"/>
          <w:szCs w:val="17"/>
          <w:color w:val="auto"/>
        </w:rPr>
        <w:t>Our articles of association contain provisions that prevent investors from acquiring voting rights exceeding 331⁄3% of the outstanding share capital. Specifically, no individual or legal entity may, directly or indirectly, control voting rights with respect to 331⁄3% or more of the registered share capital recorded in the Commercial Register. In the event that a shareholder should exceed the 331⁄3% ownership threshold, the registered shares exceeding the limit of 331⁄3% shall be entered in our share registered as shares without voting rights. The board of directors may in special cases approve exceptions to the above regulations. Additional voting caps apply to shareholders acquiring shares for other persons (nominees).</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votes cast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 simple majority of the votes cast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96"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Shares in uncertificated form (</w:t>
      </w:r>
      <w:r>
        <w:rPr>
          <w:rFonts w:ascii="Arial" w:cs="Arial" w:eastAsia="Arial" w:hAnsi="Arial"/>
          <w:sz w:val="17"/>
          <w:szCs w:val="17"/>
          <w:i w:val="1"/>
          <w:iCs w:val="1"/>
          <w:color w:val="auto"/>
        </w:rPr>
        <w:t>droits-valeurs</w:t>
      </w:r>
      <w:r>
        <w:rPr>
          <w:rFonts w:ascii="Arial" w:cs="Arial" w:eastAsia="Arial" w:hAnsi="Arial"/>
          <w:sz w:val="17"/>
          <w:szCs w:val="17"/>
          <w:color w:val="auto"/>
        </w:rPr>
        <w:t>) may only be transferred by way of a written and signed declaration of assignment. Shares or the beneficial interest in shares, as applicable, in the form of intermediated securities (</w:t>
      </w:r>
      <w:r>
        <w:rPr>
          <w:rFonts w:ascii="Arial" w:cs="Arial" w:eastAsia="Arial" w:hAnsi="Arial"/>
          <w:sz w:val="17"/>
          <w:szCs w:val="17"/>
          <w:i w:val="1"/>
          <w:iCs w:val="1"/>
          <w:color w:val="auto"/>
        </w:rPr>
        <w:t>titres intermédiés</w:t>
      </w:r>
      <w:r>
        <w:rPr>
          <w:rFonts w:ascii="Arial" w:cs="Arial" w:eastAsia="Arial" w:hAnsi="Arial"/>
          <w:sz w:val="17"/>
          <w:szCs w:val="17"/>
          <w:color w:val="auto"/>
        </w:rPr>
        <w:t>) according to FISA that are credited in a securities account may be transferred when a credit of the relevant intermediated securities to the acquirer’s securities account is made in accordance with applicable rules. Voting rights may be exercised only after a shareholder has been entered in our share register (</w:t>
      </w:r>
      <w:r>
        <w:rPr>
          <w:rFonts w:ascii="Arial" w:cs="Arial" w:eastAsia="Arial" w:hAnsi="Arial"/>
          <w:sz w:val="17"/>
          <w:szCs w:val="17"/>
          <w:i w:val="1"/>
          <w:iCs w:val="1"/>
          <w:color w:val="auto"/>
        </w:rPr>
        <w:t>registre des actions</w:t>
      </w:r>
      <w:r>
        <w:rPr>
          <w:rFonts w:ascii="Arial" w:cs="Arial" w:eastAsia="Arial" w:hAnsi="Arial"/>
          <w:sz w:val="17"/>
          <w:szCs w:val="17"/>
          <w:color w:val="auto"/>
        </w:rPr>
        <w:t>) with his or her name and address (in the case of legal entities, the registered office) as a shareholder with voting rights. Our articles of association contain provisions that prevent investors from acquiring voting rights exceeding 331⁄3% of the outstanding share capital. Specifically, no individual or legal entity may, directly or indirectly, control voting rights with respect to 331⁄3% or more of the registered share capital recorded in the Commercial Register except if such individual or legal entity has submitted a tender offer to all shareholders. In the event that a shareholder should exceed the 331⁄3% ownership threshold, the registered shares exceeding the limit of 331⁄3% shall be entered in our share registered as shares without voting rights. Additional voting caps apply to shareholders acquiring shares for other persons (nominees).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and other legitimate interest. See “Comparison of Swiss Law and Delaware Law—Inspection of Books and Records.”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Special Investigation</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 demerger requires approval of two-thirds of the shares represented at a general meeting of shareholders and the absolute majority of the nominal value of the shares represented.</w:t>
      </w:r>
    </w:p>
    <w:p>
      <w:pPr>
        <w:spacing w:after="0" w:line="18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9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25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144"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238" w:lineRule="exact"/>
        <w:rPr>
          <w:sz w:val="20"/>
          <w:szCs w:val="20"/>
          <w:color w:val="auto"/>
        </w:rPr>
      </w:pPr>
    </w:p>
    <w:p>
      <w:pPr>
        <w:ind w:right="300" w:firstLine="324"/>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Powers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29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144"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89"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93"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225"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4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entered into indemnification agreements with each of the members of our board of directors and executive management.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225" w:lineRule="exact"/>
        <w:rPr>
          <w:sz w:val="20"/>
          <w:szCs w:val="20"/>
          <w:color w:val="auto"/>
        </w:rPr>
      </w:pPr>
    </w:p>
    <w:p>
      <w:pPr>
        <w:ind w:right="220" w:firstLine="324"/>
        <w:spacing w:after="0" w:line="311" w:lineRule="auto"/>
        <w:rPr>
          <w:sz w:val="20"/>
          <w:szCs w:val="20"/>
          <w:color w:val="auto"/>
        </w:rPr>
      </w:pPr>
      <w:r>
        <w:rPr>
          <w:rFonts w:ascii="Arial" w:cs="Arial" w:eastAsia="Arial" w:hAnsi="Arial"/>
          <w:sz w:val="16"/>
          <w:szCs w:val="16"/>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Our board of directors has adopted a Code of Business Conduct and Ethics that covers a broad range of matters, including the handling of conflicts of interest.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225"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Pursuant to Swiss law, beginning at our first annual meeting as a public company in 2016 our shareholders must annually approve the aggregate compensation of the board of directors and the persons whom the board of directors has, fully or partially, entrusted with the management of the Company.</w:t>
      </w:r>
    </w:p>
    <w:p>
      <w:pPr>
        <w:spacing w:after="0" w:line="12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board of directors must issue, on an annual basis, a written compensation report that must be reviewed by our auditors. The compensation report must disclose all compensation granted by the Company, directly or indirectly, to current members of the board of directors and the executive management and, to the extent related to their former role within the Company or not on customary market terms, to former members of the board of directors and former executive officers.</w:t>
      </w:r>
    </w:p>
    <w:p>
      <w:pPr>
        <w:spacing w:after="0" w:line="187"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respectively, as well as the particular amount for each member of the board of directors and executive officer, specifying the name and function of each person.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293" w:lineRule="exact"/>
        <w:rPr>
          <w:sz w:val="20"/>
          <w:szCs w:val="20"/>
          <w:color w:val="auto"/>
        </w:rPr>
      </w:pPr>
    </w:p>
    <w:p>
      <w:pPr>
        <w:ind w:left="660" w:right="3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44"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89" w:lineRule="exact"/>
        <w:rPr>
          <w:rFonts w:ascii="Arial" w:cs="Arial" w:eastAsia="Arial" w:hAnsi="Arial"/>
          <w:sz w:val="18"/>
          <w:szCs w:val="18"/>
          <w:color w:val="auto"/>
        </w:rPr>
      </w:pPr>
    </w:p>
    <w:p>
      <w:pPr>
        <w:ind w:left="660" w:right="5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9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29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144" w:lineRule="exact"/>
        <w:rPr>
          <w:rFonts w:ascii="Arial" w:cs="Arial" w:eastAsia="Arial" w:hAnsi="Arial"/>
          <w:sz w:val="18"/>
          <w:szCs w:val="18"/>
          <w:color w:val="auto"/>
        </w:rPr>
      </w:pPr>
    </w:p>
    <w:p>
      <w:pPr>
        <w:ind w:left="5520" w:right="2400" w:hanging="5188"/>
        <w:spacing w:after="0" w:line="481" w:lineRule="auto"/>
        <w:tabs>
          <w:tab w:leader="none" w:pos="6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88"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225"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70"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shares are listed on the NASDAQ Global Market under the symbol “ACIU.”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Computershare Trust Company, N.A. acts as transfer agent and registrar for our common shares. The share register reflects only record owners of our shares. Swiss law does not recognize fractional share interests.</w:t>
      </w: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in 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41" w:lineRule="exact"/>
        <w:rPr>
          <w:sz w:val="20"/>
          <w:szCs w:val="20"/>
          <w:color w:val="auto"/>
        </w:rPr>
      </w:pPr>
    </w:p>
    <w:p>
      <w:pPr>
        <w:ind w:left="1380"/>
        <w:spacing w:after="0"/>
        <w:tabs>
          <w:tab w:leader="none" w:pos="738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240"/>
          </w:cols>
          <w:pgMar w:left="320" w:top="225" w:right="339" w:bottom="1440" w:gutter="0" w:footer="0" w:header="0"/>
        </w:sectPr>
      </w:pP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 sur la fusion</w:t>
      </w:r>
      <w:r>
        <w:rPr>
          <w:rFonts w:ascii="Arial" w:cs="Arial" w:eastAsia="Arial" w:hAnsi="Arial"/>
          <w:sz w:val="16"/>
          <w:szCs w:val="16"/>
          <w:color w:val="auto"/>
        </w:rPr>
        <w:t>) can file a lawsuit against the surviving company. If the 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 90.0% of all members in the transferring legal entity, who are entitled to vote, shall approve the merger agreement.</w:t>
      </w:r>
    </w:p>
    <w:p>
      <w:pPr>
        <w:spacing w:after="0" w:line="305" w:lineRule="exact"/>
        <w:rPr>
          <w:sz w:val="20"/>
          <w:szCs w:val="20"/>
          <w:color w:val="auto"/>
        </w:rPr>
      </w:pPr>
    </w:p>
    <w:p>
      <w:pPr>
        <w:sectPr>
          <w:pgSz w:w="11900" w:h="16838" w:orient="portrait"/>
          <w:cols w:equalWidth="0" w:num="2">
            <w:col w:w="5460" w:space="400"/>
            <w:col w:w="5380"/>
          </w:cols>
          <w:pgMar w:left="320" w:top="225"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240"/>
          </w:cols>
          <w:pgMar w:left="320" w:top="225" w:right="339" w:bottom="1440" w:gutter="0" w:footer="0" w:header="0"/>
          <w:type w:val="continuous"/>
        </w:sectPr>
      </w:pPr>
    </w:p>
    <w:p>
      <w:pPr>
        <w:spacing w:after="0" w:line="10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subject to certain conditions, to the individual shareholder. Likewise, an appraisal lawsuit won by a shareholder may indirectly compensate all shareholders. In addition, to the extent that US laws and regulations provide a basis for liability and US courts have jurisdiction, a class action may be available.</w:t>
      </w:r>
    </w:p>
    <w:p>
      <w:pPr>
        <w:spacing w:after="0" w:line="18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Under Swiss law, the winning party is generally entitled to recover or to partially recover attorneys’ fees incurred in connection with such action, provided, however, that the court has broad discretion to permit the shareholder whose claim has been dismissed to recover attorneys’ fees incurred to the extent he or she acted in good faith.</w:t>
      </w:r>
    </w:p>
    <w:p>
      <w:pPr>
        <w:spacing w:after="0" w:line="200" w:lineRule="exact"/>
        <w:rPr>
          <w:sz w:val="20"/>
          <w:szCs w:val="20"/>
          <w:color w:val="auto"/>
        </w:rPr>
      </w:pPr>
    </w:p>
    <w:p>
      <w:pPr>
        <w:sectPr>
          <w:pgSz w:w="11900" w:h="16838" w:orient="portrait"/>
          <w:cols w:equalWidth="0" w:num="2">
            <w:col w:w="5480" w:space="380"/>
            <w:col w:w="5380"/>
          </w:cols>
          <w:pgMar w:left="320" w:top="225" w:right="339" w:bottom="1440" w:gutter="0" w:footer="0" w:header="0"/>
          <w:type w:val="continuous"/>
        </w:sectPr>
      </w:pP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2" w:name="page23"/>
    <w:bookmarkEnd w:id="2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jc w:val="right"/>
        <w:ind w:right="1600"/>
        <w:spacing w:after="0"/>
        <w:tabs>
          <w:tab w:leader="none" w:pos="216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220"/>
          </w:cols>
          <w:pgMar w:left="320" w:top="225" w:right="359" w:bottom="1440" w:gutter="0" w:footer="0" w:header="0"/>
        </w:sectPr>
      </w:pPr>
    </w:p>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Pursuant to the Swiss Ordinance against excessive compensation in listed stock corporations (</w:t>
      </w:r>
      <w:r>
        <w:rPr>
          <w:rFonts w:ascii="Arial" w:cs="Arial" w:eastAsia="Arial" w:hAnsi="Arial"/>
          <w:sz w:val="16"/>
          <w:szCs w:val="16"/>
          <w:i w:val="1"/>
          <w:iCs w:val="1"/>
          <w:color w:val="auto"/>
        </w:rPr>
        <w:t>Ordonnance contre les rémunérations abusives dans</w:t>
      </w:r>
      <w:r>
        <w:rPr>
          <w:rFonts w:ascii="Arial" w:cs="Arial" w:eastAsia="Arial" w:hAnsi="Arial"/>
          <w:sz w:val="16"/>
          <w:szCs w:val="16"/>
          <w:color w:val="auto"/>
        </w:rPr>
        <w:t xml:space="preserve"> </w:t>
      </w:r>
      <w:r>
        <w:rPr>
          <w:rFonts w:ascii="Arial" w:cs="Arial" w:eastAsia="Arial" w:hAnsi="Arial"/>
          <w:sz w:val="16"/>
          <w:szCs w:val="16"/>
          <w:i w:val="1"/>
          <w:iCs w:val="1"/>
          <w:color w:val="auto"/>
        </w:rPr>
        <w:t>les sociétés anonymes cotées en bourse</w:t>
      </w:r>
      <w:r>
        <w:rPr>
          <w:rFonts w:ascii="Arial" w:cs="Arial" w:eastAsia="Arial" w:hAnsi="Arial"/>
          <w:sz w:val="16"/>
          <w:szCs w:val="16"/>
          <w:color w:val="auto"/>
        </w:rPr>
        <w:t>), the general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has the non-transferable right, amongst others, to vote on the aggregate amount of compensation of the members of the board of directors, of the executive committee and of the advisory boards.</w:t>
      </w:r>
    </w:p>
    <w:p>
      <w:pPr>
        <w:spacing w:after="0" w:line="83" w:lineRule="exact"/>
        <w:rPr>
          <w:sz w:val="20"/>
          <w:szCs w:val="20"/>
          <w:color w:val="auto"/>
        </w:rPr>
      </w:pPr>
    </w:p>
    <w:p>
      <w:pPr>
        <w:sectPr>
          <w:pgSz w:w="11900" w:h="16838" w:orient="portrait"/>
          <w:cols w:equalWidth="0" w:num="2">
            <w:col w:w="5260" w:space="600"/>
            <w:col w:w="5360"/>
          </w:cols>
          <w:pgMar w:left="320" w:top="225" w:right="35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220"/>
          </w:cols>
          <w:pgMar w:left="320" w:top="225" w:right="359" w:bottom="1440" w:gutter="0" w:footer="0" w:header="0"/>
          <w:type w:val="continuous"/>
        </w:sectPr>
      </w:pP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general meeting of shareholders elects the members of the board of directors, the chairperson of the board of directors and the members of the compensation committee individually and annually for a term of office until the end of the following general meeting of shareholders. Re-election is possible.</w:t>
      </w:r>
    </w:p>
    <w:p>
      <w:pPr>
        <w:spacing w:after="0" w:line="378" w:lineRule="exact"/>
        <w:rPr>
          <w:sz w:val="20"/>
          <w:szCs w:val="20"/>
          <w:color w:val="auto"/>
        </w:rPr>
      </w:pPr>
    </w:p>
    <w:p>
      <w:pPr>
        <w:sectPr>
          <w:pgSz w:w="11900" w:h="16838" w:orient="portrait"/>
          <w:cols w:equalWidth="0" w:num="2">
            <w:col w:w="5460" w:space="400"/>
            <w:col w:w="5360"/>
          </w:cols>
          <w:pgMar w:left="320" w:top="225" w:right="359" w:bottom="1440" w:gutter="0" w:footer="0" w:header="0"/>
          <w:type w:val="continuous"/>
        </w:sectPr>
      </w:pP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220"/>
          </w:cols>
          <w:pgMar w:left="320" w:top="225" w:right="359" w:bottom="1440" w:gutter="0" w:footer="0" w:header="0"/>
          <w:type w:val="continuous"/>
        </w:sectPr>
      </w:pP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192" w:lineRule="exact"/>
        <w:rPr>
          <w:sz w:val="20"/>
          <w:szCs w:val="20"/>
          <w:color w:val="auto"/>
        </w:rPr>
      </w:pPr>
    </w:p>
    <w:p>
      <w:pPr>
        <w:ind w:left="160" w:right="660" w:hanging="152"/>
        <w:spacing w:after="0" w:line="277" w:lineRule="auto"/>
        <w:tabs>
          <w:tab w:leader="none" w:pos="1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170" w:lineRule="exact"/>
        <w:rPr>
          <w:rFonts w:ascii="Arial" w:cs="Arial" w:eastAsia="Arial" w:hAnsi="Arial"/>
          <w:sz w:val="18"/>
          <w:szCs w:val="18"/>
          <w:color w:val="auto"/>
        </w:rPr>
      </w:pPr>
    </w:p>
    <w:p>
      <w:pPr>
        <w:ind w:left="160" w:right="780" w:hanging="152"/>
        <w:spacing w:after="0" w:line="277" w:lineRule="auto"/>
        <w:tabs>
          <w:tab w:leader="none" w:pos="1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170" w:lineRule="exact"/>
        <w:rPr>
          <w:rFonts w:ascii="Arial" w:cs="Arial" w:eastAsia="Arial" w:hAnsi="Arial"/>
          <w:sz w:val="18"/>
          <w:szCs w:val="18"/>
          <w:color w:val="auto"/>
        </w:rPr>
      </w:pPr>
    </w:p>
    <w:p>
      <w:pPr>
        <w:ind w:left="160" w:right="260" w:hanging="152"/>
        <w:spacing w:after="0" w:line="277" w:lineRule="auto"/>
        <w:tabs>
          <w:tab w:leader="none" w:pos="1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170" w:lineRule="exact"/>
        <w:rPr>
          <w:rFonts w:ascii="Arial" w:cs="Arial" w:eastAsia="Arial" w:hAnsi="Arial"/>
          <w:sz w:val="18"/>
          <w:szCs w:val="18"/>
          <w:color w:val="auto"/>
        </w:rPr>
      </w:pPr>
    </w:p>
    <w:p>
      <w:pPr>
        <w:ind w:left="160" w:right="340" w:hanging="152"/>
        <w:spacing w:after="0" w:line="277" w:lineRule="auto"/>
        <w:tabs>
          <w:tab w:leader="none" w:pos="1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 corporate law, including shareholders of the corporation.</w:t>
      </w:r>
    </w:p>
    <w:p>
      <w:pPr>
        <w:spacing w:after="0" w:line="17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5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828" w:lineRule="exact"/>
        <w:rPr>
          <w:sz w:val="20"/>
          <w:szCs w:val="20"/>
          <w:color w:val="auto"/>
        </w:rPr>
      </w:pPr>
    </w:p>
    <w:p>
      <w:pPr>
        <w:sectPr>
          <w:pgSz w:w="11900" w:h="16838" w:orient="portrait"/>
          <w:cols w:equalWidth="0" w:num="2">
            <w:col w:w="5480" w:space="380"/>
            <w:col w:w="5360"/>
          </w:cols>
          <w:pgMar w:left="320" w:top="225" w:right="359" w:bottom="1440" w:gutter="0" w:footer="0" w:header="0"/>
          <w:type w:val="continuous"/>
        </w:sectPr>
      </w:pP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23" w:name="page24"/>
    <w:bookmarkEnd w:id="2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jc w:val="right"/>
        <w:ind w:right="1560"/>
        <w:spacing w:after="0"/>
        <w:tabs>
          <w:tab w:leader="none" w:pos="216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Directors’ fiduciary duties</w:t>
      </w:r>
    </w:p>
    <w:p>
      <w:pPr>
        <w:sectPr>
          <w:pgSz w:w="11900" w:h="16838" w:orient="portrait"/>
          <w:cols w:equalWidth="0" w:num="1">
            <w:col w:w="11200"/>
          </w:cols>
          <w:pgMar w:left="320" w:top="225" w:right="379" w:bottom="1440" w:gutter="0" w:footer="0" w:header="0"/>
        </w:sectPr>
      </w:pPr>
    </w:p>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170" w:lineRule="exact"/>
        <w:rPr>
          <w:sz w:val="20"/>
          <w:szCs w:val="20"/>
          <w:color w:val="auto"/>
        </w:rPr>
      </w:pPr>
    </w:p>
    <w:p>
      <w:pPr>
        <w:ind w:left="280" w:hanging="14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225" w:lineRule="exact"/>
        <w:rPr>
          <w:rFonts w:ascii="Arial" w:cs="Arial" w:eastAsia="Arial" w:hAnsi="Arial"/>
          <w:sz w:val="18"/>
          <w:szCs w:val="18"/>
          <w:color w:val="auto"/>
        </w:rPr>
      </w:pPr>
    </w:p>
    <w:p>
      <w:pPr>
        <w:ind w:left="280" w:hanging="14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w:t>
      </w:r>
    </w:p>
    <w:p>
      <w:pPr>
        <w:spacing w:after="0" w:line="18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7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7" w:right="20"/>
        <w:spacing w:after="0" w:line="275" w:lineRule="auto"/>
        <w:rPr>
          <w:sz w:val="20"/>
          <w:szCs w:val="20"/>
          <w:color w:val="auto"/>
        </w:rPr>
      </w:pPr>
      <w:r>
        <w:rPr>
          <w:rFonts w:ascii="Arial" w:cs="Arial" w:eastAsia="Arial" w:hAnsi="Arial"/>
          <w:sz w:val="17"/>
          <w:szCs w:val="17"/>
          <w:color w:val="auto"/>
        </w:rPr>
        <w:t>The board of directors of a Swiss corporation manages the business of the corporation, unless responsibility for such management has been delegated to the executive management (for example by organizational rules and comparable bylaws). However, there are several non-transferable duties of the board of directors:</w:t>
      </w:r>
    </w:p>
    <w:p>
      <w:pPr>
        <w:spacing w:after="0" w:line="176" w:lineRule="exact"/>
        <w:rPr>
          <w:sz w:val="20"/>
          <w:szCs w:val="20"/>
          <w:color w:val="auto"/>
        </w:rPr>
      </w:pPr>
    </w:p>
    <w:p>
      <w:pPr>
        <w:ind w:left="147" w:right="600" w:hanging="147"/>
        <w:spacing w:after="0" w:line="277" w:lineRule="auto"/>
        <w:tabs>
          <w:tab w:leader="none" w:pos="1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pacing w:after="0" w:line="170" w:lineRule="exact"/>
        <w:rPr>
          <w:rFonts w:ascii="Arial" w:cs="Arial" w:eastAsia="Arial" w:hAnsi="Arial"/>
          <w:sz w:val="18"/>
          <w:szCs w:val="18"/>
          <w:color w:val="auto"/>
        </w:rPr>
      </w:pPr>
    </w:p>
    <w:p>
      <w:pPr>
        <w:ind w:left="127" w:hanging="127"/>
        <w:spacing w:after="0"/>
        <w:tabs>
          <w:tab w:leader="none" w:pos="1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225" w:lineRule="exact"/>
        <w:rPr>
          <w:rFonts w:ascii="Arial" w:cs="Arial" w:eastAsia="Arial" w:hAnsi="Arial"/>
          <w:sz w:val="18"/>
          <w:szCs w:val="18"/>
          <w:color w:val="auto"/>
        </w:rPr>
      </w:pPr>
    </w:p>
    <w:p>
      <w:pPr>
        <w:jc w:val="both"/>
        <w:ind w:left="147" w:right="500" w:hanging="147"/>
        <w:spacing w:after="0" w:line="342" w:lineRule="auto"/>
        <w:tabs>
          <w:tab w:leader="none" w:pos="12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organization of the accounting, financial control and financial planning systems as required for management of the corporation;</w:t>
      </w:r>
    </w:p>
    <w:p>
      <w:pPr>
        <w:spacing w:after="0" w:line="123" w:lineRule="exact"/>
        <w:rPr>
          <w:rFonts w:ascii="Arial" w:cs="Arial" w:eastAsia="Arial" w:hAnsi="Arial"/>
          <w:sz w:val="16"/>
          <w:szCs w:val="16"/>
          <w:color w:val="auto"/>
        </w:rPr>
      </w:pPr>
    </w:p>
    <w:p>
      <w:pPr>
        <w:ind w:left="147" w:right="100" w:hanging="147"/>
        <w:spacing w:after="0" w:line="277" w:lineRule="auto"/>
        <w:tabs>
          <w:tab w:leader="none" w:pos="1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appointment and dismissal of persons entrusted with managing and representing the corporation;</w:t>
      </w:r>
    </w:p>
    <w:p>
      <w:pPr>
        <w:spacing w:after="0" w:line="170" w:lineRule="exact"/>
        <w:rPr>
          <w:rFonts w:ascii="Arial" w:cs="Arial" w:eastAsia="Arial" w:hAnsi="Arial"/>
          <w:sz w:val="18"/>
          <w:szCs w:val="18"/>
          <w:color w:val="auto"/>
        </w:rPr>
      </w:pPr>
    </w:p>
    <w:p>
      <w:pPr>
        <w:ind w:left="147" w:right="500" w:hanging="147"/>
        <w:spacing w:after="0" w:line="311" w:lineRule="auto"/>
        <w:tabs>
          <w:tab w:leader="none" w:pos="126" w:val="left"/>
        </w:tabs>
        <w:numPr>
          <w:ilvl w:val="0"/>
          <w:numId w:val="18"/>
        </w:numPr>
        <w:rPr>
          <w:rFonts w:ascii="Arial" w:cs="Arial" w:eastAsia="Arial" w:hAnsi="Arial"/>
          <w:sz w:val="16"/>
          <w:szCs w:val="16"/>
          <w:color w:val="auto"/>
        </w:rPr>
      </w:pPr>
      <w:r>
        <w:rPr>
          <w:rFonts w:ascii="Arial" w:cs="Arial" w:eastAsia="Arial" w:hAnsi="Arial"/>
          <w:sz w:val="16"/>
          <w:szCs w:val="16"/>
          <w:color w:val="auto"/>
        </w:rPr>
        <w:t>overall supervision of the persons entrusted with managing the corporation, in particular with regard to compliance with the law, articles of association, operational regulations and directives;</w:t>
      </w:r>
    </w:p>
    <w:p>
      <w:pPr>
        <w:spacing w:after="0" w:line="148" w:lineRule="exact"/>
        <w:rPr>
          <w:rFonts w:ascii="Arial" w:cs="Arial" w:eastAsia="Arial" w:hAnsi="Arial"/>
          <w:sz w:val="16"/>
          <w:szCs w:val="16"/>
          <w:color w:val="auto"/>
        </w:rPr>
      </w:pPr>
    </w:p>
    <w:p>
      <w:pPr>
        <w:ind w:left="147" w:right="220" w:hanging="147"/>
        <w:spacing w:after="0" w:line="342" w:lineRule="auto"/>
        <w:tabs>
          <w:tab w:leader="none" w:pos="126"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compilation of the annual report, preparation for the general meeting, the compensation report and implementation of its resolutions; and</w:t>
      </w:r>
    </w:p>
    <w:p>
      <w:pPr>
        <w:spacing w:after="0" w:line="123" w:lineRule="exact"/>
        <w:rPr>
          <w:rFonts w:ascii="Arial" w:cs="Arial" w:eastAsia="Arial" w:hAnsi="Arial"/>
          <w:sz w:val="16"/>
          <w:szCs w:val="16"/>
          <w:color w:val="auto"/>
        </w:rPr>
      </w:pPr>
    </w:p>
    <w:p>
      <w:pPr>
        <w:ind w:left="127" w:hanging="127"/>
        <w:spacing w:after="0"/>
        <w:tabs>
          <w:tab w:leader="none" w:pos="127"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notification of the court in the event that the company is overindebted.</w:t>
      </w:r>
    </w:p>
    <w:p>
      <w:pPr>
        <w:spacing w:after="0" w:line="248"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members of the board of directors must perform their duties with all</w:t>
      </w:r>
    </w:p>
    <w:p>
      <w:pPr>
        <w:spacing w:after="0" w:line="46" w:lineRule="exact"/>
        <w:rPr>
          <w:sz w:val="20"/>
          <w:szCs w:val="20"/>
          <w:color w:val="auto"/>
        </w:rPr>
      </w:pPr>
    </w:p>
    <w:p>
      <w:pPr>
        <w:ind w:left="7"/>
        <w:spacing w:after="0"/>
        <w:rPr>
          <w:sz w:val="20"/>
          <w:szCs w:val="20"/>
          <w:color w:val="auto"/>
        </w:rPr>
      </w:pPr>
      <w:r>
        <w:rPr>
          <w:rFonts w:ascii="Arial" w:cs="Arial" w:eastAsia="Arial" w:hAnsi="Arial"/>
          <w:sz w:val="16"/>
          <w:szCs w:val="16"/>
          <w:color w:val="auto"/>
        </w:rPr>
        <w:t>due diligence and safeguard the interests of the corporation in good faith.</w:t>
      </w:r>
    </w:p>
    <w:p>
      <w:pPr>
        <w:spacing w:after="0" w:line="32"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They must afford the shareholders equal treatment in equal circumstances.</w:t>
      </w:r>
    </w:p>
    <w:p>
      <w:pPr>
        <w:spacing w:after="0" w:line="234" w:lineRule="exact"/>
        <w:rPr>
          <w:sz w:val="20"/>
          <w:szCs w:val="20"/>
          <w:color w:val="auto"/>
        </w:rPr>
      </w:pPr>
    </w:p>
    <w:p>
      <w:pPr>
        <w:ind w:left="7" w:right="260" w:firstLine="324"/>
        <w:spacing w:after="0" w:line="342" w:lineRule="auto"/>
        <w:rPr>
          <w:sz w:val="20"/>
          <w:szCs w:val="20"/>
          <w:color w:val="auto"/>
        </w:rPr>
      </w:pPr>
      <w:r>
        <w:rPr>
          <w:rFonts w:ascii="Arial" w:cs="Arial" w:eastAsia="Arial" w:hAnsi="Arial"/>
          <w:sz w:val="16"/>
          <w:szCs w:val="16"/>
          <w:color w:val="auto"/>
        </w:rPr>
        <w:t>The burden of proof for a violation of these duties is with the corporation or with the shareholder bringing a suit against the director.</w:t>
      </w:r>
    </w:p>
    <w:p>
      <w:pPr>
        <w:spacing w:after="0" w:line="43" w:lineRule="exact"/>
        <w:rPr>
          <w:sz w:val="20"/>
          <w:szCs w:val="20"/>
          <w:color w:val="auto"/>
        </w:rPr>
      </w:pPr>
    </w:p>
    <w:p>
      <w:pPr>
        <w:sectPr>
          <w:pgSz w:w="11900" w:h="16838" w:orient="portrait"/>
          <w:cols w:equalWidth="0" w:num="2">
            <w:col w:w="5480" w:space="373"/>
            <w:col w:w="5347"/>
          </w:cols>
          <w:pgMar w:left="320" w:top="225" w:right="379" w:bottom="1440" w:gutter="0" w:footer="0" w:header="0"/>
          <w:type w:val="continuous"/>
        </w:sectPr>
      </w:pPr>
    </w:p>
    <w:p>
      <w:pPr>
        <w:jc w:val="center"/>
        <w:ind w:right="-59"/>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200"/>
          </w:cols>
          <w:pgMar w:left="320" w:top="225" w:right="379" w:bottom="1440" w:gutter="0" w:footer="0" w:header="0"/>
          <w:type w:val="continuous"/>
        </w:sectPr>
      </w:pP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340" w:right="60"/>
        <w:spacing w:after="0" w:line="296"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260" w:space="260"/>
            <w:col w:w="5680"/>
          </w:cols>
          <w:pgMar w:left="320" w:top="225" w:right="379"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right"/>
        <w:ind w:right="1600"/>
        <w:spacing w:after="0"/>
        <w:tabs>
          <w:tab w:leader="none" w:pos="216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Shareholder proposals</w:t>
      </w:r>
    </w:p>
    <w:p>
      <w:pPr>
        <w:sectPr>
          <w:pgSz w:w="11900" w:h="16838" w:orient="portrait"/>
          <w:cols w:equalWidth="0" w:num="1">
            <w:col w:w="11240"/>
          </w:cols>
          <w:pgMar w:left="320" w:top="225" w:right="339" w:bottom="1440" w:gutter="0" w:footer="0" w:header="0"/>
        </w:sectPr>
      </w:pP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7"/>
        <w:spacing w:after="0" w:line="257" w:lineRule="auto"/>
        <w:rPr>
          <w:sz w:val="20"/>
          <w:szCs w:val="20"/>
          <w:color w:val="auto"/>
        </w:rPr>
      </w:pPr>
      <w:r>
        <w:rPr>
          <w:rFonts w:ascii="Arial" w:cs="Arial" w:eastAsia="Arial" w:hAnsi="Arial"/>
          <w:sz w:val="18"/>
          <w:szCs w:val="18"/>
          <w:color w:val="auto"/>
        </w:rPr>
        <w:t>At any general meeting of shareholders any shareholder may put proposals to the meeting if the proposal is part of an agenda item. No resolution may be made on proposals relating to the agenda items that were not duly notified. Unless the articles of association provide for a lower threshold or for additional shareholders’ rights:</w:t>
      </w:r>
    </w:p>
    <w:p>
      <w:pPr>
        <w:spacing w:after="0" w:line="188" w:lineRule="exact"/>
        <w:rPr>
          <w:sz w:val="20"/>
          <w:szCs w:val="20"/>
          <w:color w:val="auto"/>
        </w:rPr>
      </w:pPr>
    </w:p>
    <w:p>
      <w:pPr>
        <w:ind w:left="147" w:right="140" w:hanging="147"/>
        <w:spacing w:after="0" w:line="263" w:lineRule="auto"/>
        <w:tabs>
          <w:tab w:leader="none" w:pos="81"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shareholders together representing at least 10% of the share capital may demand that a general meeting of shareholders be called for specific agenda items and specific proposals; and</w:t>
      </w:r>
    </w:p>
    <w:p>
      <w:pPr>
        <w:spacing w:after="0" w:line="183" w:lineRule="exact"/>
        <w:rPr>
          <w:rFonts w:ascii="Arial" w:cs="Arial" w:eastAsia="Arial" w:hAnsi="Arial"/>
          <w:sz w:val="18"/>
          <w:szCs w:val="18"/>
          <w:color w:val="auto"/>
        </w:rPr>
      </w:pPr>
    </w:p>
    <w:p>
      <w:pPr>
        <w:ind w:left="147" w:right="20" w:hanging="147"/>
        <w:spacing w:after="0" w:line="301" w:lineRule="auto"/>
        <w:tabs>
          <w:tab w:leader="none" w:pos="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shareholders together representing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57" w:lineRule="exact"/>
        <w:rPr>
          <w:sz w:val="20"/>
          <w:szCs w:val="20"/>
          <w:color w:val="auto"/>
        </w:rPr>
      </w:pPr>
    </w:p>
    <w:p>
      <w:pPr>
        <w:jc w:val="both"/>
        <w:ind w:left="7" w:right="420" w:firstLine="324"/>
        <w:spacing w:after="0" w:line="263" w:lineRule="auto"/>
        <w:rPr>
          <w:sz w:val="20"/>
          <w:szCs w:val="20"/>
          <w:color w:val="auto"/>
        </w:rPr>
      </w:pPr>
      <w:r>
        <w:rPr>
          <w:rFonts w:ascii="Arial" w:cs="Arial" w:eastAsia="Arial" w:hAnsi="Arial"/>
          <w:sz w:val="18"/>
          <w:szCs w:val="18"/>
          <w:color w:val="auto"/>
        </w:rPr>
        <w:t>Any shareholder can propose candidates for election as directors provided that the election of board members has been included as an agenda item.</w:t>
      </w:r>
    </w:p>
    <w:p>
      <w:pPr>
        <w:spacing w:after="0" w:line="184" w:lineRule="exact"/>
        <w:rPr>
          <w:sz w:val="20"/>
          <w:szCs w:val="20"/>
          <w:color w:val="auto"/>
        </w:rPr>
      </w:pPr>
    </w:p>
    <w:p>
      <w:pPr>
        <w:ind w:left="7" w:right="140"/>
        <w:spacing w:after="0" w:line="270" w:lineRule="auto"/>
        <w:rPr>
          <w:sz w:val="20"/>
          <w:szCs w:val="20"/>
          <w:color w:val="auto"/>
        </w:rPr>
      </w:pPr>
      <w:r>
        <w:rPr>
          <w:rFonts w:ascii="Arial" w:cs="Arial" w:eastAsia="Arial" w:hAnsi="Arial"/>
          <w:sz w:val="17"/>
          <w:szCs w:val="17"/>
          <w:color w:val="auto"/>
        </w:rPr>
        <w:t>In addition, any shareholder is entitled, at a general meeting of shareholders and without advance notice, to (i) request information from the board of directors on the affairs of the company (note, however, that the right to obtain such information is limited), (ii) request information from the auditors on the methods and results of their audit, (iii) request that the general meeting of shareholders resolve to convene an extraordinary general meeting, or (iv) request that the general meeting of shareholders resolve to appoint an examiner to carry out a special examination.</w:t>
      </w:r>
    </w:p>
    <w:p>
      <w:pPr>
        <w:spacing w:after="0" w:line="200" w:lineRule="exact"/>
        <w:rPr>
          <w:sz w:val="20"/>
          <w:szCs w:val="20"/>
          <w:color w:val="auto"/>
        </w:rPr>
      </w:pPr>
    </w:p>
    <w:p>
      <w:pPr>
        <w:sectPr>
          <w:pgSz w:w="11900" w:h="16838" w:orient="portrait"/>
          <w:cols w:equalWidth="0" w:num="2">
            <w:col w:w="5360" w:space="493"/>
            <w:col w:w="5387"/>
          </w:cols>
          <w:pgMar w:left="320" w:top="225" w:right="339" w:bottom="1440" w:gutter="0" w:footer="0" w:header="0"/>
          <w:type w:val="continuous"/>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240"/>
          </w:cols>
          <w:pgMar w:left="320" w:top="225" w:right="339" w:bottom="1440" w:gutter="0" w:footer="0" w:header="0"/>
          <w:type w:val="continuous"/>
        </w:sectPr>
      </w:pPr>
    </w:p>
    <w:p>
      <w:pPr>
        <w:spacing w:after="0" w:line="10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aggregate amount of compensation for the members of the board of directors and the executive committee as well as for the members of the advisory board, if applicable, is mandatory for listed companies. Re-election is permitted.</w:t>
      </w:r>
    </w:p>
    <w:p>
      <w:pPr>
        <w:spacing w:after="0" w:line="64" w:lineRule="exact"/>
        <w:rPr>
          <w:sz w:val="20"/>
          <w:szCs w:val="20"/>
          <w:color w:val="auto"/>
        </w:rPr>
      </w:pPr>
    </w:p>
    <w:p>
      <w:pPr>
        <w:sectPr>
          <w:pgSz w:w="11900" w:h="16838" w:orient="portrait"/>
          <w:cols w:equalWidth="0" w:num="2">
            <w:col w:w="5400" w:space="460"/>
            <w:col w:w="5380"/>
          </w:cols>
          <w:pgMar w:left="320" w:top="225" w:right="339" w:bottom="1440" w:gutter="0" w:footer="0" w:header="0"/>
          <w:type w:val="continuous"/>
        </w:sectPr>
      </w:pPr>
    </w:p>
    <w:p>
      <w:pPr>
        <w:jc w:val="center"/>
        <w:ind w:right="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5" w:name="page26"/>
    <w:bookmarkEnd w:id="2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jc w:val="right"/>
        <w:ind w:right="1540"/>
        <w:spacing w:after="0"/>
        <w:tabs>
          <w:tab w:leader="none" w:pos="216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Removal of directors</w:t>
      </w:r>
    </w:p>
    <w:p>
      <w:pPr>
        <w:sectPr>
          <w:pgSz w:w="11900" w:h="16838" w:orient="portrait"/>
          <w:cols w:equalWidth="0" w:num="1">
            <w:col w:w="11180"/>
          </w:cols>
          <w:pgMar w:left="320" w:top="225" w:right="399" w:bottom="1440" w:gutter="0" w:footer="0" w:header="0"/>
        </w:sectPr>
      </w:pP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 Swiss corporation may remove, with or without cause, any director at any time with a resolution passed by a simple majority of the votes cast at a general meeting of shareholders concerned. The articles of association may require the approval by a qualified majority of the shares represented at a meeting for the removal of a director.</w:t>
      </w:r>
    </w:p>
    <w:p>
      <w:pPr>
        <w:spacing w:after="0" w:line="95" w:lineRule="exact"/>
        <w:rPr>
          <w:sz w:val="20"/>
          <w:szCs w:val="20"/>
          <w:color w:val="auto"/>
        </w:rPr>
      </w:pPr>
    </w:p>
    <w:p>
      <w:pPr>
        <w:sectPr>
          <w:pgSz w:w="11900" w:h="16838" w:orient="portrait"/>
          <w:cols w:equalWidth="0" w:num="2">
            <w:col w:w="5300" w:space="560"/>
            <w:col w:w="5320"/>
          </w:cols>
          <w:pgMar w:left="320" w:top="225"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i w:val="1"/>
          <w:iCs w:val="1"/>
          <w:color w:val="auto"/>
        </w:rPr>
        <w:t>Transactions with interested shareholders</w:t>
      </w:r>
    </w:p>
    <w:p>
      <w:pPr>
        <w:sectPr>
          <w:pgSz w:w="11900" w:h="16838" w:orient="portrait"/>
          <w:cols w:equalWidth="0" w:num="1">
            <w:col w:w="11180"/>
          </w:cols>
          <w:pgMar w:left="320" w:top="225" w:right="399" w:bottom="1440" w:gutter="0" w:footer="0" w:header="0"/>
          <w:type w:val="continuous"/>
        </w:sectPr>
      </w:pP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Delaware General Corporation Law generally prohibits a Delaware 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No such rule applies to a Swiss corporation.</w:t>
      </w:r>
    </w:p>
    <w:p>
      <w:pPr>
        <w:spacing w:after="0" w:line="1246" w:lineRule="exact"/>
        <w:rPr>
          <w:sz w:val="20"/>
          <w:szCs w:val="20"/>
          <w:color w:val="auto"/>
        </w:rPr>
      </w:pPr>
    </w:p>
    <w:p>
      <w:pPr>
        <w:sectPr>
          <w:pgSz w:w="11900" w:h="16838" w:orient="portrait"/>
          <w:cols w:equalWidth="0" w:num="2">
            <w:col w:w="5420" w:space="440"/>
            <w:col w:w="5320"/>
          </w:cols>
          <w:pgMar w:left="320" w:top="225"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i w:val="1"/>
          <w:iCs w:val="1"/>
          <w:color w:val="auto"/>
        </w:rPr>
        <w:t>Dissolution; Winding up</w:t>
      </w:r>
    </w:p>
    <w:p>
      <w:pPr>
        <w:sectPr>
          <w:pgSz w:w="11900" w:h="16838" w:orient="portrait"/>
          <w:cols w:equalWidth="0" w:num="1">
            <w:col w:w="11180"/>
          </w:cols>
          <w:pgMar w:left="320" w:top="225" w:right="399" w:bottom="1440" w:gutter="0" w:footer="0" w:header="0"/>
          <w:type w:val="continuous"/>
        </w:sectPr>
      </w:pP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712" w:lineRule="exact"/>
        <w:rPr>
          <w:sz w:val="20"/>
          <w:szCs w:val="20"/>
          <w:color w:val="auto"/>
        </w:rPr>
      </w:pPr>
    </w:p>
    <w:p>
      <w:pPr>
        <w:sectPr>
          <w:pgSz w:w="11900" w:h="16838" w:orient="portrait"/>
          <w:cols w:equalWidth="0" w:num="2">
            <w:col w:w="5420" w:space="440"/>
            <w:col w:w="5320"/>
          </w:cols>
          <w:pgMar w:left="320" w:top="225" w:right="399" w:bottom="1440" w:gutter="0" w:footer="0" w:header="0"/>
          <w:type w:val="continuous"/>
        </w:sectPr>
      </w:pPr>
    </w:p>
    <w:p>
      <w:pPr>
        <w:jc w:val="center"/>
        <w:ind w:right="-7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180"/>
          </w:cols>
          <w:pgMar w:left="320" w:top="225" w:right="399" w:bottom="1440" w:gutter="0" w:footer="0" w:header="0"/>
          <w:type w:val="continuous"/>
        </w:sectPr>
      </w:pP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general shareholder meeting of a Swiss corporation may resolve that preference shares be issued or that existing shares be converted into preference shares with a resolution passed by a simple majority of the votes cast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200" w:lineRule="exact"/>
        <w:rPr>
          <w:sz w:val="20"/>
          <w:szCs w:val="20"/>
          <w:color w:val="auto"/>
        </w:rPr>
      </w:pPr>
    </w:p>
    <w:p>
      <w:pPr>
        <w:sectPr>
          <w:pgSz w:w="11900" w:h="16838" w:orient="portrait"/>
          <w:cols w:equalWidth="0" w:num="2">
            <w:col w:w="5220" w:space="640"/>
            <w:col w:w="5320"/>
          </w:cols>
          <w:pgMar w:left="320" w:top="225"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type w:val="continuous"/>
        </w:sectPr>
      </w:pPr>
    </w:p>
    <w:bookmarkStart w:id="26" w:name="page27"/>
    <w:bookmarkEnd w:id="2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jc w:val="right"/>
        <w:ind w:right="1620"/>
        <w:spacing w:after="0"/>
        <w:tabs>
          <w:tab w:leader="none" w:pos="216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Amendment of governing documents</w:t>
      </w:r>
    </w:p>
    <w:p>
      <w:pPr>
        <w:sectPr>
          <w:pgSz w:w="11900" w:h="16838" w:orient="portrait"/>
          <w:cols w:equalWidth="0" w:num="1">
            <w:col w:w="11240"/>
          </w:cols>
          <w:pgMar w:left="320" w:top="225" w:right="339" w:bottom="1440" w:gutter="0" w:footer="0" w:header="0"/>
        </w:sectPr>
      </w:pP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articles of association of a Swiss corporation may be amended with a resolution passed by a simple majority of the votes cast at such meeting, unless otherwise provided in the articles of association. There are a number of resolutions, such as an amendment of the stated purpose of the corporation, the introduction of authorized and conditional capital and the introduction of shares with preferential voting rights that require the approval by two-thirds of the votes and an absolute majority of the nominal value of the shares represented at a shareholders’ meeting. The articles of association may increase the voting thresholds.</w:t>
      </w:r>
    </w:p>
    <w:p>
      <w:pPr>
        <w:spacing w:after="0" w:line="85" w:lineRule="exact"/>
        <w:rPr>
          <w:sz w:val="20"/>
          <w:szCs w:val="20"/>
          <w:color w:val="auto"/>
        </w:rPr>
      </w:pPr>
    </w:p>
    <w:p>
      <w:pPr>
        <w:sectPr>
          <w:pgSz w:w="11900" w:h="16838" w:orient="portrait"/>
          <w:cols w:equalWidth="0" w:num="2">
            <w:col w:w="5380" w:space="480"/>
            <w:col w:w="5380"/>
          </w:cols>
          <w:pgMar w:left="320" w:top="225" w:right="3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Inspection of Books and Records</w:t>
      </w:r>
    </w:p>
    <w:p>
      <w:pPr>
        <w:sectPr>
          <w:pgSz w:w="11900" w:h="16838" w:orient="portrait"/>
          <w:cols w:equalWidth="0" w:num="1">
            <w:col w:w="11240"/>
          </w:cols>
          <w:pgMar w:left="320" w:top="225" w:right="339" w:bottom="1440" w:gutter="0" w:footer="0" w:header="0"/>
          <w:type w:val="continuous"/>
        </w:sectPr>
      </w:pPr>
    </w:p>
    <w:p>
      <w:pPr>
        <w:spacing w:after="0" w:line="1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15" w:lineRule="exact"/>
        <w:rPr>
          <w:sz w:val="20"/>
          <w:szCs w:val="20"/>
          <w:color w:val="auto"/>
        </w:rPr>
      </w:pPr>
    </w:p>
    <w:p>
      <w:pPr>
        <w:sectPr>
          <w:pgSz w:w="11900" w:h="16838" w:orient="portrait"/>
          <w:cols w:equalWidth="0" w:num="2">
            <w:col w:w="5420" w:space="440"/>
            <w:col w:w="5380"/>
          </w:cols>
          <w:pgMar w:left="320" w:top="225" w:right="3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240"/>
          </w:cols>
          <w:pgMar w:left="320" w:top="225" w:right="339" w:bottom="1440" w:gutter="0" w:footer="0" w:header="0"/>
          <w:type w:val="continuous"/>
        </w:sectPr>
      </w:pP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187"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225" w:lineRule="exact"/>
        <w:rPr>
          <w:rFonts w:ascii="Arial" w:cs="Arial" w:eastAsia="Arial" w:hAnsi="Arial"/>
          <w:sz w:val="18"/>
          <w:szCs w:val="18"/>
          <w:color w:val="auto"/>
        </w:rPr>
      </w:pPr>
    </w:p>
    <w:p>
      <w:pPr>
        <w:ind w:left="160" w:right="40" w:hanging="152"/>
        <w:spacing w:after="0" w:line="342" w:lineRule="auto"/>
        <w:tabs>
          <w:tab w:leader="none" w:pos="139"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4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200" w:lineRule="exact"/>
        <w:rPr>
          <w:sz w:val="20"/>
          <w:szCs w:val="20"/>
          <w:color w:val="auto"/>
        </w:rPr>
      </w:pPr>
    </w:p>
    <w:p>
      <w:pPr>
        <w:sectPr>
          <w:pgSz w:w="11900" w:h="16838" w:orient="portrait"/>
          <w:cols w:equalWidth="0" w:num="2">
            <w:col w:w="5420" w:space="440"/>
            <w:col w:w="5380"/>
          </w:cols>
          <w:pgMar w:left="320" w:top="225" w:right="339" w:bottom="1440" w:gutter="0" w:footer="0" w:header="0"/>
          <w:type w:val="continuous"/>
        </w:sectPr>
      </w:pP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7" w:name="page28"/>
    <w:bookmarkEnd w:id="2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67" w:lineRule="exact"/>
        <w:rPr>
          <w:sz w:val="20"/>
          <w:szCs w:val="20"/>
          <w:color w:val="auto"/>
        </w:rPr>
      </w:pPr>
    </w:p>
    <w:p>
      <w:pPr>
        <w:jc w:val="right"/>
        <w:ind w:right="1540"/>
        <w:spacing w:after="0"/>
        <w:tabs>
          <w:tab w:leader="none" w:pos="2160" w:val="left"/>
        </w:tabs>
        <w:rPr>
          <w:sz w:val="20"/>
          <w:szCs w:val="20"/>
          <w:color w:val="auto"/>
        </w:rPr>
      </w:pPr>
      <w:r>
        <w:rPr>
          <w:rFonts w:ascii="Arial" w:cs="Arial" w:eastAsia="Arial" w:hAnsi="Arial"/>
          <w:sz w:val="18"/>
          <w:szCs w:val="18"/>
          <w:b w:val="1"/>
          <w:bCs w:val="1"/>
          <w:color w:val="auto"/>
        </w:rPr>
        <w:t>DELAWARE CORPORATE LAW</w:t>
      </w:r>
      <w:r>
        <w:rPr>
          <w:sz w:val="20"/>
          <w:szCs w:val="20"/>
          <w:color w:val="auto"/>
        </w:rPr>
        <w:tab/>
      </w:r>
      <w:r>
        <w:rPr>
          <w:rFonts w:ascii="Arial" w:cs="Arial" w:eastAsia="Arial" w:hAnsi="Arial"/>
          <w:sz w:val="17"/>
          <w:szCs w:val="17"/>
          <w:b w:val="1"/>
          <w:bCs w:val="1"/>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Creation and issuance of new shares</w:t>
      </w:r>
    </w:p>
    <w:p>
      <w:pPr>
        <w:sectPr>
          <w:pgSz w:w="11900" w:h="16838" w:orient="portrait"/>
          <w:cols w:equalWidth="0" w:num="1">
            <w:col w:w="11160"/>
          </w:cols>
          <w:pgMar w:left="320" w:top="225" w:right="419" w:bottom="1440" w:gutter="0" w:footer="0" w:header="0"/>
        </w:sectPr>
      </w:pPr>
    </w:p>
    <w:p>
      <w:pPr>
        <w:spacing w:after="0" w:line="144"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 creation of shares require a shareholders’ resolution. An authorized or contingent capital increase requires at least two-thirds of the voting rights represented at the general meeting of shareholders and an absolute majority of the nominal value of shares represented. Authorized shares can be, once created by shareholder resolution, issued by the board of directors (subject to fulfillment of the authorization). Conditional shares are created and issued through the exercise of options and conversion rights related to debt instruments issued by the board of directors or such rights issued to employees.</w:t>
      </w:r>
    </w:p>
    <w:p>
      <w:pPr>
        <w:sectPr>
          <w:pgSz w:w="11900" w:h="16838" w:orient="portrait"/>
          <w:cols w:equalWidth="0" w:num="2">
            <w:col w:w="5700" w:space="160"/>
            <w:col w:w="5300"/>
          </w:cols>
          <w:pgMar w:left="320" w:top="225" w:right="419" w:bottom="1440" w:gutter="0" w:footer="0" w:header="0"/>
          <w:type w:val="continuous"/>
        </w:sectPr>
      </w:pPr>
    </w:p>
    <w:bookmarkStart w:id="28" w:name="page29"/>
    <w:bookmarkEnd w:id="2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This prospectus relates to periodic offers and sales by the selling shareholder listed below, and its pledgees, assignees, transferees and other successors in interest, of up to 11,999,999 common shares.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 provides information regarding the selling shareholder’s beneficial ownership of our common shares as of October 15, 2020. Beneficial ownership is determined in accordance with the rules of the Commission and includes any common shares as to which a person has sole or shared voting power or investment power and any common shares which the person has the right to acquire within 60 days after October 15, 2020 through the exercise of any option, warrant or right or through the conversion of any convertible security. The percentage of beneficial ownership is based upon 71,741,285 common shares issued and outstanding as of the date of this prospectus.</w:t>
      </w:r>
    </w:p>
    <w:p>
      <w:pPr>
        <w:spacing w:after="0" w:line="182" w:lineRule="exact"/>
        <w:rPr>
          <w:sz w:val="20"/>
          <w:szCs w:val="20"/>
          <w:color w:val="auto"/>
        </w:rPr>
      </w:pPr>
    </w:p>
    <w:tbl>
      <w:tblPr>
        <w:tblLayout w:type="fixed"/>
        <w:tblInd w:w="210" w:type="dxa"/>
        <w:tblCellMar>
          <w:top w:w="0" w:type="dxa"/>
          <w:left w:w="0" w:type="dxa"/>
          <w:bottom w:w="0" w:type="dxa"/>
          <w:right w:w="0" w:type="dxa"/>
        </w:tblCellMar>
      </w:tblPr>
      <w:tr>
        <w:trPr>
          <w:trHeight w:val="283"/>
        </w:trPr>
        <w:tc>
          <w:tcPr>
            <w:tcW w:w="4500" w:type="dxa"/>
            <w:vAlign w:val="bottom"/>
            <w:tcBorders>
              <w:top w:val="single" w:sz="8" w:color="auto"/>
              <w:left w:val="single" w:sz="8" w:color="auto"/>
              <w:right w:val="single" w:sz="8" w:color="auto"/>
            </w:tcBorders>
          </w:tcPr>
          <w:p>
            <w:pPr>
              <w:spacing w:after="0"/>
              <w:rPr>
                <w:sz w:val="24"/>
                <w:szCs w:val="24"/>
                <w:color w:val="auto"/>
              </w:rPr>
            </w:pP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Number of common</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Percentage of common</w:t>
            </w: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Maximum Common shares</w:t>
            </w:r>
          </w:p>
        </w:tc>
      </w:tr>
      <w:tr>
        <w:trPr>
          <w:trHeight w:val="216"/>
        </w:trPr>
        <w:tc>
          <w:tcPr>
            <w:tcW w:w="450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shares beneficially</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shares beneficially</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offered pursuant to this</w:t>
            </w:r>
          </w:p>
        </w:tc>
      </w:tr>
      <w:tr>
        <w:trPr>
          <w:trHeight w:val="216"/>
        </w:trPr>
        <w:tc>
          <w:tcPr>
            <w:tcW w:w="4500" w:type="dxa"/>
            <w:vAlign w:val="bottom"/>
            <w:tcBorders>
              <w:left w:val="single" w:sz="8" w:color="auto"/>
              <w:right w:val="single" w:sz="8" w:color="auto"/>
            </w:tcBorders>
          </w:tcPr>
          <w:p>
            <w:pPr>
              <w:spacing w:after="0"/>
              <w:rPr>
                <w:sz w:val="18"/>
                <w:szCs w:val="18"/>
                <w:color w:val="auto"/>
              </w:rPr>
            </w:pP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owned prior to the</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owned prior to the</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prospectus</w:t>
            </w:r>
          </w:p>
        </w:tc>
      </w:tr>
      <w:tr>
        <w:trPr>
          <w:trHeight w:val="230"/>
        </w:trPr>
        <w:tc>
          <w:tcPr>
            <w:tcW w:w="45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Name of Selling Shareholder</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offering</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offering</w:t>
            </w:r>
          </w:p>
        </w:tc>
        <w:tc>
          <w:tcPr>
            <w:tcW w:w="2580" w:type="dxa"/>
            <w:vAlign w:val="bottom"/>
            <w:tcBorders>
              <w:right w:val="single" w:sz="8" w:color="auto"/>
            </w:tcBorders>
          </w:tcPr>
          <w:p>
            <w:pPr>
              <w:spacing w:after="0"/>
              <w:rPr>
                <w:sz w:val="20"/>
                <w:szCs w:val="20"/>
                <w:color w:val="auto"/>
              </w:rPr>
            </w:pPr>
          </w:p>
        </w:tc>
      </w:tr>
      <w:tr>
        <w:trPr>
          <w:trHeight w:val="68"/>
        </w:trPr>
        <w:tc>
          <w:tcPr>
            <w:tcW w:w="4500" w:type="dxa"/>
            <w:vAlign w:val="bottom"/>
            <w:tcBorders>
              <w:left w:val="single" w:sz="8" w:color="auto"/>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r>
      <w:tr>
        <w:trPr>
          <w:trHeight w:val="277"/>
        </w:trPr>
        <w:tc>
          <w:tcPr>
            <w:tcW w:w="45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Varuma AG (1)</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11,999,999</w:t>
            </w:r>
          </w:p>
        </w:tc>
        <w:tc>
          <w:tcPr>
            <w:tcW w:w="2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16.7%</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11,999,999</w:t>
            </w:r>
          </w:p>
        </w:tc>
      </w:tr>
      <w:tr>
        <w:trPr>
          <w:trHeight w:val="68"/>
        </w:trPr>
        <w:tc>
          <w:tcPr>
            <w:tcW w:w="4500" w:type="dxa"/>
            <w:vAlign w:val="bottom"/>
            <w:tcBorders>
              <w:left w:val="single" w:sz="8" w:color="auto"/>
              <w:bottom w:val="single" w:sz="8" w:color="auto"/>
              <w:right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r>
    </w:tbl>
    <w:p>
      <w:pPr>
        <w:spacing w:after="0" w:line="269" w:lineRule="exact"/>
        <w:rPr>
          <w:sz w:val="20"/>
          <w:szCs w:val="20"/>
          <w:color w:val="auto"/>
        </w:rPr>
      </w:pPr>
    </w:p>
    <w:p>
      <w:pPr>
        <w:ind w:left="1060" w:right="400" w:hanging="359"/>
        <w:spacing w:after="0" w:line="263"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11,999,999 shares held by Varuma AG as set forth in a Schedule 13G/A filed with the SEC on February 12, 2019. The address for Varuma AG is Aeschenvorstadt 55, CH-4051 Basel, Switzerland. Rudolf Maag controls the voting and investment decisions of Varuma AG.</w:t>
      </w:r>
    </w:p>
    <w:p>
      <w:pPr>
        <w:spacing w:after="0" w:line="38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Pursuant to and subject to the terms and conditions set forth in the registration rights agreement we entered into with Varuma AG on October 23, 2015, or the Registration Rights Agreement, we agreed, among other things, to register resales of our common shares under the Securities Act. We have also agreed to cause this registration statement to become effective and to keep such registration statement effective within and for the time periods set forth in the Registration Rights Agreement.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will pay all expenses related to this registration, except for certain underwriting discounts or commissions or legal fees of the selling shareholder.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will pay all expenses related to the filing of the registration statement of which this prospectus forms a part.</w:t>
      </w: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selling shareholder (and its pledgees, assignees, transferees and other successors in interest), may sell the securities in one or more of the following ways (or in any combination) from time to time:</w:t>
      </w:r>
    </w:p>
    <w:p>
      <w:pPr>
        <w:spacing w:after="0" w:line="238"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directly to purchasers or to a single purchaser;</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any other method permitted by applicable law and, if required, described in an applicable prospectus supplement.</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certain offerings by the selling shareholder, a prospectus supplement will state the terms of the offering of the securities, including:</w:t>
      </w:r>
    </w:p>
    <w:p>
      <w:pPr>
        <w:spacing w:after="0" w:line="316"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 price of such securities and the proceeds to be received by us, if any;</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23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If underwriters are used in in the sale, the securities will be acquired by the underwriters for their own account and may be resold from time to time in one or more transactions, including:</w:t>
      </w:r>
    </w:p>
    <w:p>
      <w:pPr>
        <w:spacing w:after="0" w:line="238"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negotiated transactions;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a fixed public offering price or prices, which may be changed;</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prices related to prevailing market prices; or</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9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Unless otherwise stated in a prospectus supplement, the obligations of the underwriters to purchase any securities will be conditioned on customary closing conditions and the underwriters will be obligated to purchase all of such series of securities, if any are purchased.</w:t>
      </w:r>
    </w:p>
    <w:p>
      <w:pPr>
        <w:spacing w:after="0" w:line="170"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The securities may be sold through agents from time to time. The prospectus supplement will name any agent involved in the offer or sale of the securities and any commissions paid to them. Generally, any agent will be acting on a best efforts basis for the period of its appointment.</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selling shareholder,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w:t>
      </w:r>
    </w:p>
    <w:p>
      <w:pPr>
        <w:spacing w:after="0" w:line="187"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Underwriters and agents may be entitled under agreements entered into with us to indemnification by us or the selling shareholder against certain civil liabilities, including liabilities under the Securities Act, or to contribution with respect to payments which the underwriters or agents may be required to make.</w:t>
      </w:r>
    </w:p>
    <w:p>
      <w:pPr>
        <w:spacing w:after="0" w:line="184"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8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Underwriters and agents may be customers of, engage in transactions with, or perform services for us or the selling shareholder and us or its respective affiliates in the ordinary course of business.</w:t>
      </w:r>
    </w:p>
    <w:p>
      <w:pPr>
        <w:spacing w:after="0" w:line="170"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The selling shareholder may sell common shares under this prospectus in any of these ways. The selling shareholder will act independently of us in making decisions with respect to the timing, manner and size of each sale. We are registering the sale of Varuma AG’s common shares to satisfy registration rights that we granted to Varuma AG pursuant to the registration rights agreement.</w:t>
      </w:r>
    </w:p>
    <w:p>
      <w:pPr>
        <w:spacing w:after="0" w:line="184" w:lineRule="exact"/>
        <w:rPr>
          <w:sz w:val="20"/>
          <w:szCs w:val="20"/>
          <w:color w:val="auto"/>
        </w:rPr>
      </w:pPr>
    </w:p>
    <w:p>
      <w:pPr>
        <w:ind w:right="260" w:firstLine="324"/>
        <w:spacing w:after="0" w:line="293" w:lineRule="auto"/>
        <w:rPr>
          <w:sz w:val="20"/>
          <w:szCs w:val="20"/>
          <w:color w:val="auto"/>
        </w:rPr>
      </w:pPr>
      <w:r>
        <w:rPr>
          <w:rFonts w:ascii="Arial" w:cs="Arial" w:eastAsia="Arial" w:hAnsi="Arial"/>
          <w:sz w:val="16"/>
          <w:szCs w:val="16"/>
          <w:color w:val="auto"/>
        </w:rPr>
        <w:t>We will indemnify the selling shareholder in connection with any liabilities incurred in connection with this registration statement due to any misstatements or omissions other than information provided by the selling shareholder in writing for use in this registration statement, and the selling shareholder will indemnify us in connection with any liabilities incurred in connection with this registration statement due to any misstatements or omissions in written statements by the applicable selling shareholder made for the purpose of their inclusion in this registration statement, provided, however, that that in no event will the selling shareholder’s liability exceed the gross proceeds from this offering received by the selling shareholder. We will pay all expenses related to this registration, except for certain underwriting discounts or commissions or legal fees.</w:t>
      </w:r>
    </w:p>
    <w:p>
      <w:pPr>
        <w:spacing w:after="0" w:line="16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accordance with the limitations and restrictions set forth in Rule 144 and Regulation S under the Securities Act, the selling shareholder may also sell all or a portion of common shares under Rule 144, Section 4(a)(1) under the Securities Act, Section 4(a)(7) under the Securities Act or Regulation S under the Securities Act, if available, rather than under this prospectus.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SEC allows us to incorporate by reference information into this document. This means that we can disclose important information to you by referring you to another document filed separately with the SEC. The information incorporated by reference is considered to be a part of this document, except for any information superseded by information that is included directly in this prospectus or incorporated by reference subsequent to the date of this prospectus.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incorporate by reference herein:</w:t>
      </w:r>
    </w:p>
    <w:p>
      <w:pPr>
        <w:spacing w:after="0" w:line="29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2019 Annual Report on Form 20-F for the fiscal year ended December 31, 2019;</w:t>
      </w:r>
    </w:p>
    <w:p>
      <w:pPr>
        <w:spacing w:after="0" w:line="144"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reports on Form 6-K filed on March 30, 2020 (only with respect to “Item 1.C—2019 and 2018 Board Compensation” and “Item 2.C—2019 and 2018 Executive Compensation” of Exhibit 99.3), April 2, 2020, May 4, 2020 (only with respect to Exhibits 99.1 and 99.2), May 22, 2020, June 26, 2020, July 16, 2020, August 5, 2020 (only with respect to Exhibits 99.1 and 99.2), September 8, 2020, September 23, 2020 and October 21, 2020; and</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right="14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registration statement on Form 8-A filed with the SEC on September 23, 2016, including any amendments or reports filed for the purpose of updating such description.</w:t>
      </w:r>
    </w:p>
    <w:p>
      <w:pPr>
        <w:spacing w:after="0" w:line="23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All annual reports we file with the SEC pursuant to the Exchange Act on Form 20-F after the date of this prospectus and prior to termination or expiration of this registration statement shall be deemed incorporated by reference into this prospectus and to be part hereof from the date of filing of such documents. We may incorporate by reference any Form 6-K subsequently submitted to the SEC by identifying in such Form that it is being incorporated by reference into this prospectus.</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Documents incorporated by reference in this prospectus are available from us without charge upon written or oral request, excluding any exhibits to those documents that are not specifically incorporated by reference into those documents. You can obtain documents incorporated by reference in this document by requesting them from us in writing or at AC Immune SA, EPFL Innovation Park, Building B, 1015 Lausanne, Switzerland, or via telephone at +41 21 345 91 21.</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560" w:firstLine="324"/>
        <w:spacing w:after="0" w:line="263" w:lineRule="auto"/>
        <w:rPr>
          <w:sz w:val="20"/>
          <w:szCs w:val="20"/>
          <w:color w:val="auto"/>
        </w:rPr>
      </w:pPr>
      <w:r>
        <w:rPr>
          <w:rFonts w:ascii="Arial" w:cs="Arial" w:eastAsia="Arial" w:hAnsi="Arial"/>
          <w:sz w:val="18"/>
          <w:szCs w:val="18"/>
          <w:color w:val="auto"/>
        </w:rPr>
        <w:t>The following table sets forth the expenses (other than underwriting discounts and commissions or agency fees and other items constituting underwriters’ or agents’ compensation, if any) expected to be incurred by us in connection with a possible offering of securities registered under this registration statement.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34"/>
        </w:trPr>
        <w:tc>
          <w:tcPr>
            <w:tcW w:w="6120" w:type="dxa"/>
            <w:vAlign w:val="bottom"/>
            <w:tcBorders>
              <w:bottom w:val="single" w:sz="8" w:color="D5EAEA"/>
            </w:tcBorders>
          </w:tcPr>
          <w:p>
            <w:pPr>
              <w:spacing w:after="0"/>
              <w:rPr>
                <w:sz w:val="20"/>
                <w:szCs w:val="20"/>
                <w:color w:val="auto"/>
              </w:rPr>
            </w:pPr>
          </w:p>
        </w:tc>
        <w:tc>
          <w:tcPr>
            <w:tcW w:w="3780" w:type="dxa"/>
            <w:vAlign w:val="bottom"/>
            <w:tcBorders>
              <w:bottom w:val="single" w:sz="8" w:color="D5EAEA"/>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To Be Paid</w:t>
            </w:r>
          </w:p>
        </w:tc>
        <w:tc>
          <w:tcPr>
            <w:tcW w:w="0" w:type="dxa"/>
            <w:vAlign w:val="bottom"/>
          </w:tcPr>
          <w:p>
            <w:pPr>
              <w:spacing w:after="0"/>
              <w:rPr>
                <w:sz w:val="1"/>
                <w:szCs w:val="1"/>
                <w:color w:val="auto"/>
              </w:rPr>
            </w:pPr>
          </w:p>
        </w:tc>
      </w:tr>
      <w:tr>
        <w:trPr>
          <w:trHeight w:val="209"/>
        </w:trPr>
        <w:tc>
          <w:tcPr>
            <w:tcW w:w="6120" w:type="dxa"/>
            <w:vAlign w:val="bottom"/>
            <w:shd w:val="clear" w:color="auto" w:fill="D5EAEA"/>
          </w:tcPr>
          <w:p>
            <w:pPr>
              <w:spacing w:after="0"/>
              <w:rPr>
                <w:sz w:val="20"/>
                <w:szCs w:val="20"/>
                <w:color w:val="auto"/>
              </w:rPr>
            </w:pPr>
            <w:r>
              <w:rPr>
                <w:rFonts w:ascii="Arial" w:cs="Arial" w:eastAsia="Arial" w:hAnsi="Arial"/>
                <w:sz w:val="18"/>
                <w:szCs w:val="18"/>
                <w:color w:val="auto"/>
              </w:rPr>
              <w:t>SEC registration fee</w:t>
            </w:r>
          </w:p>
        </w:tc>
        <w:tc>
          <w:tcPr>
            <w:tcW w:w="3780" w:type="dxa"/>
            <w:vAlign w:val="bottom"/>
            <w:shd w:val="clear" w:color="auto" w:fill="D5EAEA"/>
          </w:tcPr>
          <w:p>
            <w:pPr>
              <w:spacing w:after="0"/>
              <w:rPr>
                <w:sz w:val="18"/>
                <w:szCs w:val="18"/>
                <w:color w:val="auto"/>
              </w:rPr>
            </w:pPr>
          </w:p>
        </w:tc>
        <w:tc>
          <w:tcPr>
            <w:tcW w:w="180" w:type="dxa"/>
            <w:vAlign w:val="bottom"/>
            <w:shd w:val="clear" w:color="auto" w:fill="D5EAEA"/>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5,852.13</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FINRA filing fee</w:t>
            </w: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D5EAEA"/>
          </w:tcPr>
          <w:p>
            <w:pPr>
              <w:spacing w:after="0"/>
              <w:rPr>
                <w:sz w:val="20"/>
                <w:szCs w:val="20"/>
                <w:color w:val="auto"/>
              </w:rPr>
            </w:pPr>
            <w:r>
              <w:rPr>
                <w:rFonts w:ascii="Arial" w:cs="Arial" w:eastAsia="Arial" w:hAnsi="Arial"/>
                <w:sz w:val="18"/>
                <w:szCs w:val="18"/>
                <w:color w:val="auto"/>
              </w:rPr>
              <w:t>Transfer agent’s fees</w:t>
            </w:r>
          </w:p>
        </w:tc>
        <w:tc>
          <w:tcPr>
            <w:tcW w:w="378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D5EAEA"/>
          </w:tcPr>
          <w:p>
            <w:pPr>
              <w:spacing w:after="0"/>
              <w:rPr>
                <w:sz w:val="20"/>
                <w:szCs w:val="20"/>
                <w:color w:val="auto"/>
              </w:rPr>
            </w:pPr>
            <w:r>
              <w:rPr>
                <w:rFonts w:ascii="Arial" w:cs="Arial" w:eastAsia="Arial" w:hAnsi="Arial"/>
                <w:sz w:val="18"/>
                <w:szCs w:val="18"/>
                <w:color w:val="auto"/>
              </w:rPr>
              <w:t>Legal fees and expenses</w:t>
            </w:r>
          </w:p>
        </w:tc>
        <w:tc>
          <w:tcPr>
            <w:tcW w:w="3780" w:type="dxa"/>
            <w:vAlign w:val="bottom"/>
            <w:shd w:val="clear" w:color="auto" w:fill="D5EAEA"/>
          </w:tcPr>
          <w:p>
            <w:pPr>
              <w:spacing w:after="0"/>
              <w:rPr>
                <w:sz w:val="18"/>
                <w:szCs w:val="18"/>
                <w:color w:val="auto"/>
              </w:rPr>
            </w:pPr>
          </w:p>
        </w:tc>
        <w:tc>
          <w:tcPr>
            <w:tcW w:w="180" w:type="dxa"/>
            <w:vAlign w:val="bottom"/>
            <w:shd w:val="clear" w:color="auto" w:fill="D5EAEA"/>
          </w:tcPr>
          <w:p>
            <w:pPr>
              <w:spacing w:after="0"/>
              <w:rPr>
                <w:sz w:val="18"/>
                <w:szCs w:val="18"/>
                <w:color w:val="auto"/>
              </w:rPr>
            </w:pPr>
          </w:p>
        </w:tc>
        <w:tc>
          <w:tcPr>
            <w:tcW w:w="116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D5EAEA"/>
          </w:tcPr>
          <w:p>
            <w:pPr>
              <w:spacing w:after="0"/>
              <w:rPr>
                <w:sz w:val="20"/>
                <w:szCs w:val="20"/>
                <w:color w:val="auto"/>
              </w:rPr>
            </w:pPr>
            <w:r>
              <w:rPr>
                <w:rFonts w:ascii="Arial" w:cs="Arial" w:eastAsia="Arial" w:hAnsi="Arial"/>
                <w:sz w:val="18"/>
                <w:szCs w:val="18"/>
                <w:color w:val="auto"/>
              </w:rPr>
              <w:t>Miscellaneous</w:t>
            </w:r>
          </w:p>
        </w:tc>
        <w:tc>
          <w:tcPr>
            <w:tcW w:w="3780" w:type="dxa"/>
            <w:vAlign w:val="bottom"/>
            <w:shd w:val="clear" w:color="auto" w:fill="D5EAEA"/>
          </w:tcPr>
          <w:p>
            <w:pPr>
              <w:spacing w:after="0"/>
              <w:rPr>
                <w:sz w:val="18"/>
                <w:szCs w:val="18"/>
                <w:color w:val="auto"/>
              </w:rPr>
            </w:pPr>
          </w:p>
        </w:tc>
        <w:tc>
          <w:tcPr>
            <w:tcW w:w="180" w:type="dxa"/>
            <w:vAlign w:val="bottom"/>
            <w:tcBorders>
              <w:bottom w:val="single" w:sz="8" w:color="auto"/>
            </w:tcBorders>
            <w:shd w:val="clear" w:color="auto" w:fill="D5EAEA"/>
          </w:tcPr>
          <w:p>
            <w:pPr>
              <w:spacing w:after="0"/>
              <w:rPr>
                <w:sz w:val="18"/>
                <w:szCs w:val="18"/>
                <w:color w:val="auto"/>
              </w:rPr>
            </w:pPr>
          </w:p>
        </w:tc>
        <w:tc>
          <w:tcPr>
            <w:tcW w:w="116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20" w:type="dxa"/>
            <w:vAlign w:val="bottom"/>
          </w:tcPr>
          <w:p>
            <w:pPr>
              <w:spacing w:after="0"/>
              <w:rPr>
                <w:sz w:val="20"/>
                <w:szCs w:val="20"/>
                <w:color w:val="auto"/>
              </w:rPr>
            </w:pPr>
            <w:r>
              <w:rPr>
                <w:rFonts w:ascii="Arial" w:cs="Arial" w:eastAsia="Arial" w:hAnsi="Arial"/>
                <w:sz w:val="18"/>
                <w:szCs w:val="18"/>
                <w:color w:val="auto"/>
              </w:rPr>
              <w:t>Total</w:t>
            </w:r>
          </w:p>
        </w:tc>
        <w:tc>
          <w:tcPr>
            <w:tcW w:w="37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hanging="318"/>
        <w:spacing w:after="0"/>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To be provided by a prospectus supplement or as an exhibit to a Report on Form 6-K that is incorporated by reference into this prospectus.</w:t>
      </w:r>
    </w:p>
    <w:p>
      <w:pPr>
        <w:spacing w:after="0" w:line="232" w:lineRule="exact"/>
        <w:rPr>
          <w:rFonts w:ascii="Arial" w:cs="Arial" w:eastAsia="Arial" w:hAnsi="Arial"/>
          <w:sz w:val="17"/>
          <w:szCs w:val="17"/>
          <w:color w:val="auto"/>
        </w:rPr>
      </w:pPr>
    </w:p>
    <w:p>
      <w:pPr>
        <w:ind w:left="4840"/>
        <w:spacing w:after="0"/>
        <w:rPr>
          <w:rFonts w:ascii="Arial" w:cs="Arial" w:eastAsia="Arial" w:hAnsi="Arial"/>
          <w:sz w:val="17"/>
          <w:szCs w:val="17"/>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validity of our common shares and certain other matters of Swiss law will be passed upon for us by Bär &amp; Karrer Ltd., Zurich, Switzerland.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Certain matters of U.S. federal and New York State law will be passed upon for us by Davis Polk &amp; Wardwell LLP, New York, New York.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 financial statements as of December 31, 2019 and 2018 and for each of the two years in the period ended December 31, 2019 incorporated in this Prospectus by reference to the Annual Report on Form 20-F for the year ended December 31, 2019 have been so incorporated in reliance on the report of PricewaterhouseCoopers SA, an independent registered public accounting firm, given the authority of said firm as experts in auditing and accounting. PricewaterhouseCoopers SA is a member of EXPERTsuisse — Swiss Expert Association for Audit, Tax and Fiduciary.</w:t>
      </w:r>
    </w:p>
    <w:p>
      <w:pPr>
        <w:spacing w:after="0" w:line="15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The financial statements of AC Immune SA appearing in AC Immune SA’s Annual Report (Form 20-F) for the year ended December 31, 2017 have been audited by Ernst &amp; Young AG, Switzerland, an independent registered public accounting firm, as set forth in their report thereon, included therein, and incorporated herein by reference. Such financial statements are incorporated herein by reference in reliance upon such report given the authority of such firm as experts in accounting and auditing.</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address of Ernst &amp; Young AG is Place de Pont-Rouge 1, 1211 Geneva, Switzerland.</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74930</wp:posOffset>
            </wp:positionV>
            <wp:extent cx="2151380" cy="677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138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3279"/>
        <w:spacing w:after="0"/>
        <w:rPr>
          <w:sz w:val="20"/>
          <w:szCs w:val="20"/>
          <w:color w:val="auto"/>
        </w:rPr>
      </w:pPr>
      <w:r>
        <w:rPr>
          <w:rFonts w:ascii="Arial" w:cs="Arial" w:eastAsia="Arial" w:hAnsi="Arial"/>
          <w:sz w:val="32"/>
          <w:szCs w:val="32"/>
          <w:b w:val="1"/>
          <w:bCs w:val="1"/>
          <w:color w:val="auto"/>
        </w:rPr>
        <w:t>AC IMMUNE SA</w:t>
      </w:r>
    </w:p>
    <w:p>
      <w:pPr>
        <w:spacing w:after="0" w:line="38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Common Shares</w:t>
      </w: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___________________________</w:t>
      </w:r>
    </w:p>
    <w:p>
      <w:pPr>
        <w:spacing w:after="0" w:line="244"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517525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INFORMATION NOT REQUIRED IN 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229"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4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entered or will enter into indemnification agreements with each of the members of our board of directors and executive management.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320" w:type="dxa"/>
            <w:vAlign w:val="bottom"/>
          </w:tcPr>
          <w:p>
            <w:pPr>
              <w:ind w:left="426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1240" w:type="dxa"/>
            <w:vAlign w:val="bottom"/>
            <w:gridSpan w:val="2"/>
          </w:tcPr>
          <w:p>
            <w:pPr>
              <w:ind w:left="340"/>
              <w:spacing w:after="0"/>
              <w:rPr>
                <w:sz w:val="20"/>
                <w:szCs w:val="20"/>
                <w:color w:val="auto"/>
              </w:rPr>
            </w:pPr>
            <w:r>
              <w:rPr>
                <w:rFonts w:ascii="Arial" w:cs="Arial" w:eastAsia="Arial" w:hAnsi="Arial"/>
                <w:sz w:val="18"/>
                <w:szCs w:val="18"/>
                <w:color w:val="auto"/>
              </w:rPr>
              <w:t>The following documents are filed as part of this registration statement:</w:t>
            </w:r>
          </w:p>
        </w:tc>
      </w:tr>
      <w:tr>
        <w:trPr>
          <w:trHeight w:val="485"/>
        </w:trPr>
        <w:tc>
          <w:tcPr>
            <w:tcW w:w="920" w:type="dxa"/>
            <w:vAlign w:val="bottom"/>
          </w:tcPr>
          <w:p>
            <w:pPr>
              <w:spacing w:after="0"/>
              <w:rPr>
                <w:sz w:val="20"/>
                <w:szCs w:val="20"/>
                <w:color w:val="auto"/>
              </w:rPr>
            </w:pPr>
            <w:r>
              <w:rPr>
                <w:rFonts w:ascii="Arial" w:cs="Arial" w:eastAsia="Arial" w:hAnsi="Arial"/>
                <w:sz w:val="18"/>
                <w:szCs w:val="18"/>
                <w:color w:val="auto"/>
              </w:rPr>
              <w:t>Exhibit</w:t>
            </w:r>
          </w:p>
        </w:tc>
        <w:tc>
          <w:tcPr>
            <w:tcW w:w="1032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Number</w:t>
            </w:r>
          </w:p>
        </w:tc>
        <w:tc>
          <w:tcPr>
            <w:tcW w:w="10320" w:type="dxa"/>
            <w:vAlign w:val="bottom"/>
          </w:tcPr>
          <w:p>
            <w:pPr>
              <w:spacing w:after="0"/>
              <w:rPr>
                <w:sz w:val="20"/>
                <w:szCs w:val="20"/>
                <w:color w:val="auto"/>
              </w:rPr>
            </w:pPr>
            <w:r>
              <w:rPr>
                <w:rFonts w:ascii="Arial" w:cs="Arial" w:eastAsia="Arial" w:hAnsi="Arial"/>
                <w:sz w:val="18"/>
                <w:szCs w:val="18"/>
                <w:color w:val="auto"/>
              </w:rPr>
              <w:t>Description</w:t>
            </w:r>
          </w:p>
        </w:tc>
      </w:tr>
      <w:tr>
        <w:trPr>
          <w:trHeight w:val="68"/>
        </w:trPr>
        <w:tc>
          <w:tcPr>
            <w:tcW w:w="920" w:type="dxa"/>
            <w:vAlign w:val="bottom"/>
            <w:tcBorders>
              <w:bottom w:val="single" w:sz="8" w:color="auto"/>
            </w:tcBorders>
          </w:tcPr>
          <w:p>
            <w:pPr>
              <w:spacing w:after="0"/>
              <w:rPr>
                <w:sz w:val="5"/>
                <w:szCs w:val="5"/>
                <w:color w:val="auto"/>
              </w:rPr>
            </w:pPr>
          </w:p>
        </w:tc>
        <w:tc>
          <w:tcPr>
            <w:tcW w:w="10320" w:type="dxa"/>
            <w:vAlign w:val="bottom"/>
            <w:tcBorders>
              <w:bottom w:val="single" w:sz="8" w:color="auto"/>
            </w:tcBorders>
          </w:tcPr>
          <w:p>
            <w:pPr>
              <w:spacing w:after="0"/>
              <w:rPr>
                <w:sz w:val="5"/>
                <w:szCs w:val="5"/>
                <w:color w:val="auto"/>
              </w:rPr>
            </w:pPr>
          </w:p>
        </w:tc>
      </w:tr>
      <w:tr>
        <w:trPr>
          <w:trHeight w:val="277"/>
        </w:trPr>
        <w:tc>
          <w:tcPr>
            <w:tcW w:w="920" w:type="dxa"/>
            <w:vAlign w:val="bottom"/>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tc>
        <w:tc>
          <w:tcPr>
            <w:tcW w:w="10320" w:type="dxa"/>
            <w:vAlign w:val="bottom"/>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Articles of Association of AC Immune SA dated September 14, 2020</w:t>
              </w:r>
            </w:hyperlink>
          </w:p>
        </w:tc>
      </w:tr>
      <w:tr>
        <w:trPr>
          <w:trHeight w:val="310"/>
        </w:trPr>
        <w:tc>
          <w:tcPr>
            <w:tcW w:w="920" w:type="dxa"/>
            <w:vAlign w:val="bottom"/>
          </w:tcPr>
          <w:p>
            <w:pPr>
              <w:spacing w:after="0"/>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4.2</w:t>
              </w:r>
            </w:hyperlink>
          </w:p>
        </w:tc>
        <w:tc>
          <w:tcPr>
            <w:tcW w:w="10320" w:type="dxa"/>
            <w:vAlign w:val="bottom"/>
            <w:tcBorders>
              <w:bottom w:val="single" w:sz="8" w:color="0000FF"/>
            </w:tcBorders>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Registration Rights Agreement dated as of October 23, 2015 among AC Immune SA and the Shareholders Party hereto (incorporated herein by</w:t>
              </w:r>
            </w:hyperlink>
          </w:p>
        </w:tc>
      </w:tr>
      <w:tr>
        <w:trPr>
          <w:trHeight w:val="237"/>
        </w:trPr>
        <w:tc>
          <w:tcPr>
            <w:tcW w:w="920" w:type="dxa"/>
            <w:vAlign w:val="bottom"/>
          </w:tcPr>
          <w:p>
            <w:pPr>
              <w:spacing w:after="0"/>
              <w:rPr>
                <w:sz w:val="20"/>
                <w:szCs w:val="20"/>
                <w:color w:val="auto"/>
              </w:rPr>
            </w:pPr>
          </w:p>
        </w:tc>
        <w:tc>
          <w:tcPr>
            <w:tcW w:w="10320" w:type="dxa"/>
            <w:vAlign w:val="bottom"/>
          </w:tcPr>
          <w:p>
            <w:pPr>
              <w:spacing w:after="0"/>
              <w:rPr>
                <w:rFonts w:ascii="Arial" w:cs="Arial" w:eastAsia="Arial" w:hAnsi="Arial"/>
                <w:sz w:val="18"/>
                <w:szCs w:val="18"/>
                <w:u w:val="single" w:color="auto"/>
                <w:color w:val="0000FF"/>
                <w:w w:val="94"/>
              </w:rPr>
            </w:pPr>
            <w:hyperlink r:id="rId49">
              <w:r>
                <w:rPr>
                  <w:rFonts w:ascii="Arial" w:cs="Arial" w:eastAsia="Arial" w:hAnsi="Arial"/>
                  <w:sz w:val="18"/>
                  <w:szCs w:val="18"/>
                  <w:u w:val="single" w:color="auto"/>
                  <w:color w:val="0000FF"/>
                  <w:w w:val="94"/>
                </w:rPr>
                <w:t>reference to Exhibit 4.1 in the Company’s Registration Statement on Form F-1 (File No. 333-211714) filed with the SEC on May 31, 2016)</w:t>
              </w:r>
            </w:hyperlink>
          </w:p>
        </w:tc>
      </w:tr>
      <w:tr>
        <w:trPr>
          <w:trHeight w:val="351"/>
        </w:trPr>
        <w:tc>
          <w:tcPr>
            <w:tcW w:w="920" w:type="dxa"/>
            <w:vAlign w:val="bottom"/>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5.1</w:t>
              </w:r>
            </w:hyperlink>
          </w:p>
        </w:tc>
        <w:tc>
          <w:tcPr>
            <w:tcW w:w="10320" w:type="dxa"/>
            <w:vAlign w:val="bottom"/>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Opinion of Bär &amp; Karrer Ltd., Swiss Counsel of AC Immune SA</w:t>
              </w:r>
            </w:hyperlink>
          </w:p>
        </w:tc>
      </w:tr>
      <w:tr>
        <w:trPr>
          <w:trHeight w:val="351"/>
        </w:trPr>
        <w:tc>
          <w:tcPr>
            <w:tcW w:w="920" w:type="dxa"/>
            <w:vAlign w:val="bottom"/>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23.1</w:t>
              </w:r>
            </w:hyperlink>
          </w:p>
        </w:tc>
        <w:tc>
          <w:tcPr>
            <w:tcW w:w="10320" w:type="dxa"/>
            <w:vAlign w:val="bottom"/>
          </w:tcPr>
          <w:p>
            <w:pPr>
              <w:spacing w:after="0"/>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Consent of Bär &amp; Karrer Ltd. (included in Exhibit 5.1)</w:t>
              </w:r>
            </w:hyperlink>
          </w:p>
        </w:tc>
      </w:tr>
      <w:tr>
        <w:trPr>
          <w:trHeight w:val="351"/>
        </w:trPr>
        <w:tc>
          <w:tcPr>
            <w:tcW w:w="920" w:type="dxa"/>
            <w:vAlign w:val="bottom"/>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23.2</w:t>
              </w:r>
            </w:hyperlink>
          </w:p>
        </w:tc>
        <w:tc>
          <w:tcPr>
            <w:tcW w:w="10320" w:type="dxa"/>
            <w:vAlign w:val="bottom"/>
          </w:tcPr>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Consent of PricewaterhouseCoopers SA</w:t>
              </w:r>
            </w:hyperlink>
          </w:p>
        </w:tc>
      </w:tr>
      <w:tr>
        <w:trPr>
          <w:trHeight w:val="351"/>
        </w:trPr>
        <w:tc>
          <w:tcPr>
            <w:tcW w:w="920" w:type="dxa"/>
            <w:vAlign w:val="bottom"/>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23.3</w:t>
              </w:r>
            </w:hyperlink>
          </w:p>
        </w:tc>
        <w:tc>
          <w:tcPr>
            <w:tcW w:w="10320" w:type="dxa"/>
            <w:vAlign w:val="bottom"/>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Consent of Ernst &amp; Young AG</w:t>
              </w:r>
            </w:hyperlink>
          </w:p>
        </w:tc>
      </w:tr>
      <w:tr>
        <w:trPr>
          <w:trHeight w:val="351"/>
        </w:trPr>
        <w:tc>
          <w:tcPr>
            <w:tcW w:w="920" w:type="dxa"/>
            <w:vAlign w:val="bottom"/>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24.1</w:t>
              </w:r>
            </w:hyperlink>
          </w:p>
        </w:tc>
        <w:tc>
          <w:tcPr>
            <w:tcW w:w="10320" w:type="dxa"/>
            <w:vAlign w:val="bottom"/>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Powers of attorney (included on signature page to this registration statement)</w:t>
              </w:r>
            </w:hyperlink>
          </w:p>
        </w:tc>
      </w:tr>
    </w:tbl>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UNDERTAKINGS</w:t>
      </w:r>
    </w:p>
    <w:p>
      <w:pPr>
        <w:spacing w:after="0" w:line="229"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340" w:right="40" w:firstLine="316"/>
        <w:spacing w:after="0" w:line="254" w:lineRule="auto"/>
        <w:tabs>
          <w:tab w:leader="none" w:pos="929"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 of this chapter) if, in the aggregate, the changes in volume and price represent no more than 20% change in the maximum aggregate offering price set forth in the “Calculation of Registration Fee” table in the effective registration statement.</w:t>
      </w:r>
    </w:p>
    <w:p>
      <w:pPr>
        <w:spacing w:after="0" w:line="194" w:lineRule="exact"/>
        <w:rPr>
          <w:rFonts w:ascii="Arial" w:cs="Arial" w:eastAsia="Arial" w:hAnsi="Arial"/>
          <w:sz w:val="18"/>
          <w:szCs w:val="18"/>
          <w:color w:val="auto"/>
        </w:rPr>
      </w:pPr>
    </w:p>
    <w:p>
      <w:pPr>
        <w:ind w:left="340" w:right="520" w:firstLine="316"/>
        <w:spacing w:after="0" w:line="277" w:lineRule="auto"/>
        <w:tabs>
          <w:tab w:leader="none" w:pos="979"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225" w:lineRule="exact"/>
        <w:rPr>
          <w:sz w:val="20"/>
          <w:szCs w:val="20"/>
          <w:color w:val="auto"/>
        </w:rPr>
      </w:pPr>
    </w:p>
    <w:p>
      <w:pPr>
        <w:ind w:left="660" w:right="100" w:firstLine="320"/>
        <w:spacing w:after="0" w:line="259" w:lineRule="auto"/>
        <w:tabs>
          <w:tab w:leader="none" w:pos="1279" w:val="left"/>
        </w:tabs>
        <w:numPr>
          <w:ilvl w:val="1"/>
          <w:numId w:val="29"/>
        </w:numPr>
        <w:rPr>
          <w:rFonts w:ascii="Arial" w:cs="Arial" w:eastAsia="Arial" w:hAnsi="Arial"/>
          <w:sz w:val="18"/>
          <w:szCs w:val="18"/>
          <w:color w:val="auto"/>
        </w:rPr>
      </w:pPr>
      <w:r>
        <w:rPr>
          <w:rFonts w:ascii="Arial" w:cs="Arial" w:eastAsia="Arial" w:hAnsi="Arial"/>
          <w:sz w:val="18"/>
          <w:szCs w:val="18"/>
          <w:color w:val="auto"/>
        </w:rPr>
        <w:t>Paragraphs (a)(1)(i) and (a)(1)(ii) of this section do not apply if the registration statement is on Form S-8 (§ 239.16b of this chapter), and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 and</w:t>
      </w:r>
    </w:p>
    <w:p>
      <w:pPr>
        <w:spacing w:after="0" w:line="186" w:lineRule="exact"/>
        <w:rPr>
          <w:rFonts w:ascii="Arial" w:cs="Arial" w:eastAsia="Arial" w:hAnsi="Arial"/>
          <w:sz w:val="18"/>
          <w:szCs w:val="18"/>
          <w:color w:val="auto"/>
        </w:rPr>
      </w:pPr>
    </w:p>
    <w:p>
      <w:pPr>
        <w:ind w:left="660" w:firstLine="320"/>
        <w:spacing w:after="0" w:line="257" w:lineRule="auto"/>
        <w:tabs>
          <w:tab w:leader="none" w:pos="1269" w:val="left"/>
        </w:tabs>
        <w:numPr>
          <w:ilvl w:val="1"/>
          <w:numId w:val="29"/>
        </w:numPr>
        <w:rPr>
          <w:rFonts w:ascii="Arial" w:cs="Arial" w:eastAsia="Arial" w:hAnsi="Arial"/>
          <w:sz w:val="18"/>
          <w:szCs w:val="18"/>
          <w:color w:val="auto"/>
        </w:rPr>
      </w:pPr>
      <w:r>
        <w:rPr>
          <w:rFonts w:ascii="Arial" w:cs="Arial" w:eastAsia="Arial" w:hAnsi="Arial"/>
          <w:sz w:val="18"/>
          <w:szCs w:val="18"/>
          <w:color w:val="auto"/>
        </w:rPr>
        <w:t>Paragraphs (a)(1)(i), (a)(1)(ii) and (a)(1)(iii) of this section do not apply if the registration statement is on Form S-3 (§ 239.13 of this chapter) or Form F-3 (§ 239.33 of this chapter)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 230.424(b) of this chapter) that is part of the registration statement.</w:t>
      </w:r>
    </w:p>
    <w:p>
      <w:pPr>
        <w:spacing w:after="0" w:line="187" w:lineRule="exact"/>
        <w:rPr>
          <w:rFonts w:ascii="Arial" w:cs="Arial" w:eastAsia="Arial" w:hAnsi="Arial"/>
          <w:sz w:val="18"/>
          <w:szCs w:val="18"/>
          <w:color w:val="auto"/>
        </w:rPr>
      </w:pPr>
    </w:p>
    <w:p>
      <w:pPr>
        <w:ind w:left="660" w:right="200" w:firstLine="320"/>
        <w:spacing w:after="0" w:line="263" w:lineRule="auto"/>
        <w:tabs>
          <w:tab w:leader="none" w:pos="1269" w:val="left"/>
        </w:tabs>
        <w:numPr>
          <w:ilvl w:val="1"/>
          <w:numId w:val="29"/>
        </w:numPr>
        <w:rPr>
          <w:rFonts w:ascii="Arial" w:cs="Arial" w:eastAsia="Arial" w:hAnsi="Arial"/>
          <w:sz w:val="18"/>
          <w:szCs w:val="18"/>
          <w:color w:val="auto"/>
        </w:rPr>
      </w:pPr>
      <w:r>
        <w:rPr>
          <w:rFonts w:ascii="Arial" w:cs="Arial" w:eastAsia="Arial" w:hAnsi="Arial"/>
          <w:sz w:val="18"/>
          <w:szCs w:val="18"/>
          <w:color w:val="auto"/>
        </w:rPr>
        <w:t>Provided further, however, that paragraphs (a)(1)(i) and (a)(1)(ii) do not apply if the registration statement is for an offering of asset-backed securities on Form S-1 (§ 239.11 of this chapter) or Form S-3 (§ 239.13 of this chapter), and the information required to be included in a post-effective amendment is provided pursuant to Item 1100(c) of Regulation AB (§ 229.1100(c)).</w:t>
      </w:r>
    </w:p>
    <w:p>
      <w:pPr>
        <w:spacing w:after="0" w:line="183" w:lineRule="exact"/>
        <w:rPr>
          <w:rFonts w:ascii="Arial" w:cs="Arial" w:eastAsia="Arial" w:hAnsi="Arial"/>
          <w:sz w:val="18"/>
          <w:szCs w:val="18"/>
          <w:color w:val="auto"/>
        </w:rPr>
      </w:pPr>
    </w:p>
    <w:p>
      <w:pPr>
        <w:ind w:firstLine="332"/>
        <w:spacing w:after="0" w:line="263" w:lineRule="auto"/>
        <w:tabs>
          <w:tab w:leader="none" w:pos="5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right="80" w:firstLine="332"/>
        <w:spacing w:after="0" w:line="277" w:lineRule="auto"/>
        <w:tabs>
          <w:tab w:leader="none" w:pos="5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200" w:firstLine="332"/>
        <w:spacing w:after="0" w:line="311" w:lineRule="auto"/>
        <w:tabs>
          <w:tab w:leader="none" w:pos="57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provided that the registrant includes in the prospectus, by means of a post-effective amendment, financial statements required</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pursuant to this paragraph (a)(4) and other information necessary to ensure that all other information in the prospectus is at least as current as the date of those financial statements. Notwithstanding the foregoing, with respect to registration statements on Form F-3 (§ 239.33 of this chapter), a post-effective amendment need not be filed to include financial statements and information required by Section 10(a)(3) of the Act or § 210.3-19 of this chapter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76" w:lineRule="exact"/>
        <w:rPr>
          <w:sz w:val="20"/>
          <w:szCs w:val="20"/>
          <w:color w:val="auto"/>
        </w:rPr>
      </w:pPr>
    </w:p>
    <w:p>
      <w:pPr>
        <w:ind w:left="580" w:hanging="248"/>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340" w:right="260" w:firstLine="316"/>
        <w:spacing w:after="0" w:line="277" w:lineRule="auto"/>
        <w:tabs>
          <w:tab w:leader="none" w:pos="959" w:val="left"/>
        </w:tabs>
        <w:numPr>
          <w:ilvl w:val="1"/>
          <w:numId w:val="3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340" w:right="100" w:firstLine="316"/>
        <w:spacing w:after="0" w:line="269" w:lineRule="auto"/>
        <w:tabs>
          <w:tab w:leader="none" w:pos="949" w:val="left"/>
        </w:tabs>
        <w:numPr>
          <w:ilvl w:val="1"/>
          <w:numId w:val="31"/>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81" w:lineRule="exact"/>
        <w:rPr>
          <w:rFonts w:ascii="Arial" w:cs="Arial" w:eastAsia="Arial" w:hAnsi="Arial"/>
          <w:sz w:val="17"/>
          <w:szCs w:val="17"/>
          <w:color w:val="auto"/>
        </w:rPr>
      </w:pPr>
    </w:p>
    <w:p>
      <w:pPr>
        <w:ind w:right="340" w:firstLine="332"/>
        <w:spacing w:after="0" w:line="277" w:lineRule="auto"/>
        <w:tabs>
          <w:tab w:leader="none" w:pos="5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880" w:hanging="224"/>
        <w:spacing w:after="0"/>
        <w:tabs>
          <w:tab w:leader="none" w:pos="8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340" w:right="620" w:firstLine="316"/>
        <w:spacing w:after="0" w:line="277" w:lineRule="auto"/>
        <w:tabs>
          <w:tab w:leader="none" w:pos="929"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340" w:firstLine="316"/>
        <w:spacing w:after="0" w:line="277" w:lineRule="auto"/>
        <w:tabs>
          <w:tab w:leader="none" w:pos="979"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20" w:firstLine="8"/>
        <w:spacing w:after="0" w:line="259"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shall be deemed to be a new registration statement relating to the securities offered therein, and the offering of such securities at that time shall be deemed to be the initial bona fide offering thereof.</w:t>
      </w:r>
    </w:p>
    <w:p>
      <w:pPr>
        <w:spacing w:after="0" w:line="170" w:lineRule="exact"/>
        <w:rPr>
          <w:sz w:val="20"/>
          <w:szCs w:val="20"/>
          <w:color w:val="auto"/>
        </w:rPr>
      </w:pPr>
    </w:p>
    <w:p>
      <w:pPr>
        <w:ind w:firstLine="8"/>
        <w:spacing w:after="0" w:line="254"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1"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right="40" w:firstLine="332"/>
        <w:spacing w:after="0" w:line="286" w:lineRule="auto"/>
        <w:tabs>
          <w:tab w:leader="none" w:pos="579" w:val="left"/>
        </w:tabs>
        <w:numPr>
          <w:ilvl w:val="1"/>
          <w:numId w:val="34"/>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right="120" w:firstLine="332"/>
        <w:spacing w:after="0" w:line="263" w:lineRule="auto"/>
        <w:tabs>
          <w:tab w:leader="none" w:pos="579"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46" w:lineRule="exact"/>
        <w:rPr>
          <w:rFonts w:ascii="Arial" w:cs="Arial" w:eastAsia="Arial" w:hAnsi="Arial"/>
          <w:sz w:val="16"/>
          <w:szCs w:val="16"/>
          <w:color w:val="auto"/>
        </w:rPr>
      </w:pPr>
    </w:p>
    <w:p>
      <w:pPr>
        <w:ind w:right="60" w:firstLine="8"/>
        <w:spacing w:after="0" w:line="260"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of section 310 of the Trust Indenture Act (“Act”) in accordance with the rules and regulations prescribed by the Commission under section 305(b)(2) of the Act.</w:t>
      </w: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Lausanne, Switzerland on October 23, 2020.</w:t>
      </w:r>
    </w:p>
    <w:p>
      <w:pPr>
        <w:spacing w:after="0" w:line="184"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AC IMMUNE SA</w:t>
      </w:r>
    </w:p>
    <w:p>
      <w:pPr>
        <w:spacing w:after="0" w:line="200" w:lineRule="exact"/>
        <w:rPr>
          <w:sz w:val="20"/>
          <w:szCs w:val="20"/>
          <w:color w:val="auto"/>
        </w:rPr>
      </w:pPr>
    </w:p>
    <w:p>
      <w:pPr>
        <w:spacing w:after="0" w:line="241" w:lineRule="exact"/>
        <w:rPr>
          <w:sz w:val="20"/>
          <w:szCs w:val="20"/>
          <w:color w:val="auto"/>
        </w:rPr>
      </w:pPr>
    </w:p>
    <w:tbl>
      <w:tblPr>
        <w:tblLayout w:type="fixed"/>
        <w:tblInd w:w="64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Andrea Pfeifer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Joerg Hornstein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3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Andrea Pfeifer and Joerg Hornstein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hereto, including post-effective amendments and registrations field pursuant to Rule 462 under the U.S. Securities Act of 1933, and to file the same, with all exhibits thereto, and other documents in connection therewith, with the U.S. Securities and Exchange Commission, granting unto such attorneys-in-fact and agents full power and authority to do and perform each and every act and thing required and necessary to be done in and about the premises, as fully to all intents and purposes as he might or could do in person, hereby ratifying and confirming all that said attorneys-in-fact and agents or his substitute, may lawfully do or cause to be done by virtue of hereof.</w:t>
      </w:r>
    </w:p>
    <w:p>
      <w:pPr>
        <w:spacing w:after="0" w:line="16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Name</w:t>
            </w:r>
          </w:p>
        </w:tc>
        <w:tc>
          <w:tcPr>
            <w:tcW w:w="120" w:type="dxa"/>
            <w:vAlign w:val="bottom"/>
          </w:tcPr>
          <w:p>
            <w:pPr>
              <w:spacing w:after="0"/>
              <w:rPr>
                <w:sz w:val="20"/>
                <w:szCs w:val="20"/>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Date</w:t>
            </w:r>
          </w:p>
        </w:tc>
      </w:tr>
      <w:tr>
        <w:trPr>
          <w:trHeight w:val="411"/>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Andrea Pfeifer</w:t>
            </w:r>
          </w:p>
        </w:tc>
        <w:tc>
          <w:tcPr>
            <w:tcW w:w="1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100" w:type="dxa"/>
            <w:vAlign w:val="bottom"/>
          </w:tcPr>
          <w:p>
            <w:pPr>
              <w:spacing w:after="0"/>
              <w:rPr>
                <w:sz w:val="20"/>
                <w:szCs w:val="20"/>
                <w:color w:val="auto"/>
              </w:rPr>
            </w:pPr>
          </w:p>
        </w:tc>
        <w:tc>
          <w:tcPr>
            <w:tcW w:w="2240" w:type="dxa"/>
            <w:vAlign w:val="bottom"/>
          </w:tcPr>
          <w:p>
            <w:pPr>
              <w:ind w:left="500"/>
              <w:spacing w:after="0"/>
              <w:rPr>
                <w:sz w:val="20"/>
                <w:szCs w:val="20"/>
                <w:color w:val="auto"/>
              </w:rPr>
            </w:pPr>
            <w:r>
              <w:rPr>
                <w:rFonts w:ascii="Arial" w:cs="Arial" w:eastAsia="Arial" w:hAnsi="Arial"/>
                <w:sz w:val="18"/>
                <w:szCs w:val="18"/>
                <w:color w:val="auto"/>
              </w:rPr>
              <w:t>October 23,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Andrea Pfeifer</w:t>
            </w:r>
          </w:p>
        </w:tc>
        <w:tc>
          <w:tcPr>
            <w:tcW w:w="1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3"/>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Joerg Hornstein</w:t>
            </w:r>
          </w:p>
        </w:tc>
        <w:tc>
          <w:tcPr>
            <w:tcW w:w="1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100" w:type="dxa"/>
            <w:vAlign w:val="bottom"/>
          </w:tcPr>
          <w:p>
            <w:pPr>
              <w:spacing w:after="0"/>
              <w:rPr>
                <w:sz w:val="20"/>
                <w:szCs w:val="20"/>
                <w:color w:val="auto"/>
              </w:rPr>
            </w:pPr>
          </w:p>
        </w:tc>
        <w:tc>
          <w:tcPr>
            <w:tcW w:w="2240" w:type="dxa"/>
            <w:vAlign w:val="bottom"/>
          </w:tcPr>
          <w:p>
            <w:pPr>
              <w:ind w:left="500"/>
              <w:spacing w:after="0"/>
              <w:rPr>
                <w:sz w:val="20"/>
                <w:szCs w:val="20"/>
                <w:color w:val="auto"/>
              </w:rPr>
            </w:pPr>
            <w:r>
              <w:rPr>
                <w:rFonts w:ascii="Arial" w:cs="Arial" w:eastAsia="Arial" w:hAnsi="Arial"/>
                <w:sz w:val="18"/>
                <w:szCs w:val="18"/>
                <w:color w:val="auto"/>
              </w:rPr>
              <w:t>October 23,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89"/>
              </w:rPr>
              <w:t>Joerg Hornstein</w:t>
            </w:r>
          </w:p>
        </w:tc>
        <w:tc>
          <w:tcPr>
            <w:tcW w:w="1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Douglas E. Williams</w:t>
            </w:r>
          </w:p>
        </w:tc>
        <w:tc>
          <w:tcPr>
            <w:tcW w:w="1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0"/>
              </w:rPr>
              <w:t>Chairman and Director</w:t>
            </w:r>
          </w:p>
        </w:tc>
        <w:tc>
          <w:tcPr>
            <w:tcW w:w="100" w:type="dxa"/>
            <w:vAlign w:val="bottom"/>
          </w:tcPr>
          <w:p>
            <w:pPr>
              <w:spacing w:after="0"/>
              <w:rPr>
                <w:sz w:val="24"/>
                <w:szCs w:val="24"/>
                <w:color w:val="auto"/>
              </w:rPr>
            </w:pPr>
          </w:p>
        </w:tc>
        <w:tc>
          <w:tcPr>
            <w:tcW w:w="2240" w:type="dxa"/>
            <w:vAlign w:val="bottom"/>
          </w:tcPr>
          <w:p>
            <w:pPr>
              <w:ind w:left="500"/>
              <w:spacing w:after="0"/>
              <w:rPr>
                <w:sz w:val="20"/>
                <w:szCs w:val="20"/>
                <w:color w:val="auto"/>
              </w:rPr>
            </w:pPr>
            <w:r>
              <w:rPr>
                <w:rFonts w:ascii="Arial" w:cs="Arial" w:eastAsia="Arial" w:hAnsi="Arial"/>
                <w:sz w:val="18"/>
                <w:szCs w:val="18"/>
                <w:color w:val="auto"/>
              </w:rPr>
              <w:t>October 23,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Douglas E. Williams</w:t>
            </w:r>
          </w:p>
        </w:tc>
        <w:tc>
          <w:tcPr>
            <w:tcW w:w="1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Martin Velasco</w:t>
            </w:r>
          </w:p>
        </w:tc>
        <w:tc>
          <w:tcPr>
            <w:tcW w:w="1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Vice-Chairman and Director</w:t>
            </w:r>
          </w:p>
        </w:tc>
        <w:tc>
          <w:tcPr>
            <w:tcW w:w="100" w:type="dxa"/>
            <w:vAlign w:val="bottom"/>
          </w:tcPr>
          <w:p>
            <w:pPr>
              <w:spacing w:after="0"/>
              <w:rPr>
                <w:sz w:val="24"/>
                <w:szCs w:val="24"/>
                <w:color w:val="auto"/>
              </w:rPr>
            </w:pPr>
          </w:p>
        </w:tc>
        <w:tc>
          <w:tcPr>
            <w:tcW w:w="2240" w:type="dxa"/>
            <w:vAlign w:val="bottom"/>
          </w:tcPr>
          <w:p>
            <w:pPr>
              <w:ind w:left="500"/>
              <w:spacing w:after="0"/>
              <w:rPr>
                <w:sz w:val="20"/>
                <w:szCs w:val="20"/>
                <w:color w:val="auto"/>
              </w:rPr>
            </w:pPr>
            <w:r>
              <w:rPr>
                <w:rFonts w:ascii="Arial" w:cs="Arial" w:eastAsia="Arial" w:hAnsi="Arial"/>
                <w:sz w:val="18"/>
                <w:szCs w:val="18"/>
                <w:color w:val="auto"/>
              </w:rPr>
              <w:t>October 23,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Martin Velasco</w:t>
            </w:r>
          </w:p>
        </w:tc>
        <w:tc>
          <w:tcPr>
            <w:tcW w:w="1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Peter Bollman</w:t>
            </w:r>
          </w:p>
        </w:tc>
        <w:tc>
          <w:tcPr>
            <w:tcW w:w="1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ind w:left="500"/>
              <w:spacing w:after="0"/>
              <w:rPr>
                <w:sz w:val="20"/>
                <w:szCs w:val="20"/>
                <w:color w:val="auto"/>
              </w:rPr>
            </w:pPr>
            <w:r>
              <w:rPr>
                <w:rFonts w:ascii="Arial" w:cs="Arial" w:eastAsia="Arial" w:hAnsi="Arial"/>
                <w:sz w:val="18"/>
                <w:szCs w:val="18"/>
                <w:color w:val="auto"/>
              </w:rPr>
              <w:t>October 23,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Peter Bollman</w:t>
            </w:r>
          </w:p>
        </w:tc>
        <w:tc>
          <w:tcPr>
            <w:tcW w:w="1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Thomas Graney</w:t>
            </w:r>
          </w:p>
        </w:tc>
        <w:tc>
          <w:tcPr>
            <w:tcW w:w="1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ind w:left="500"/>
              <w:spacing w:after="0"/>
              <w:rPr>
                <w:sz w:val="20"/>
                <w:szCs w:val="20"/>
                <w:color w:val="auto"/>
              </w:rPr>
            </w:pPr>
            <w:r>
              <w:rPr>
                <w:rFonts w:ascii="Arial" w:cs="Arial" w:eastAsia="Arial" w:hAnsi="Arial"/>
                <w:sz w:val="18"/>
                <w:szCs w:val="18"/>
                <w:color w:val="auto"/>
              </w:rPr>
              <w:t>October 23,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89"/>
              </w:rPr>
              <w:t>Thomas Graney</w:t>
            </w:r>
          </w:p>
        </w:tc>
        <w:tc>
          <w:tcPr>
            <w:tcW w:w="1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Werner Lanthaler</w:t>
            </w:r>
          </w:p>
        </w:tc>
        <w:tc>
          <w:tcPr>
            <w:tcW w:w="1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ind w:left="500"/>
              <w:spacing w:after="0"/>
              <w:rPr>
                <w:sz w:val="20"/>
                <w:szCs w:val="20"/>
                <w:color w:val="auto"/>
              </w:rPr>
            </w:pPr>
            <w:r>
              <w:rPr>
                <w:rFonts w:ascii="Arial" w:cs="Arial" w:eastAsia="Arial" w:hAnsi="Arial"/>
                <w:sz w:val="18"/>
                <w:szCs w:val="18"/>
                <w:color w:val="auto"/>
              </w:rPr>
              <w:t>October 23,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Werner Lanthaler</w:t>
            </w:r>
          </w:p>
        </w:tc>
        <w:tc>
          <w:tcPr>
            <w:tcW w:w="1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Roy Twyman</w:t>
            </w:r>
          </w:p>
        </w:tc>
        <w:tc>
          <w:tcPr>
            <w:tcW w:w="1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24"/>
                <w:szCs w:val="24"/>
                <w:color w:val="auto"/>
              </w:rPr>
            </w:pPr>
          </w:p>
        </w:tc>
        <w:tc>
          <w:tcPr>
            <w:tcW w:w="2240" w:type="dxa"/>
            <w:vAlign w:val="bottom"/>
          </w:tcPr>
          <w:p>
            <w:pPr>
              <w:ind w:left="500"/>
              <w:spacing w:after="0"/>
              <w:rPr>
                <w:sz w:val="20"/>
                <w:szCs w:val="20"/>
                <w:color w:val="auto"/>
              </w:rPr>
            </w:pPr>
            <w:r>
              <w:rPr>
                <w:rFonts w:ascii="Arial" w:cs="Arial" w:eastAsia="Arial" w:hAnsi="Arial"/>
                <w:sz w:val="18"/>
                <w:szCs w:val="18"/>
                <w:color w:val="auto"/>
              </w:rPr>
              <w:t>October 23,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Roy Twyman</w:t>
            </w:r>
          </w:p>
        </w:tc>
        <w:tc>
          <w:tcPr>
            <w:tcW w:w="1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Colleen A. De Vries</w:t>
            </w:r>
          </w:p>
        </w:tc>
        <w:tc>
          <w:tcPr>
            <w:tcW w:w="120" w:type="dxa"/>
            <w:vAlign w:val="bottom"/>
          </w:tcPr>
          <w:p>
            <w:pPr>
              <w:spacing w:after="0"/>
              <w:rPr>
                <w:sz w:val="24"/>
                <w:szCs w:val="24"/>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0"/>
              </w:rPr>
              <w:t>Authorized Representative in the United States</w:t>
            </w:r>
          </w:p>
        </w:tc>
        <w:tc>
          <w:tcPr>
            <w:tcW w:w="100" w:type="dxa"/>
            <w:vAlign w:val="bottom"/>
          </w:tcPr>
          <w:p>
            <w:pPr>
              <w:spacing w:after="0"/>
              <w:rPr>
                <w:sz w:val="24"/>
                <w:szCs w:val="24"/>
                <w:color w:val="auto"/>
              </w:rPr>
            </w:pPr>
          </w:p>
        </w:tc>
        <w:tc>
          <w:tcPr>
            <w:tcW w:w="2240" w:type="dxa"/>
            <w:vAlign w:val="bottom"/>
          </w:tcPr>
          <w:p>
            <w:pPr>
              <w:ind w:left="500"/>
              <w:spacing w:after="0"/>
              <w:rPr>
                <w:sz w:val="20"/>
                <w:szCs w:val="20"/>
                <w:color w:val="auto"/>
              </w:rPr>
            </w:pPr>
            <w:r>
              <w:rPr>
                <w:rFonts w:ascii="Arial" w:cs="Arial" w:eastAsia="Arial" w:hAnsi="Arial"/>
                <w:sz w:val="18"/>
                <w:szCs w:val="18"/>
                <w:color w:val="auto"/>
              </w:rPr>
              <w:t>October 23, 2020</w:t>
            </w:r>
          </w:p>
        </w:tc>
      </w:tr>
      <w:tr>
        <w:trPr>
          <w:trHeight w:val="195"/>
        </w:trPr>
        <w:tc>
          <w:tcPr>
            <w:tcW w:w="3820" w:type="dxa"/>
            <w:vAlign w:val="bottom"/>
          </w:tcPr>
          <w:p>
            <w:pPr>
              <w:jc w:val="center"/>
              <w:spacing w:after="0" w:line="195" w:lineRule="exact"/>
              <w:rPr>
                <w:sz w:val="20"/>
                <w:szCs w:val="20"/>
                <w:color w:val="auto"/>
              </w:rPr>
            </w:pPr>
            <w:r>
              <w:rPr>
                <w:rFonts w:ascii="Arial" w:cs="Arial" w:eastAsia="Arial" w:hAnsi="Arial"/>
                <w:sz w:val="18"/>
                <w:szCs w:val="18"/>
                <w:color w:val="auto"/>
                <w:w w:val="92"/>
              </w:rPr>
              <w:t>Colleen A. De Vries</w:t>
            </w:r>
          </w:p>
        </w:tc>
        <w:tc>
          <w:tcPr>
            <w:tcW w:w="1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91"/>
              </w:rPr>
              <w:t>SVP on behalf of Cogency Global Inc.</w:t>
            </w: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Exhibit 4.1</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620" w:type="dxa"/>
            <w:vAlign w:val="bottom"/>
            <w:tcBorders>
              <w:top w:val="single" w:sz="8" w:color="auto"/>
              <w:left w:val="single" w:sz="8" w:color="auto"/>
            </w:tcBorders>
          </w:tcPr>
          <w:p>
            <w:pPr>
              <w:spacing w:after="0"/>
              <w:rPr>
                <w:sz w:val="24"/>
                <w:szCs w:val="24"/>
                <w:color w:val="auto"/>
              </w:rPr>
            </w:pPr>
          </w:p>
        </w:tc>
        <w:tc>
          <w:tcPr>
            <w:tcW w:w="4920" w:type="dxa"/>
            <w:vAlign w:val="bottom"/>
            <w:tcBorders>
              <w:top w:val="single" w:sz="8" w:color="auto"/>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99"/>
              </w:rPr>
              <w:t>ARTICLES OF ASSOCIATION</w:t>
            </w:r>
          </w:p>
        </w:tc>
        <w:tc>
          <w:tcPr>
            <w:tcW w:w="220" w:type="dxa"/>
            <w:vAlign w:val="bottom"/>
            <w:tcBorders>
              <w:top w:val="single" w:sz="8" w:color="auto"/>
              <w:right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900" w:type="dxa"/>
            <w:vAlign w:val="bottom"/>
            <w:tcBorders>
              <w:top w:val="single" w:sz="8" w:color="auto"/>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96"/>
              </w:rPr>
              <w:t>STATUTS</w:t>
            </w:r>
          </w:p>
        </w:tc>
      </w:tr>
      <w:tr>
        <w:trPr>
          <w:trHeight w:val="405"/>
        </w:trPr>
        <w:tc>
          <w:tcPr>
            <w:tcW w:w="620" w:type="dxa"/>
            <w:vAlign w:val="bottom"/>
            <w:tcBorders>
              <w:left w:val="single" w:sz="8" w:color="auto"/>
            </w:tcBorders>
          </w:tcPr>
          <w:p>
            <w:pPr>
              <w:spacing w:after="0"/>
              <w:rPr>
                <w:sz w:val="24"/>
                <w:szCs w:val="24"/>
                <w:color w:val="auto"/>
              </w:rPr>
            </w:pPr>
          </w:p>
        </w:tc>
        <w:tc>
          <w:tcPr>
            <w:tcW w:w="492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rPr>
              <w:t>of</w:t>
            </w:r>
          </w:p>
        </w:tc>
        <w:tc>
          <w:tcPr>
            <w:tcW w:w="22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rPr>
              <w:t>de</w:t>
            </w:r>
          </w:p>
        </w:tc>
      </w:tr>
      <w:tr>
        <w:trPr>
          <w:trHeight w:val="369"/>
        </w:trPr>
        <w:tc>
          <w:tcPr>
            <w:tcW w:w="620" w:type="dxa"/>
            <w:vAlign w:val="bottom"/>
            <w:tcBorders>
              <w:left w:val="single" w:sz="8" w:color="auto"/>
            </w:tcBorders>
          </w:tcPr>
          <w:p>
            <w:pPr>
              <w:spacing w:after="0"/>
              <w:rPr>
                <w:sz w:val="24"/>
                <w:szCs w:val="24"/>
                <w:color w:val="auto"/>
              </w:rPr>
            </w:pPr>
          </w:p>
        </w:tc>
        <w:tc>
          <w:tcPr>
            <w:tcW w:w="492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99"/>
              </w:rPr>
              <w:t>AC Immune SA</w:t>
            </w:r>
          </w:p>
        </w:tc>
        <w:tc>
          <w:tcPr>
            <w:tcW w:w="22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9"/>
              </w:rPr>
              <w:t>AC Immune SA</w:t>
            </w:r>
          </w:p>
        </w:tc>
      </w:tr>
      <w:tr>
        <w:trPr>
          <w:trHeight w:val="203"/>
        </w:trPr>
        <w:tc>
          <w:tcPr>
            <w:tcW w:w="620" w:type="dxa"/>
            <w:vAlign w:val="bottom"/>
            <w:tcBorders>
              <w:left w:val="single" w:sz="8" w:color="auto"/>
            </w:tcBorders>
          </w:tcPr>
          <w:p>
            <w:pPr>
              <w:spacing w:after="0"/>
              <w:rPr>
                <w:sz w:val="17"/>
                <w:szCs w:val="17"/>
                <w:color w:val="auto"/>
              </w:rPr>
            </w:pPr>
          </w:p>
        </w:tc>
        <w:tc>
          <w:tcPr>
            <w:tcW w:w="4920" w:type="dxa"/>
            <w:vAlign w:val="bottom"/>
            <w:tcBorders>
              <w:right w:val="single" w:sz="8" w:color="auto"/>
            </w:tcBorders>
          </w:tcPr>
          <w:p>
            <w:pPr>
              <w:jc w:val="center"/>
              <w:ind w:right="550"/>
              <w:spacing w:after="0" w:line="202" w:lineRule="exact"/>
              <w:rPr>
                <w:sz w:val="20"/>
                <w:szCs w:val="20"/>
                <w:color w:val="auto"/>
              </w:rPr>
            </w:pPr>
            <w:r>
              <w:rPr>
                <w:rFonts w:ascii="Arial" w:cs="Arial" w:eastAsia="Arial" w:hAnsi="Arial"/>
                <w:sz w:val="18"/>
                <w:szCs w:val="18"/>
                <w:b w:val="1"/>
                <w:bCs w:val="1"/>
                <w:color w:val="auto"/>
                <w:w w:val="99"/>
              </w:rPr>
              <w:t>(AC Immune AG)</w:t>
            </w:r>
          </w:p>
        </w:tc>
        <w:tc>
          <w:tcPr>
            <w:tcW w:w="2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900" w:type="dxa"/>
            <w:vAlign w:val="bottom"/>
            <w:tcBorders>
              <w:right w:val="single" w:sz="8" w:color="auto"/>
            </w:tcBorders>
          </w:tcPr>
          <w:p>
            <w:pPr>
              <w:jc w:val="center"/>
              <w:ind w:right="530"/>
              <w:spacing w:after="0" w:line="202" w:lineRule="exact"/>
              <w:rPr>
                <w:sz w:val="20"/>
                <w:szCs w:val="20"/>
                <w:color w:val="auto"/>
              </w:rPr>
            </w:pPr>
            <w:r>
              <w:rPr>
                <w:rFonts w:ascii="Arial" w:cs="Arial" w:eastAsia="Arial" w:hAnsi="Arial"/>
                <w:sz w:val="18"/>
                <w:szCs w:val="18"/>
                <w:b w:val="1"/>
                <w:bCs w:val="1"/>
                <w:color w:val="auto"/>
                <w:w w:val="99"/>
              </w:rPr>
              <w:t>(AC Immune AG)</w:t>
            </w:r>
          </w:p>
        </w:tc>
      </w:tr>
      <w:tr>
        <w:trPr>
          <w:trHeight w:val="239"/>
        </w:trPr>
        <w:tc>
          <w:tcPr>
            <w:tcW w:w="620" w:type="dxa"/>
            <w:vAlign w:val="bottom"/>
            <w:tcBorders>
              <w:left w:val="single" w:sz="8" w:color="auto"/>
            </w:tcBorders>
          </w:tcPr>
          <w:p>
            <w:pPr>
              <w:spacing w:after="0"/>
              <w:rPr>
                <w:sz w:val="20"/>
                <w:szCs w:val="20"/>
                <w:color w:val="auto"/>
              </w:rPr>
            </w:pPr>
          </w:p>
        </w:tc>
        <w:tc>
          <w:tcPr>
            <w:tcW w:w="492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rPr>
              <w:t>(AC Immune Ltd)</w:t>
            </w:r>
          </w:p>
        </w:tc>
        <w:tc>
          <w:tcPr>
            <w:tcW w:w="22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4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rPr>
              <w:t>(AC Immune Ltd)</w:t>
            </w:r>
          </w:p>
        </w:tc>
      </w:tr>
      <w:tr>
        <w:trPr>
          <w:trHeight w:val="405"/>
        </w:trPr>
        <w:tc>
          <w:tcPr>
            <w:tcW w:w="620" w:type="dxa"/>
            <w:vAlign w:val="bottom"/>
            <w:tcBorders>
              <w:left w:val="single" w:sz="8" w:color="auto"/>
            </w:tcBorders>
          </w:tcPr>
          <w:p>
            <w:pPr>
              <w:spacing w:after="0"/>
              <w:rPr>
                <w:sz w:val="24"/>
                <w:szCs w:val="24"/>
                <w:color w:val="auto"/>
              </w:rPr>
            </w:pPr>
          </w:p>
        </w:tc>
        <w:tc>
          <w:tcPr>
            <w:tcW w:w="492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99"/>
              </w:rPr>
              <w:t>with registered office in</w:t>
            </w:r>
          </w:p>
        </w:tc>
        <w:tc>
          <w:tcPr>
            <w:tcW w:w="22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9"/>
              </w:rPr>
              <w:t>avec siège à</w:t>
            </w:r>
          </w:p>
        </w:tc>
      </w:tr>
      <w:tr>
        <w:trPr>
          <w:trHeight w:val="405"/>
        </w:trPr>
        <w:tc>
          <w:tcPr>
            <w:tcW w:w="620" w:type="dxa"/>
            <w:vAlign w:val="bottom"/>
            <w:tcBorders>
              <w:left w:val="single" w:sz="8" w:color="auto"/>
            </w:tcBorders>
          </w:tcPr>
          <w:p>
            <w:pPr>
              <w:spacing w:after="0"/>
              <w:rPr>
                <w:sz w:val="24"/>
                <w:szCs w:val="24"/>
                <w:color w:val="auto"/>
              </w:rPr>
            </w:pPr>
          </w:p>
        </w:tc>
        <w:tc>
          <w:tcPr>
            <w:tcW w:w="492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99"/>
              </w:rPr>
              <w:t>Ecublens (VD)</w:t>
            </w:r>
          </w:p>
        </w:tc>
        <w:tc>
          <w:tcPr>
            <w:tcW w:w="22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9"/>
              </w:rPr>
              <w:t>Ecublens (VD)</w:t>
            </w:r>
          </w:p>
        </w:tc>
      </w:tr>
      <w:tr>
        <w:trPr>
          <w:trHeight w:val="405"/>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French version of these articles of association shall prevail.</w:t>
            </w:r>
          </w:p>
        </w:tc>
        <w:tc>
          <w:tcPr>
            <w:tcW w:w="22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9"/>
              </w:rPr>
              <w:t>La version française de ces statuts fait foi.</w:t>
            </w:r>
          </w:p>
        </w:tc>
      </w:tr>
      <w:tr>
        <w:trPr>
          <w:trHeight w:val="54"/>
        </w:trPr>
        <w:tc>
          <w:tcPr>
            <w:tcW w:w="620" w:type="dxa"/>
            <w:vAlign w:val="bottom"/>
            <w:tcBorders>
              <w:left w:val="single" w:sz="8" w:color="auto"/>
              <w:bottom w:val="single" w:sz="8" w:color="auto"/>
            </w:tcBorders>
          </w:tcPr>
          <w:p>
            <w:pPr>
              <w:spacing w:after="0"/>
              <w:rPr>
                <w:sz w:val="4"/>
                <w:szCs w:val="4"/>
                <w:color w:val="auto"/>
              </w:rPr>
            </w:pPr>
          </w:p>
        </w:tc>
        <w:tc>
          <w:tcPr>
            <w:tcW w:w="492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900" w:type="dxa"/>
            <w:vAlign w:val="bottom"/>
            <w:tcBorders>
              <w:bottom w:val="single" w:sz="8" w:color="auto"/>
              <w:right w:val="single" w:sz="8" w:color="auto"/>
            </w:tcBorders>
          </w:tcPr>
          <w:p>
            <w:pPr>
              <w:spacing w:after="0"/>
              <w:rPr>
                <w:sz w:val="4"/>
                <w:szCs w:val="4"/>
                <w:color w:val="auto"/>
              </w:rPr>
            </w:pPr>
          </w:p>
        </w:tc>
      </w:tr>
      <w:tr>
        <w:trPr>
          <w:trHeight w:val="241"/>
        </w:trPr>
        <w:tc>
          <w:tcPr>
            <w:tcW w:w="62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I.</w:t>
            </w:r>
          </w:p>
        </w:tc>
        <w:tc>
          <w:tcPr>
            <w:tcW w:w="492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CORPORATE NAME, PRINCIPAL OFFICE, DURATION</w:t>
            </w:r>
          </w:p>
        </w:tc>
        <w:tc>
          <w:tcPr>
            <w:tcW w:w="220" w:type="dxa"/>
            <w:vAlign w:val="bottom"/>
            <w:tcBorders>
              <w:right w:val="single" w:sz="8" w:color="auto"/>
            </w:tcBorders>
          </w:tcPr>
          <w:p>
            <w:pPr>
              <w:spacing w:after="0"/>
              <w:rPr>
                <w:sz w:val="20"/>
                <w:szCs w:val="20"/>
                <w:color w:val="auto"/>
              </w:rPr>
            </w:pPr>
          </w:p>
        </w:tc>
        <w:tc>
          <w:tcPr>
            <w:tcW w:w="580" w:type="dxa"/>
            <w:vAlign w:val="bottom"/>
          </w:tcPr>
          <w:p>
            <w:pPr>
              <w:ind w:left="60"/>
              <w:spacing w:after="0"/>
              <w:rPr>
                <w:sz w:val="20"/>
                <w:szCs w:val="20"/>
                <w:color w:val="auto"/>
              </w:rPr>
            </w:pPr>
            <w:r>
              <w:rPr>
                <w:rFonts w:ascii="Arial" w:cs="Arial" w:eastAsia="Arial" w:hAnsi="Arial"/>
                <w:sz w:val="18"/>
                <w:szCs w:val="18"/>
                <w:b w:val="1"/>
                <w:bCs w:val="1"/>
                <w:color w:val="auto"/>
              </w:rPr>
              <w:t>I.</w:t>
            </w:r>
          </w:p>
        </w:tc>
        <w:tc>
          <w:tcPr>
            <w:tcW w:w="490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RAISON SOCIALE, SIÈGE, DURÉE ET BUT DE LA</w:t>
            </w:r>
          </w:p>
        </w:tc>
      </w:tr>
      <w:tr>
        <w:trPr>
          <w:trHeight w:val="239"/>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AND PURPOSE OF THE COMPANY</w:t>
            </w:r>
          </w:p>
        </w:tc>
        <w:tc>
          <w:tcPr>
            <w:tcW w:w="22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49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SOCIÉTÉ</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1 Corporate Name and Duration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1  Raison sociale et durée</w:t>
            </w:r>
          </w:p>
        </w:tc>
      </w:tr>
      <w:tr>
        <w:trPr>
          <w:trHeight w:val="405"/>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Under the name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Sous la raison sociale</w:t>
            </w:r>
          </w:p>
        </w:tc>
      </w:tr>
      <w:tr>
        <w:trPr>
          <w:trHeight w:val="391"/>
        </w:trPr>
        <w:tc>
          <w:tcPr>
            <w:tcW w:w="620" w:type="dxa"/>
            <w:vAlign w:val="bottom"/>
            <w:tcBorders>
              <w:left w:val="single" w:sz="8" w:color="auto"/>
            </w:tcBorders>
          </w:tcPr>
          <w:p>
            <w:pPr>
              <w:spacing w:after="0"/>
              <w:rPr>
                <w:sz w:val="24"/>
                <w:szCs w:val="24"/>
                <w:color w:val="auto"/>
              </w:rPr>
            </w:pPr>
          </w:p>
        </w:tc>
        <w:tc>
          <w:tcPr>
            <w:tcW w:w="4920" w:type="dxa"/>
            <w:vAlign w:val="bottom"/>
            <w:tcBorders>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AC Immune SA</w:t>
            </w:r>
          </w:p>
        </w:tc>
        <w:tc>
          <w:tcPr>
            <w:tcW w:w="220" w:type="dxa"/>
            <w:vAlign w:val="bottom"/>
            <w:tcBorders>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90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color w:val="auto"/>
                <w:w w:val="99"/>
              </w:rPr>
              <w:t>AC Immune SA</w:t>
            </w:r>
          </w:p>
        </w:tc>
      </w:tr>
      <w:tr>
        <w:trPr>
          <w:trHeight w:val="203"/>
        </w:trPr>
        <w:tc>
          <w:tcPr>
            <w:tcW w:w="620" w:type="dxa"/>
            <w:vAlign w:val="bottom"/>
            <w:tcBorders>
              <w:left w:val="single" w:sz="8" w:color="auto"/>
            </w:tcBorders>
          </w:tcPr>
          <w:p>
            <w:pPr>
              <w:spacing w:after="0"/>
              <w:rPr>
                <w:sz w:val="17"/>
                <w:szCs w:val="17"/>
                <w:color w:val="auto"/>
              </w:rPr>
            </w:pPr>
          </w:p>
        </w:tc>
        <w:tc>
          <w:tcPr>
            <w:tcW w:w="4920" w:type="dxa"/>
            <w:vAlign w:val="bottom"/>
            <w:tcBorders>
              <w:right w:val="single" w:sz="8" w:color="auto"/>
            </w:tcBorders>
          </w:tcPr>
          <w:p>
            <w:pPr>
              <w:jc w:val="center"/>
              <w:ind w:right="530"/>
              <w:spacing w:after="0" w:line="202" w:lineRule="exact"/>
              <w:rPr>
                <w:sz w:val="20"/>
                <w:szCs w:val="20"/>
                <w:color w:val="auto"/>
              </w:rPr>
            </w:pPr>
            <w:r>
              <w:rPr>
                <w:rFonts w:ascii="Arial" w:cs="Arial" w:eastAsia="Arial" w:hAnsi="Arial"/>
                <w:sz w:val="18"/>
                <w:szCs w:val="18"/>
                <w:color w:val="auto"/>
                <w:w w:val="99"/>
              </w:rPr>
              <w:t>(AC Immune AG)</w:t>
            </w:r>
          </w:p>
        </w:tc>
        <w:tc>
          <w:tcPr>
            <w:tcW w:w="22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900" w:type="dxa"/>
            <w:vAlign w:val="bottom"/>
            <w:tcBorders>
              <w:right w:val="single" w:sz="8" w:color="auto"/>
            </w:tcBorders>
          </w:tcPr>
          <w:p>
            <w:pPr>
              <w:jc w:val="center"/>
              <w:ind w:right="510"/>
              <w:spacing w:after="0" w:line="202" w:lineRule="exact"/>
              <w:rPr>
                <w:sz w:val="20"/>
                <w:szCs w:val="20"/>
                <w:color w:val="auto"/>
              </w:rPr>
            </w:pPr>
            <w:r>
              <w:rPr>
                <w:rFonts w:ascii="Arial" w:cs="Arial" w:eastAsia="Arial" w:hAnsi="Arial"/>
                <w:sz w:val="18"/>
                <w:szCs w:val="18"/>
                <w:color w:val="auto"/>
                <w:w w:val="99"/>
              </w:rPr>
              <w:t>(AC Immune AG)</w:t>
            </w:r>
          </w:p>
        </w:tc>
      </w:tr>
      <w:tr>
        <w:trPr>
          <w:trHeight w:val="217"/>
        </w:trPr>
        <w:tc>
          <w:tcPr>
            <w:tcW w:w="620" w:type="dxa"/>
            <w:vAlign w:val="bottom"/>
            <w:tcBorders>
              <w:left w:val="single" w:sz="8" w:color="auto"/>
            </w:tcBorders>
          </w:tcPr>
          <w:p>
            <w:pPr>
              <w:spacing w:after="0"/>
              <w:rPr>
                <w:sz w:val="18"/>
                <w:szCs w:val="18"/>
                <w:color w:val="auto"/>
              </w:rPr>
            </w:pPr>
          </w:p>
        </w:tc>
        <w:tc>
          <w:tcPr>
            <w:tcW w:w="4920" w:type="dxa"/>
            <w:vAlign w:val="bottom"/>
            <w:tcBorders>
              <w:right w:val="single" w:sz="8" w:color="auto"/>
            </w:tcBorders>
          </w:tcPr>
          <w:p>
            <w:pPr>
              <w:jc w:val="center"/>
              <w:ind w:right="530"/>
              <w:spacing w:after="0"/>
              <w:rPr>
                <w:sz w:val="20"/>
                <w:szCs w:val="20"/>
                <w:color w:val="auto"/>
              </w:rPr>
            </w:pPr>
            <w:r>
              <w:rPr>
                <w:rFonts w:ascii="Arial" w:cs="Arial" w:eastAsia="Arial" w:hAnsi="Arial"/>
                <w:sz w:val="18"/>
                <w:szCs w:val="18"/>
                <w:color w:val="auto"/>
              </w:rPr>
              <w:t>(AC Immune Ltd)</w:t>
            </w:r>
          </w:p>
        </w:tc>
        <w:tc>
          <w:tcPr>
            <w:tcW w:w="22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490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(AC Immune Ltd)</w:t>
            </w:r>
          </w:p>
        </w:tc>
      </w:tr>
      <w:tr>
        <w:trPr>
          <w:trHeight w:val="37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there exists a Company pursuant to the provisions of Articles 620</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il existe une société conformément aux articles 620 ss. du Code</w:t>
            </w:r>
          </w:p>
        </w:tc>
      </w:tr>
      <w:tr>
        <w:trPr>
          <w:trHeight w:val="22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i w:val="1"/>
                <w:iCs w:val="1"/>
                <w:color w:val="auto"/>
              </w:rPr>
              <w:t xml:space="preserve">et seq. </w:t>
            </w:r>
            <w:r>
              <w:rPr>
                <w:rFonts w:ascii="Arial" w:cs="Arial" w:eastAsia="Arial" w:hAnsi="Arial"/>
                <w:sz w:val="18"/>
                <w:szCs w:val="18"/>
                <w:color w:val="auto"/>
              </w:rPr>
              <w:t>of the Swiss Code of Obligations (CO) with registered office</w:t>
            </w:r>
          </w:p>
        </w:tc>
        <w:tc>
          <w:tcPr>
            <w:tcW w:w="220" w:type="dxa"/>
            <w:vAlign w:val="bottom"/>
            <w:tcBorders>
              <w:right w:val="single" w:sz="8" w:color="auto"/>
            </w:tcBorders>
          </w:tcPr>
          <w:p>
            <w:pPr>
              <w:spacing w:after="0"/>
              <w:rPr>
                <w:sz w:val="19"/>
                <w:szCs w:val="19"/>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des Obligations suisse (CO) ayant son siège à Ecublens (VD). La</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in Ecublens (VD). The duration of the Company is unlimited.</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durée de la société est illimitée.</w:t>
            </w:r>
          </w:p>
        </w:tc>
      </w:tr>
      <w:tr>
        <w:trPr>
          <w:trHeight w:val="54"/>
        </w:trPr>
        <w:tc>
          <w:tcPr>
            <w:tcW w:w="620" w:type="dxa"/>
            <w:vAlign w:val="bottom"/>
            <w:tcBorders>
              <w:left w:val="single" w:sz="8" w:color="auto"/>
              <w:bottom w:val="single" w:sz="8" w:color="auto"/>
            </w:tcBorders>
          </w:tcPr>
          <w:p>
            <w:pPr>
              <w:spacing w:after="0"/>
              <w:rPr>
                <w:sz w:val="4"/>
                <w:szCs w:val="4"/>
                <w:color w:val="auto"/>
              </w:rPr>
            </w:pPr>
          </w:p>
        </w:tc>
        <w:tc>
          <w:tcPr>
            <w:tcW w:w="492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900" w:type="dxa"/>
            <w:vAlign w:val="bottom"/>
            <w:tcBorders>
              <w:bottom w:val="single" w:sz="8" w:color="auto"/>
              <w:right w:val="single" w:sz="8" w:color="auto"/>
            </w:tcBorders>
          </w:tcPr>
          <w:p>
            <w:pPr>
              <w:spacing w:after="0"/>
              <w:rPr>
                <w:sz w:val="4"/>
                <w:szCs w:val="4"/>
                <w:color w:val="auto"/>
              </w:rPr>
            </w:pPr>
          </w:p>
        </w:tc>
      </w:tr>
      <w:tr>
        <w:trPr>
          <w:trHeight w:val="277"/>
        </w:trPr>
        <w:tc>
          <w:tcPr>
            <w:tcW w:w="62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Art. 2</w:t>
            </w:r>
          </w:p>
        </w:tc>
        <w:tc>
          <w:tcPr>
            <w:tcW w:w="4920" w:type="dxa"/>
            <w:vAlign w:val="bottom"/>
            <w:tcBorders>
              <w:right w:val="single" w:sz="8" w:color="auto"/>
            </w:tcBorders>
          </w:tcPr>
          <w:p>
            <w:pPr>
              <w:ind w:left="320"/>
              <w:spacing w:after="0"/>
              <w:rPr>
                <w:sz w:val="20"/>
                <w:szCs w:val="20"/>
                <w:color w:val="auto"/>
              </w:rPr>
            </w:pPr>
            <w:r>
              <w:rPr>
                <w:rFonts w:ascii="Arial" w:cs="Arial" w:eastAsia="Arial" w:hAnsi="Arial"/>
                <w:sz w:val="18"/>
                <w:szCs w:val="18"/>
                <w:b w:val="1"/>
                <w:bCs w:val="1"/>
                <w:color w:val="auto"/>
              </w:rPr>
              <w:t>Purpose</w:t>
            </w:r>
          </w:p>
        </w:tc>
        <w:tc>
          <w:tcPr>
            <w:tcW w:w="220" w:type="dxa"/>
            <w:vAlign w:val="bottom"/>
            <w:tcBorders>
              <w:right w:val="single" w:sz="8" w:color="auto"/>
            </w:tcBorders>
          </w:tcPr>
          <w:p>
            <w:pPr>
              <w:spacing w:after="0"/>
              <w:rPr>
                <w:sz w:val="24"/>
                <w:szCs w:val="24"/>
                <w:color w:val="auto"/>
              </w:rPr>
            </w:pPr>
          </w:p>
        </w:tc>
        <w:tc>
          <w:tcPr>
            <w:tcW w:w="580" w:type="dxa"/>
            <w:vAlign w:val="bottom"/>
          </w:tcPr>
          <w:p>
            <w:pPr>
              <w:ind w:left="60"/>
              <w:spacing w:after="0"/>
              <w:rPr>
                <w:sz w:val="20"/>
                <w:szCs w:val="20"/>
                <w:color w:val="auto"/>
              </w:rPr>
            </w:pPr>
            <w:r>
              <w:rPr>
                <w:rFonts w:ascii="Arial" w:cs="Arial" w:eastAsia="Arial" w:hAnsi="Arial"/>
                <w:sz w:val="18"/>
                <w:szCs w:val="18"/>
                <w:b w:val="1"/>
                <w:bCs w:val="1"/>
                <w:color w:val="auto"/>
              </w:rPr>
              <w:t>Art. 2</w:t>
            </w:r>
          </w:p>
        </w:tc>
        <w:tc>
          <w:tcPr>
            <w:tcW w:w="490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But</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purpose of the Company is the research, study, development,</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but  de  la  société  est  la  recherche,  les  études,  le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manufacture,  promotion,  sale  and  marketing  of  products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développement,  la  fabrication,  la  promotion,  la  vente  et  le</w:t>
            </w:r>
          </w:p>
        </w:tc>
      </w:tr>
      <w:tr>
        <w:trPr>
          <w:trHeight w:val="202"/>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substances within the pharmaceutical and nutrition industry as well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marketing des produits et des substances au sein de l'industrie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as the purchase, sale and exploitation of patents and licenses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pharmaceutique et de la nutrition ainsi que l'achat, la vente et</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this field.</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l'exploitation de brevets et de licences dans ce domaine.</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Company may engage in any activities which are apt to favor</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société peut se livrer à des activités qui sont de nature à</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the purpose of the Company directly or indirectly. The Company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favoriser directement ou indirectement le but de la société. La</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may also acquire and sell real estate.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société peut également acquérir et vendre des biens immobiliers.</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Company may open branch offices in Switzerland and abroad</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société peut ouvrir des succursales en Suisse et à l'étranger et</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and may also acquire participations in other companies.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peut également acquérir des participations dans d'autres sociétés.</w:t>
            </w:r>
          </w:p>
        </w:tc>
      </w:tr>
      <w:tr>
        <w:trPr>
          <w:trHeight w:val="54"/>
        </w:trPr>
        <w:tc>
          <w:tcPr>
            <w:tcW w:w="620" w:type="dxa"/>
            <w:vAlign w:val="bottom"/>
            <w:tcBorders>
              <w:left w:val="single" w:sz="8" w:color="auto"/>
              <w:bottom w:val="single" w:sz="8" w:color="auto"/>
            </w:tcBorders>
          </w:tcPr>
          <w:p>
            <w:pPr>
              <w:spacing w:after="0"/>
              <w:rPr>
                <w:sz w:val="4"/>
                <w:szCs w:val="4"/>
                <w:color w:val="auto"/>
              </w:rPr>
            </w:pPr>
          </w:p>
        </w:tc>
        <w:tc>
          <w:tcPr>
            <w:tcW w:w="492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900" w:type="dxa"/>
            <w:vAlign w:val="bottom"/>
            <w:tcBorders>
              <w:bottom w:val="single" w:sz="8" w:color="auto"/>
              <w:right w:val="single" w:sz="8" w:color="auto"/>
            </w:tcBorders>
          </w:tcPr>
          <w:p>
            <w:pPr>
              <w:spacing w:after="0"/>
              <w:rPr>
                <w:sz w:val="4"/>
                <w:szCs w:val="4"/>
                <w:color w:val="auto"/>
              </w:rPr>
            </w:pPr>
          </w:p>
        </w:tc>
      </w:tr>
      <w:tr>
        <w:trPr>
          <w:trHeight w:val="749"/>
        </w:trPr>
        <w:tc>
          <w:tcPr>
            <w:tcW w:w="6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40" w:name="page41"/>
    <w:bookmarkEnd w:id="4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95"/>
        </w:trPr>
        <w:tc>
          <w:tcPr>
            <w:tcW w:w="554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gridSpan w:val="2"/>
          </w:tcPr>
          <w:p>
            <w:pPr>
              <w:spacing w:after="0"/>
              <w:rPr>
                <w:sz w:val="8"/>
                <w:szCs w:val="8"/>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Company may provide securities to its subsidiaries and supply</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société peut fournir des titres à ses filiales et des garanties</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guarantees.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d'approvisionnement.</w:t>
            </w:r>
          </w:p>
        </w:tc>
      </w:tr>
      <w:tr>
        <w:trPr>
          <w:trHeight w:val="54"/>
        </w:trPr>
        <w:tc>
          <w:tcPr>
            <w:tcW w:w="520" w:type="dxa"/>
            <w:vAlign w:val="bottom"/>
            <w:tcBorders>
              <w:left w:val="single" w:sz="8" w:color="auto"/>
              <w:bottom w:val="single" w:sz="8" w:color="auto"/>
            </w:tcBorders>
          </w:tcPr>
          <w:p>
            <w:pPr>
              <w:spacing w:after="0"/>
              <w:rPr>
                <w:sz w:val="4"/>
                <w:szCs w:val="4"/>
                <w:color w:val="auto"/>
              </w:rPr>
            </w:pPr>
          </w:p>
        </w:tc>
        <w:tc>
          <w:tcPr>
            <w:tcW w:w="502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277"/>
        </w:trPr>
        <w:tc>
          <w:tcPr>
            <w:tcW w:w="52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II.</w:t>
            </w:r>
          </w:p>
        </w:tc>
        <w:tc>
          <w:tcPr>
            <w:tcW w:w="502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SHARE CAPITAL AND SHARES</w:t>
            </w:r>
          </w:p>
        </w:tc>
        <w:tc>
          <w:tcPr>
            <w:tcW w:w="220" w:type="dxa"/>
            <w:vAlign w:val="bottom"/>
            <w:tcBorders>
              <w:right w:val="single" w:sz="8" w:color="auto"/>
            </w:tcBorders>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18"/>
                <w:szCs w:val="18"/>
                <w:b w:val="1"/>
                <w:bCs w:val="1"/>
                <w:color w:val="auto"/>
              </w:rPr>
              <w:t>II.</w:t>
            </w:r>
          </w:p>
        </w:tc>
        <w:tc>
          <w:tcPr>
            <w:tcW w:w="5000" w:type="dxa"/>
            <w:vAlign w:val="bottom"/>
            <w:tcBorders>
              <w:right w:val="single" w:sz="8" w:color="auto"/>
            </w:tcBorders>
          </w:tcPr>
          <w:p>
            <w:pPr>
              <w:jc w:val="right"/>
              <w:ind w:right="2070"/>
              <w:spacing w:after="0"/>
              <w:rPr>
                <w:sz w:val="20"/>
                <w:szCs w:val="20"/>
                <w:color w:val="auto"/>
              </w:rPr>
            </w:pPr>
            <w:r>
              <w:rPr>
                <w:rFonts w:ascii="Arial" w:cs="Arial" w:eastAsia="Arial" w:hAnsi="Arial"/>
                <w:sz w:val="18"/>
                <w:szCs w:val="18"/>
                <w:b w:val="1"/>
                <w:bCs w:val="1"/>
                <w:color w:val="auto"/>
              </w:rPr>
              <w:t>CAPITALIZATION ET ACTIONS</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   Share Capital and Shares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  Capital-actions et actions</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Share Capital of the Company is CHF 1'534'825.70. It is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capital-actions de la société se monte à CHF 1'534'825.70. Il</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divided into 76'741'285 registered shares with a nominal value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est  divisé  en  76'741'285  actions  nominatives  d'une  valeur</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CHF 0.02 each, fully paid-in.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nominale de CHF 0.02 chacune, entièrement libérées.</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331"/>
        </w:trPr>
        <w:tc>
          <w:tcPr>
            <w:tcW w:w="520" w:type="dxa"/>
            <w:vAlign w:val="bottom"/>
            <w:tcBorders>
              <w:left w:val="single" w:sz="8" w:color="auto"/>
              <w:bottom w:val="single" w:sz="8" w:color="auto"/>
            </w:tcBorders>
          </w:tcPr>
          <w:p>
            <w:pPr>
              <w:spacing w:after="0"/>
              <w:rPr>
                <w:sz w:val="24"/>
                <w:szCs w:val="24"/>
                <w:color w:val="auto"/>
              </w:rPr>
            </w:pPr>
          </w:p>
        </w:tc>
        <w:tc>
          <w:tcPr>
            <w:tcW w:w="502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0" w:type="dxa"/>
            <w:vAlign w:val="bottom"/>
            <w:tcBorders>
              <w:bottom w:val="single" w:sz="8" w:color="auto"/>
              <w:right w:val="single" w:sz="8" w:color="auto"/>
            </w:tcBorders>
          </w:tcPr>
          <w:p>
            <w:pPr>
              <w:spacing w:after="0"/>
              <w:rPr>
                <w:sz w:val="24"/>
                <w:szCs w:val="24"/>
                <w:color w:val="auto"/>
              </w:rPr>
            </w:pPr>
          </w:p>
        </w:tc>
      </w:tr>
      <w:tr>
        <w:trPr>
          <w:trHeight w:val="277"/>
        </w:trPr>
        <w:tc>
          <w:tcPr>
            <w:tcW w:w="5540" w:type="dxa"/>
            <w:vAlign w:val="bottom"/>
            <w:tcBorders>
              <w:left w:val="single" w:sz="8" w:color="auto"/>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Art. 3a  Authorized Capital Increase of Share Capital</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3a Augmentation autorisée du capital-actions</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Board of Directors is authorized to increase the share capital,</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conseil d'administration est autorisé à augmenter le capital-</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in one or several steps until 27 June 2022, by a maximum amount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actions, en une ou plusieurs étapes jusqu'au 27 juin 2022, d'un</w:t>
            </w:r>
          </w:p>
        </w:tc>
      </w:tr>
      <w:tr>
        <w:trPr>
          <w:trHeight w:val="202"/>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of CHF 190'000 by issuing a maximum of 9'500'000 registered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montant maximum de CHF 190'000 par l'émission d'un nombre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shares with a par value of CHF 0.02 each, to be fully paid up. An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maximum de 9'500'000 actions nominatives d'une valeur nominale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increase  of  the  share  capital  (i)  by  means  of  an  offering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 CHF 0.02 chacune, à libérer entièrement. Une augmentation de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underwritten by a financial institution, a syndicate or another third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capital (i) par souscription d'actions par une institution financière,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party or third parties, followed by an offer to the then-existing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un syndicat ou un tiers ou des tiers, suivie par une souscription</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shareholders of the Company and (ii) in partial amounts shall also</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d'actions par les actionnaires de la société alors existants et (ii) par</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be permissible.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montants partiels, est également autorisée.</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Board of Directors shall determine the time of the issuance,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conseil  d'administration  fixe  la  date  d'émission,  le  prix</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the issue price, the manner in which the new registered shares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d'émission,  la  manière  de  libérer  les  nouvelles  actions</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have to be paid up, the date from which the registered shares carry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nominatives, la date à partir de laquelle les actions nominatives</w:t>
            </w:r>
          </w:p>
        </w:tc>
      </w:tr>
      <w:tr>
        <w:trPr>
          <w:trHeight w:val="202"/>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the right to dividends, the conditions for the exercise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donnent droit à un dividende, les conditions pour l'exercice des</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preemptive rights and the allotment of preemptive rights that have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droits de souscription préférentiels et l'attribution des droits de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not  been  exercised.  The  Board  of  Directors  may  allow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souscription préférentiels qui n'ont pas été exercés. Le conseil</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preemptive rights that have not been exercised to expire, or it may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d'administration  peut  autoriser  que  des  droits  de  souscription</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place  with  third  parties  such  rights  or  registered  shares,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préférentiels qui n'ont pas été exercés expirent ou attribuer à des</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preemptive rights of which have not been exercised, at market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tiers  ces  droits  ou  actions  nominatives,  dont  les  droits  de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conditions or use them otherwise in the interest of the Company.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souscription préférentiels n'ont pas été exercés, aux conditions du</w:t>
            </w:r>
          </w:p>
        </w:tc>
      </w:tr>
      <w:tr>
        <w:trPr>
          <w:trHeight w:val="217"/>
        </w:trPr>
        <w:tc>
          <w:tcPr>
            <w:tcW w:w="520" w:type="dxa"/>
            <w:vAlign w:val="bottom"/>
            <w:tcBorders>
              <w:lef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marché ou les utiliser autrement dans l'intérêt de la société.</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Board of Directors is authorized to withdraw or limit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conseil d'administration est autorisé à retirer ou de limiter les</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preemptive rights of the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droits de souscription</w:t>
            </w:r>
          </w:p>
        </w:tc>
      </w:tr>
      <w:tr>
        <w:trPr>
          <w:trHeight w:val="54"/>
        </w:trPr>
        <w:tc>
          <w:tcPr>
            <w:tcW w:w="520" w:type="dxa"/>
            <w:vAlign w:val="bottom"/>
            <w:tcBorders>
              <w:left w:val="single" w:sz="8" w:color="auto"/>
              <w:bottom w:val="single" w:sz="8" w:color="auto"/>
            </w:tcBorders>
          </w:tcPr>
          <w:p>
            <w:pPr>
              <w:spacing w:after="0"/>
              <w:rPr>
                <w:sz w:val="4"/>
                <w:szCs w:val="4"/>
                <w:color w:val="auto"/>
              </w:rPr>
            </w:pPr>
          </w:p>
        </w:tc>
        <w:tc>
          <w:tcPr>
            <w:tcW w:w="502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000" w:type="dxa"/>
            <w:vAlign w:val="bottom"/>
            <w:tcBorders>
              <w:bottom w:val="single" w:sz="8" w:color="auto"/>
              <w:right w:val="single" w:sz="8" w:color="auto"/>
            </w:tcBorders>
          </w:tcPr>
          <w:p>
            <w:pPr>
              <w:spacing w:after="0"/>
              <w:rPr>
                <w:sz w:val="4"/>
                <w:szCs w:val="4"/>
                <w:color w:val="auto"/>
              </w:rPr>
            </w:pPr>
          </w:p>
        </w:tc>
      </w:tr>
      <w:tr>
        <w:trPr>
          <w:trHeight w:val="749"/>
        </w:trPr>
        <w:tc>
          <w:tcPr>
            <w:tcW w:w="5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41" w:name="page42"/>
    <w:bookmarkEnd w:id="41"/>
    <w:p>
      <w:pPr>
        <w:ind w:left="110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73660</wp:posOffset>
            </wp:positionV>
            <wp:extent cx="7132320" cy="52889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5288915"/>
                    </a:xfrm>
                    <a:prstGeom prst="rect">
                      <a:avLst/>
                    </a:prstGeom>
                    <a:noFill/>
                  </pic:spPr>
                </pic:pic>
              </a:graphicData>
            </a:graphic>
          </wp:anchor>
        </w:drawing>
      </w:r>
    </w:p>
    <w:p>
      <w:pPr>
        <w:sectPr>
          <w:pgSz w:w="11900" w:h="16838" w:orient="portrait"/>
          <w:cols w:equalWidth="0" w:num="1">
            <w:col w:w="11120"/>
          </w:cols>
          <w:pgMar w:left="400" w:top="247" w:right="37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to allot them to third parties:</w:t>
      </w:r>
    </w:p>
    <w:p>
      <w:pPr>
        <w:spacing w:after="0" w:line="198" w:lineRule="exact"/>
        <w:rPr>
          <w:sz w:val="20"/>
          <w:szCs w:val="20"/>
          <w:color w:val="auto"/>
        </w:rPr>
      </w:pPr>
    </w:p>
    <w:p>
      <w:pPr>
        <w:ind w:left="400" w:hanging="391"/>
        <w:spacing w:after="0" w:line="246" w:lineRule="auto"/>
        <w:tabs>
          <w:tab w:leader="none" w:pos="37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 or</w:t>
      </w:r>
    </w:p>
    <w:p>
      <w:pPr>
        <w:spacing w:after="0" w:line="183" w:lineRule="exact"/>
        <w:rPr>
          <w:rFonts w:ascii="Arial" w:cs="Arial" w:eastAsia="Arial" w:hAnsi="Arial"/>
          <w:sz w:val="18"/>
          <w:szCs w:val="18"/>
          <w:color w:val="auto"/>
        </w:rPr>
      </w:pPr>
    </w:p>
    <w:p>
      <w:pPr>
        <w:jc w:val="both"/>
        <w:ind w:left="400" w:hanging="391"/>
        <w:spacing w:after="0" w:line="238" w:lineRule="auto"/>
        <w:tabs>
          <w:tab w:leader="none" w:pos="4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the acquisition of an enterprise, part of an enterprise or participations, or for the financing or refinancing of any of such acquisition, or in the event of share placement for the financing or refinancing of such placement; or</w:t>
      </w:r>
    </w:p>
    <w:p>
      <w:pPr>
        <w:spacing w:after="0" w:line="191" w:lineRule="exact"/>
        <w:rPr>
          <w:rFonts w:ascii="Arial" w:cs="Arial" w:eastAsia="Arial" w:hAnsi="Arial"/>
          <w:sz w:val="18"/>
          <w:szCs w:val="18"/>
          <w:color w:val="auto"/>
        </w:rPr>
      </w:pPr>
    </w:p>
    <w:p>
      <w:pPr>
        <w:jc w:val="both"/>
        <w:ind w:left="400" w:hanging="391"/>
        <w:spacing w:after="0" w:line="238" w:lineRule="auto"/>
        <w:tabs>
          <w:tab w:leader="none" w:pos="367"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 or</w:t>
      </w:r>
    </w:p>
    <w:p>
      <w:pPr>
        <w:spacing w:after="0" w:line="188" w:lineRule="exact"/>
        <w:rPr>
          <w:rFonts w:ascii="Arial" w:cs="Arial" w:eastAsia="Arial" w:hAnsi="Arial"/>
          <w:sz w:val="18"/>
          <w:szCs w:val="18"/>
          <w:color w:val="auto"/>
        </w:rPr>
      </w:pPr>
    </w:p>
    <w:p>
      <w:pPr>
        <w:jc w:val="both"/>
        <w:ind w:left="400" w:hanging="391"/>
        <w:spacing w:after="0" w:line="238" w:lineRule="auto"/>
        <w:tabs>
          <w:tab w:leader="none" w:pos="3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purposes of granting an over-allotment option (Greenshoe) of up to 20% of the total number of registered shares in a placement or sale of registered shares to the respective initial purchaser(s) or underwriter(s); or</w:t>
      </w:r>
    </w:p>
    <w:p>
      <w:pPr>
        <w:spacing w:after="0" w:line="393" w:lineRule="exact"/>
        <w:rPr>
          <w:rFonts w:ascii="Arial" w:cs="Arial" w:eastAsia="Arial" w:hAnsi="Arial"/>
          <w:sz w:val="18"/>
          <w:szCs w:val="18"/>
          <w:color w:val="auto"/>
        </w:rPr>
      </w:pPr>
    </w:p>
    <w:p>
      <w:pPr>
        <w:jc w:val="both"/>
        <w:ind w:left="400" w:hanging="391"/>
        <w:spacing w:after="0" w:line="238" w:lineRule="auto"/>
        <w:tabs>
          <w:tab w:leader="none" w:pos="4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which probably could not be reached without the exclusion of the statutory pre-emptive right of the existing shareholders; or</w:t>
      </w:r>
    </w:p>
    <w:p>
      <w:pPr>
        <w:spacing w:after="0" w:line="393" w:lineRule="exact"/>
        <w:rPr>
          <w:rFonts w:ascii="Arial" w:cs="Arial" w:eastAsia="Arial" w:hAnsi="Arial"/>
          <w:sz w:val="18"/>
          <w:szCs w:val="18"/>
          <w:color w:val="auto"/>
        </w:rPr>
      </w:pPr>
    </w:p>
    <w:p>
      <w:pPr>
        <w:ind w:left="400" w:hanging="391"/>
        <w:spacing w:after="0" w:line="246" w:lineRule="auto"/>
        <w:tabs>
          <w:tab w:leader="none" w:pos="3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CO; or</w:t>
      </w:r>
    </w:p>
    <w:p>
      <w:pPr>
        <w:spacing w:after="0" w:line="183" w:lineRule="exact"/>
        <w:rPr>
          <w:rFonts w:ascii="Arial" w:cs="Arial" w:eastAsia="Arial" w:hAnsi="Arial"/>
          <w:sz w:val="18"/>
          <w:szCs w:val="18"/>
          <w:color w:val="auto"/>
        </w:rPr>
      </w:pPr>
    </w:p>
    <w:p>
      <w:pPr>
        <w:jc w:val="both"/>
        <w:ind w:left="400" w:hanging="391"/>
        <w:spacing w:after="0" w:line="229" w:lineRule="auto"/>
        <w:tabs>
          <w:tab w:leader="none" w:pos="4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following a shareholder or a group of shareholders acting in concert having accumulated shareholdings in excess of 33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xml:space="preserve"> %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652145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7"/>
        <w:spacing w:after="0"/>
        <w:rPr>
          <w:sz w:val="20"/>
          <w:szCs w:val="20"/>
          <w:color w:val="auto"/>
        </w:rPr>
      </w:pPr>
      <w:r>
        <w:rPr>
          <w:rFonts w:ascii="Arial" w:cs="Arial" w:eastAsia="Arial" w:hAnsi="Arial"/>
          <w:sz w:val="18"/>
          <w:szCs w:val="18"/>
          <w:color w:val="auto"/>
        </w:rPr>
        <w:t>préférentiels des actionnaires et de les attribuer à des tiers:</w:t>
      </w:r>
    </w:p>
    <w:p>
      <w:pPr>
        <w:spacing w:after="0" w:line="198" w:lineRule="exact"/>
        <w:rPr>
          <w:sz w:val="20"/>
          <w:szCs w:val="20"/>
          <w:color w:val="auto"/>
        </w:rPr>
      </w:pPr>
    </w:p>
    <w:p>
      <w:pPr>
        <w:ind w:left="387" w:right="60" w:hanging="387"/>
        <w:spacing w:after="0" w:line="246" w:lineRule="auto"/>
        <w:tabs>
          <w:tab w:leader="none" w:pos="483"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 le prix d'émission des nouvelles actions nominatives est déterminé avec une référence au prix de marché; ou</w:t>
      </w:r>
    </w:p>
    <w:p>
      <w:pPr>
        <w:spacing w:after="0" w:line="183" w:lineRule="exact"/>
        <w:rPr>
          <w:rFonts w:ascii="Arial" w:cs="Arial" w:eastAsia="Arial" w:hAnsi="Arial"/>
          <w:sz w:val="18"/>
          <w:szCs w:val="18"/>
          <w:color w:val="auto"/>
        </w:rPr>
      </w:pPr>
    </w:p>
    <w:p>
      <w:pPr>
        <w:jc w:val="both"/>
        <w:ind w:left="387" w:right="40" w:hanging="387"/>
        <w:spacing w:after="0" w:line="238" w:lineRule="auto"/>
        <w:tabs>
          <w:tab w:leader="none" w:pos="6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pour l'acquisition d'une entreprise, part d'entreprise ou participation, ou pour le financement ou le refinancement de ladite acquisition, ou en cas de placement d'actions pour le financement ou le refinancement dudit placement; ou</w:t>
      </w:r>
    </w:p>
    <w:p>
      <w:pPr>
        <w:spacing w:after="0" w:line="191" w:lineRule="exact"/>
        <w:rPr>
          <w:rFonts w:ascii="Arial" w:cs="Arial" w:eastAsia="Arial" w:hAnsi="Arial"/>
          <w:sz w:val="18"/>
          <w:szCs w:val="18"/>
          <w:color w:val="auto"/>
        </w:rPr>
      </w:pPr>
    </w:p>
    <w:p>
      <w:pPr>
        <w:jc w:val="both"/>
        <w:ind w:left="387" w:right="40" w:hanging="387"/>
        <w:spacing w:after="0" w:line="238" w:lineRule="auto"/>
        <w:tabs>
          <w:tab w:leader="none" w:pos="376"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pour l'élargissement de la base des actionnaires de la société dans certains marchés financiers ou d'investissement, afin de permettre une participation de partenaires stratégiques, ou dans le cas de cotation ou d'enregistrement de nouvelles actions nominatives aux bourses nationales ou étrangères; ou</w:t>
      </w:r>
    </w:p>
    <w:p>
      <w:pPr>
        <w:spacing w:after="0" w:line="188" w:lineRule="exact"/>
        <w:rPr>
          <w:rFonts w:ascii="Arial" w:cs="Arial" w:eastAsia="Arial" w:hAnsi="Arial"/>
          <w:sz w:val="18"/>
          <w:szCs w:val="18"/>
          <w:color w:val="auto"/>
        </w:rPr>
      </w:pPr>
    </w:p>
    <w:p>
      <w:pPr>
        <w:jc w:val="both"/>
        <w:ind w:left="387" w:right="40" w:hanging="387"/>
        <w:spacing w:after="0" w:line="238" w:lineRule="auto"/>
        <w:tabs>
          <w:tab w:leader="none" w:pos="4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pour octroyer une option de surallocation (Greenshoe) d'un maximum de 20% du nombre total d'actions nominatives dans un placement ou une vente d'actions nominatives à l'/des acheteur(s) initial(s) ou du/des souscripteur(s) respectif(s); ou</w:t>
      </w:r>
    </w:p>
    <w:p>
      <w:pPr>
        <w:spacing w:after="0" w:line="191" w:lineRule="exact"/>
        <w:rPr>
          <w:rFonts w:ascii="Arial" w:cs="Arial" w:eastAsia="Arial" w:hAnsi="Arial"/>
          <w:sz w:val="18"/>
          <w:szCs w:val="18"/>
          <w:color w:val="auto"/>
        </w:rPr>
      </w:pPr>
    </w:p>
    <w:p>
      <w:pPr>
        <w:jc w:val="both"/>
        <w:ind w:left="387" w:right="40" w:hanging="387"/>
        <w:spacing w:after="0" w:line="238" w:lineRule="auto"/>
        <w:tabs>
          <w:tab w:leader="none" w:pos="4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pour lever des capitaux (y compris des placements privés) dans un délai rapide et flexible, ce qui ne pourrait probablement pas être réalisé sans l'exclusion du droit préférentiel de souscription statuaire des actionnaires existants; ou</w:t>
      </w:r>
    </w:p>
    <w:p>
      <w:pPr>
        <w:spacing w:after="0" w:line="188" w:lineRule="exact"/>
        <w:rPr>
          <w:rFonts w:ascii="Arial" w:cs="Arial" w:eastAsia="Arial" w:hAnsi="Arial"/>
          <w:sz w:val="18"/>
          <w:szCs w:val="18"/>
          <w:color w:val="auto"/>
        </w:rPr>
      </w:pPr>
    </w:p>
    <w:p>
      <w:pPr>
        <w:ind w:left="387" w:right="40" w:hanging="387"/>
        <w:spacing w:after="0" w:line="246" w:lineRule="auto"/>
        <w:tabs>
          <w:tab w:leader="none" w:pos="466"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pour d'autres motifs valables au sens de l'article 652b al. 2 CO; ou</w:t>
      </w:r>
    </w:p>
    <w:p>
      <w:pPr>
        <w:spacing w:after="0" w:line="183" w:lineRule="exact"/>
        <w:rPr>
          <w:rFonts w:ascii="Arial" w:cs="Arial" w:eastAsia="Arial" w:hAnsi="Arial"/>
          <w:sz w:val="18"/>
          <w:szCs w:val="18"/>
          <w:color w:val="auto"/>
        </w:rPr>
      </w:pPr>
    </w:p>
    <w:p>
      <w:pPr>
        <w:jc w:val="both"/>
        <w:ind w:left="387" w:right="40" w:hanging="387"/>
        <w:spacing w:after="0" w:line="229" w:lineRule="auto"/>
        <w:tabs>
          <w:tab w:leader="none" w:pos="5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suite à l'accumulation par un actionnaire ou un groupe d'actionnaires agissant de concert de participations supérieures à 33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xml:space="preserve"> % du capital-actions inscrit au registre du commerce sans avoir soumis aux autres actionnaires une offre publique d'achat recommandée par le conseil d'administration, ou pour la défense d'une offre publique d'achat réelle, imminente ou potentielle, pour laquelle le conseil d'administration, après consultation avec un conseiller financier</w:t>
      </w:r>
    </w:p>
    <w:p>
      <w:pPr>
        <w:sectPr>
          <w:pgSz w:w="11900" w:h="16838" w:orient="portrait"/>
          <w:cols w:equalWidth="0" w:num="2">
            <w:col w:w="5360" w:space="373"/>
            <w:col w:w="5387"/>
          </w:cols>
          <w:pgMar w:left="400" w:top="247" w:right="379" w:bottom="1440" w:gutter="0" w:footer="0" w:header="0"/>
          <w:type w:val="continuous"/>
        </w:sectPr>
      </w:pPr>
    </w:p>
    <w:bookmarkStart w:id="42" w:name="page43"/>
    <w:bookmarkEnd w:id="42"/>
    <w:tbl>
      <w:tblPr>
        <w:tblLayout w:type="fixed"/>
        <w:tblInd w:w="1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5340"/>
              <w:spacing w:after="0"/>
              <w:rPr>
                <w:sz w:val="20"/>
                <w:szCs w:val="20"/>
                <w:color w:val="auto"/>
              </w:rPr>
            </w:pPr>
            <w:r>
              <w:rPr>
                <w:rFonts w:ascii="Arial" w:cs="Arial" w:eastAsia="Arial" w:hAnsi="Arial"/>
                <w:sz w:val="18"/>
                <w:szCs w:val="18"/>
                <w:color w:val="auto"/>
                <w:w w:val="99"/>
              </w:rPr>
              <w:t>4</w:t>
            </w:r>
          </w:p>
        </w:tc>
      </w:tr>
      <w:tr>
        <w:trPr>
          <w:trHeight w:val="95"/>
        </w:trPr>
        <w:tc>
          <w:tcPr>
            <w:tcW w:w="5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tcPr>
          <w:p>
            <w:pPr>
              <w:spacing w:after="0"/>
              <w:rPr>
                <w:sz w:val="8"/>
                <w:szCs w:val="8"/>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retained  by  it,  has  not  recommended  to  the  shareholders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indépendant retenu par lui, n'a pas recommandé l'acceptation aux</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acceptance on the basis that the Board of Directors has not found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actionnaires car il a estimé que l'offre publique d'achat n'était pas</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takeover bid to be financially fair to the shareholders.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financièrement équitable pour les actionnaires.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acquisition of registered shares out of authorized capital</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L'acquisition  d'actions  nominatives  dans  le  cadre  d'une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increase of share capital for general purposes and any transfers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augmentation autorisée du capital-actions à des fins générales et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registered shares shall be subject to the restrictions specified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les transferts d'actions nominatives sont soumis aux restrictions</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Article 4 of the Articles of Association.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prévues à l'article 4 des statuts.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41"/>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3b  Conditional Capital Increase for Bonds and Similar</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3b  Augmentation conditionnelle du capital-actions pour</w:t>
            </w:r>
          </w:p>
        </w:tc>
      </w:tr>
      <w:tr>
        <w:trPr>
          <w:trHeight w:val="239"/>
        </w:trPr>
        <w:tc>
          <w:tcPr>
            <w:tcW w:w="5540" w:type="dxa"/>
            <w:vAlign w:val="bottom"/>
            <w:tcBorders>
              <w:left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Debt Instruments</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800"/>
              <w:spacing w:after="0"/>
              <w:rPr>
                <w:sz w:val="20"/>
                <w:szCs w:val="20"/>
                <w:color w:val="auto"/>
              </w:rPr>
            </w:pPr>
            <w:r>
              <w:rPr>
                <w:rFonts w:ascii="Arial" w:cs="Arial" w:eastAsia="Arial" w:hAnsi="Arial"/>
                <w:sz w:val="18"/>
                <w:szCs w:val="18"/>
                <w:b w:val="1"/>
                <w:bCs w:val="1"/>
                <w:color w:val="auto"/>
              </w:rPr>
              <w:t>les obligations et instruments de dettes similaire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share  capital  of  the  Company  shall  be  increased  by  a</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capital-actions de la société peut être augmenté d'un montant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maximum amount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maximum de CHF 91'560.94 par l'émission d'un maximum de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CHF 91'560.94 through the issue of a maximum of 4'578'047</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4'578'047 actions nominatives, d'une valeur nominale de CHF 0.02</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registered shares, payable in full, each with a nominal value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chacune, à libérer entièrement, suite à l'exercice de droits de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CHF 0.02 through the exercise of conversion and/or option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conversion et/ou d'option ou de bons de souscription accordés en</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warrant  rights  granted  in  connection  with  bonds  or  similar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relation avec des obligations ou d'instruments similaires, émis ou</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instruments,  issued  or  to  be  issued  by  the  Company  or  by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devant être émis par la société ou par des filiales de la société, y</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subsidiaries  of  the  Company,  including  convertible  debt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compris les instruments d'emprunt convertibles.</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instruments.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spacing w:after="0"/>
              <w:rPr>
                <w:sz w:val="18"/>
                <w:szCs w:val="18"/>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Shareholders'  subscription  rights  are  excluded.  Shareholders'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droit de souscription préférentiel des actionnaires est exclu. Les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advance subscription rights with regard to the new bonds or similar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droits de souscription préférentiels préalables des actionnaires à</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instruments may be restricted or excluded by decision of the Board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l'égard des nouvelles obligations ou instruments similaires peuvent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of Directors in order to finance or re-finance the acquisition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être limités ou exclus par décision du conseil d'administration afin</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companies, parts of companies or holdings, or new investments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financer  ou  de  refinancer  l'acquisition  d'entreprises,  parts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planned by the Company, or in order to issue convertible bonds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d'entreprises ou de holdings, ou de nouveaux investissements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and warrants on the international capital markets or through private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prévus  par  la  société,  ou  en  vue  d'émettre  des  obligations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placement. If advance subscription rights are excluded, then (1)</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convertibles  et  des  bons  de  souscription  sur  les  marchés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instruments are to be placed at market conditions, (2)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internationaux de capitaux ou par placement privé. Si les droits de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exercise period is not to exceed ten years from the date of issue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souscription  préférentiels  préalables  sont  exclus,  (1)  les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for warrants and twenty years for conversion rights and (3)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instruments doivent être attribués aux conditions du marché, (2) la</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conversion or exercise price for the new shares is to be set at least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période d'exercice ne doit pas dépasser dix ans à</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 line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spacing w:after="0"/>
              <w:rPr>
                <w:sz w:val="18"/>
                <w:szCs w:val="18"/>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750"/>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43" w:name="page44"/>
    <w:bookmarkEnd w:id="4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5340"/>
              <w:spacing w:after="0"/>
              <w:rPr>
                <w:sz w:val="20"/>
                <w:szCs w:val="20"/>
                <w:color w:val="auto"/>
              </w:rPr>
            </w:pPr>
            <w:r>
              <w:rPr>
                <w:rFonts w:ascii="Arial" w:cs="Arial" w:eastAsia="Arial" w:hAnsi="Arial"/>
                <w:sz w:val="18"/>
                <w:szCs w:val="18"/>
                <w:color w:val="auto"/>
                <w:w w:val="99"/>
              </w:rPr>
              <w:t>5</w:t>
            </w:r>
          </w:p>
        </w:tc>
      </w:tr>
      <w:tr>
        <w:trPr>
          <w:trHeight w:val="95"/>
        </w:trPr>
        <w:tc>
          <w:tcPr>
            <w:tcW w:w="5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tcPr>
          <w:p>
            <w:pPr>
              <w:spacing w:after="0"/>
              <w:rPr>
                <w:sz w:val="8"/>
                <w:szCs w:val="8"/>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with the market conditions prevailing at the date on which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partir de la date d'émission des bons de souscription et vingt ans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instruments  are  issued.  The  respective  holders  of  conversion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pour les droits de conversion et (3) le prix de conversion ou</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and/or option or warrant rights are entitled to subscribe the new</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d'exercice des actions nouvelles doit être fixé au moins aux</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shares.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conditions du marché prévalant à la date à laquelle les instruments</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sont émis. Les détenteurs respectifs de droits de conversion et/ou</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option ou de bons de souscription ont le droit de souscrire les</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nouvelles actions.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acquisition  of  registered  shares  through  the  exercise  of</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L'acquisition d'actions nominatives par l'exercice de droits ou de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conversion rights or warrants and any transfers of registered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bons de conversion et les transferts d'actions nominatives sont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shares shall be subject to the restrictions specified in Article 4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assujetties aux restrictions prévues par l'article 4 des statuts.</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Articles of Association.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spacing w:after="0"/>
              <w:rPr>
                <w:sz w:val="18"/>
                <w:szCs w:val="18"/>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41"/>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3c  Conditional Share Capital Increase for Employee</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Art. 3c  Augmentation conditionnelle du capital-actions pour</w:t>
            </w:r>
          </w:p>
        </w:tc>
      </w:tr>
      <w:tr>
        <w:trPr>
          <w:trHeight w:val="239"/>
        </w:trPr>
        <w:tc>
          <w:tcPr>
            <w:tcW w:w="5540" w:type="dxa"/>
            <w:vAlign w:val="bottom"/>
            <w:tcBorders>
              <w:left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Benefit Plans</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800"/>
              <w:spacing w:after="0"/>
              <w:rPr>
                <w:sz w:val="20"/>
                <w:szCs w:val="20"/>
                <w:color w:val="auto"/>
              </w:rPr>
            </w:pPr>
            <w:r>
              <w:rPr>
                <w:rFonts w:ascii="Arial" w:cs="Arial" w:eastAsia="Arial" w:hAnsi="Arial"/>
                <w:sz w:val="18"/>
                <w:szCs w:val="18"/>
                <w:b w:val="1"/>
                <w:bCs w:val="1"/>
                <w:color w:val="auto"/>
              </w:rPr>
              <w:t>les plans d'avantages sociaux</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share capital of the Company shall be increased by an amount</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capital social de la société sera augmenté d'un montant 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not exceeding CHF 68'877.60 through the issue of a maximum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dépassant pas CHF 68'877.60 par l'émission d'un maximum de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3'443'880 registered shares, payable in full, each with a nominal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3'443'880 actions nominatives, entièrement libérées, chacune avec</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value of CHF 0.02, in connection with the exercise of option rights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une valeur nominale de CHF 0.02, dans le cadre de l'exercice de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granted to any employee of the Company or a subsidiary, and 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droits d'option accordés à tout employé de la Société ou d'une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consultant, members of the Board of Directors, or other person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succursale,  et  à  tout  consultant,  aux  membres  du  conseil</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providing services to the Company or a subsidiary.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ou à d'autres personnes fournissant des services</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 faveur de la Société ou d'une filiale.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Shareholders' subscription rights shall be excluded with regard to</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droit de souscription préférentiel des actionnaires est exclu à</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these shares. These new registered shares may be issued at a</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l'égard de ces actions. Ces nouvelles actions nominatives peuvent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price below the current market price. The Board of Directors shall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être émises à un prix inférieur au prix du marché actuel. Le conseil</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specify the precise conditions of issue including the issue price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doit préciser les conditions précises d'émission, y</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shares.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compris le prix d'émission des actions.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acquisition of registered shares in connection with employee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L'acquisition d'actions nominatives dans le cadre de la participation</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participation and any further transfers of registered shares shall be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employés et d'autres transferts d'actions nominatives sont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subject to the restrictions specified in Article 4 of the Articles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soumis aux restrictions prévues à l'article 4 des statuts.</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Association.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spacing w:after="0"/>
              <w:rPr>
                <w:sz w:val="18"/>
                <w:szCs w:val="18"/>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345"/>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44" w:name="page45"/>
    <w:bookmarkEnd w:id="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95"/>
        </w:trPr>
        <w:tc>
          <w:tcPr>
            <w:tcW w:w="5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760" w:type="dxa"/>
            <w:vAlign w:val="bottom"/>
            <w:tcBorders>
              <w:bottom w:val="single" w:sz="8" w:color="auto"/>
            </w:tcBorders>
          </w:tcPr>
          <w:p>
            <w:pPr>
              <w:spacing w:after="0"/>
              <w:rPr>
                <w:sz w:val="8"/>
                <w:szCs w:val="8"/>
                <w:color w:val="auto"/>
              </w:rPr>
            </w:pPr>
          </w:p>
        </w:tc>
      </w:tr>
      <w:tr>
        <w:trPr>
          <w:trHeight w:val="27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4  Share Register</w:t>
            </w:r>
          </w:p>
        </w:tc>
        <w:tc>
          <w:tcPr>
            <w:tcW w:w="220" w:type="dxa"/>
            <w:vAlign w:val="bottom"/>
            <w:tcBorders>
              <w:right w:val="single" w:sz="8" w:color="auto"/>
            </w:tcBorders>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18"/>
                <w:szCs w:val="18"/>
                <w:b w:val="1"/>
                <w:bCs w:val="1"/>
                <w:color w:val="auto"/>
              </w:rPr>
              <w:t>Art. 4</w:t>
            </w:r>
          </w:p>
        </w:tc>
        <w:tc>
          <w:tcPr>
            <w:tcW w:w="4760" w:type="dxa"/>
            <w:vAlign w:val="bottom"/>
            <w:tcBorders>
              <w:right w:val="single" w:sz="8" w:color="auto"/>
            </w:tcBorders>
          </w:tcPr>
          <w:p>
            <w:pPr>
              <w:jc w:val="right"/>
              <w:ind w:right="2710"/>
              <w:spacing w:after="0"/>
              <w:rPr>
                <w:sz w:val="20"/>
                <w:szCs w:val="20"/>
                <w:color w:val="auto"/>
              </w:rPr>
            </w:pPr>
            <w:r>
              <w:rPr>
                <w:rFonts w:ascii="Arial" w:cs="Arial" w:eastAsia="Arial" w:hAnsi="Arial"/>
                <w:sz w:val="18"/>
                <w:szCs w:val="18"/>
                <w:b w:val="1"/>
                <w:bCs w:val="1"/>
                <w:color w:val="auto"/>
              </w:rPr>
              <w:t>Registre des actions</w:t>
            </w:r>
          </w:p>
        </w:tc>
      </w:tr>
      <w:tr>
        <w:trPr>
          <w:trHeight w:val="391"/>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Company shall maintain a share register in which it shall</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société tient un registre des actions nominatives, dans lequel</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register the name, first name and place of residence (in case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sont inscrits le nom, le prénom et l'adresse (dans le cas d'une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legal  persons  the  place  of  incorporation)  of  the  owners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personne morale, le siège) des propriétaires et des usufruitiers des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usufructuaries of its registered shares. Natural and legal persons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actions.  Les  personnes  physiques  et  morales  ainsi  que  les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as well as legal representatives of minors etc. entitled by law to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représentants légaux des mineurs etc. autorisés par la loi à voter</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voting rights of a share which they do not own will be noted in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alors qu'ils ne sont pas propriétaires des actions seront, sur</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share register upon request.</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demande, inscrits dans le registre des actions.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Upon request, acquirers of shares will be registered in the share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Sur demande, les acquéreurs d'actions seront inscrits dans le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register without limitation as shareholders if they expressly certify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registre  des  actions  sans  limitation  comme  actionnaires  s'ils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that they acquired the shares in their own name and for their own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attestent expressément qu'ils ont acquis les actions en leur propre</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account.</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nom et pour leur propre compte.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Persons  who  do  not  expressly  declare  in  the  registration</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personnes  qui  ne  déclarent  pas  expressément  dans  la</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application that they are holding the shares on their own account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demande d'inscription qu'ils détiennent les actions pour leur propre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(thereafter: nominees) shall forthwith be entered on the share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compte (par la suite: les candidats) doivent immédiatement être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register as shareholders with voting rights up to a maximum of 3</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inscrits dans le registre des actions comme actionnaires avec droit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percent of the share capital. Beyond that limit, registered shares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 vote pour un maximum de 3 pour cent du capital-actions. Au-</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nominees shall only be entered as voting if the nominees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delà de cette limite, les actions nominatives des candidats ne sont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question confirm in writing that they are willing to disclose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inscrites avec droit de vote que si les candidats en question</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names, addresses and shareholdings of the persons on whose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confirment  par  écrit  qu'ils  sont  prêts  à  divulguer  les  noms,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account they hold 0.5 percent or more of the share capital.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adresses  et  participations  des  personnes  pour  le  compte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Board of Directors concludes agreements with nominees that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desquelles ils détiennent 0,5 pour cent ou plus du capital-actions.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among other things govern the representation of shareholders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Le conseil d'administration conclut des accords avec les candidats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voting rights.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qui,  entre  autres  choses,  régissent  la  représentation  des</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actionnaires et des droits de vote.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After hearing the registered shareholder or nominee, the Board of</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Après avoir entendu l'actionnaire enregistré ou le candidat, le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Directors may remove entries in the share register with retroactive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conseil d'administration peut supprimer des inscriptions dans le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effect as per the date of entry, if such entry was based on false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registre des actions avec effet rétroactif à la date d'inscription, si</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information. The party affected must be informed of such removal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cette inscription était basée sur de fausses informations. La partie</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immediately.</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touchée doit être immédiatement informée de cette suppression.</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r>
      <w:tr>
        <w:trPr>
          <w:trHeight w:val="344"/>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45" w:name="page46"/>
    <w:bookmarkEnd w:id="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7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94"/>
        </w:trPr>
        <w:tc>
          <w:tcPr>
            <w:tcW w:w="554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gridSpan w:val="5"/>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No individual or legal entity may, directly or indirectly, formally,</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Aucune personne physique ou morale ne peut, directement ou</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constructively or beneficially own (as defined in the next paragraph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ind w:left="60"/>
              <w:spacing w:after="0" w:line="202" w:lineRule="exact"/>
              <w:rPr>
                <w:sz w:val="20"/>
                <w:szCs w:val="20"/>
                <w:color w:val="auto"/>
              </w:rPr>
            </w:pPr>
            <w:r>
              <w:rPr>
                <w:rFonts w:ascii="Arial" w:cs="Arial" w:eastAsia="Arial" w:hAnsi="Arial"/>
                <w:sz w:val="18"/>
                <w:szCs w:val="18"/>
                <w:color w:val="auto"/>
              </w:rPr>
              <w:t>indirectement, formellement ou implicitement détenir à son profit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below) or otherwise control voting rights ("Controlled Shares") with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ind w:left="60"/>
              <w:spacing w:after="0" w:line="202" w:lineRule="exact"/>
              <w:rPr>
                <w:sz w:val="20"/>
                <w:szCs w:val="20"/>
                <w:color w:val="auto"/>
              </w:rPr>
            </w:pPr>
            <w:r>
              <w:rPr>
                <w:rFonts w:ascii="Arial" w:cs="Arial" w:eastAsia="Arial" w:hAnsi="Arial"/>
                <w:sz w:val="18"/>
                <w:szCs w:val="18"/>
                <w:color w:val="auto"/>
              </w:rPr>
              <w:t>(comme défini dans le paragraphe ci-dessous) ou, d'une autre</w:t>
            </w:r>
          </w:p>
        </w:tc>
        <w:tc>
          <w:tcPr>
            <w:tcW w:w="0" w:type="dxa"/>
            <w:vAlign w:val="bottom"/>
          </w:tcPr>
          <w:p>
            <w:pPr>
              <w:spacing w:after="0"/>
              <w:rPr>
                <w:sz w:val="1"/>
                <w:szCs w:val="1"/>
                <w:color w:val="auto"/>
              </w:rPr>
            </w:pPr>
          </w:p>
        </w:tc>
      </w:tr>
      <w:tr>
        <w:trPr>
          <w:trHeight w:val="203"/>
        </w:trPr>
        <w:tc>
          <w:tcPr>
            <w:tcW w:w="740" w:type="dxa"/>
            <w:vAlign w:val="bottom"/>
            <w:tcBorders>
              <w:left w:val="single" w:sz="8" w:color="auto"/>
            </w:tcBorders>
          </w:tcPr>
          <w:p>
            <w:pPr>
              <w:ind w:left="80"/>
              <w:spacing w:after="0" w:line="203" w:lineRule="exact"/>
              <w:rPr>
                <w:sz w:val="20"/>
                <w:szCs w:val="20"/>
                <w:color w:val="auto"/>
              </w:rPr>
            </w:pPr>
            <w:r>
              <w:rPr>
                <w:rFonts w:ascii="Arial" w:cs="Arial" w:eastAsia="Arial" w:hAnsi="Arial"/>
                <w:sz w:val="18"/>
                <w:szCs w:val="18"/>
                <w:color w:val="auto"/>
              </w:rPr>
              <w:t>respect</w:t>
            </w:r>
          </w:p>
        </w:tc>
        <w:tc>
          <w:tcPr>
            <w:tcW w:w="4800" w:type="dxa"/>
            <w:vAlign w:val="bottom"/>
            <w:tcBorders>
              <w:right w:val="single" w:sz="8" w:color="auto"/>
            </w:tcBorders>
          </w:tcPr>
          <w:p>
            <w:pPr>
              <w:jc w:val="right"/>
              <w:ind w:right="13"/>
              <w:spacing w:after="0" w:line="203" w:lineRule="exact"/>
              <w:rPr>
                <w:sz w:val="20"/>
                <w:szCs w:val="20"/>
                <w:color w:val="auto"/>
              </w:rPr>
            </w:pPr>
            <w:r>
              <w:rPr>
                <w:rFonts w:ascii="Arial" w:cs="Arial" w:eastAsia="Arial" w:hAnsi="Arial"/>
                <w:sz w:val="15"/>
                <w:szCs w:val="15"/>
                <w:color w:val="auto"/>
              </w:rPr>
              <w:t xml:space="preserve">to 33 </w:t>
            </w:r>
            <w:r>
              <w:rPr>
                <w:rFonts w:ascii="Arial" w:cs="Arial" w:eastAsia="Arial" w:hAnsi="Arial"/>
                <w:sz w:val="23"/>
                <w:szCs w:val="23"/>
                <w:color w:val="auto"/>
                <w:vertAlign w:val="superscript"/>
              </w:rPr>
              <w:t>1</w:t>
            </w:r>
            <w:r>
              <w:rPr>
                <w:rFonts w:ascii="Arial" w:cs="Arial" w:eastAsia="Arial" w:hAnsi="Arial"/>
                <w:sz w:val="15"/>
                <w:szCs w:val="15"/>
                <w:color w:val="auto"/>
              </w:rPr>
              <w:t>/</w:t>
            </w:r>
            <w:r>
              <w:rPr>
                <w:rFonts w:ascii="Arial" w:cs="Arial" w:eastAsia="Arial" w:hAnsi="Arial"/>
                <w:sz w:val="23"/>
                <w:szCs w:val="23"/>
                <w:color w:val="auto"/>
                <w:vertAlign w:val="subscript"/>
              </w:rPr>
              <w:t>3</w:t>
            </w:r>
            <w:r>
              <w:rPr>
                <w:rFonts w:ascii="Arial" w:cs="Arial" w:eastAsia="Arial" w:hAnsi="Arial"/>
                <w:sz w:val="15"/>
                <w:szCs w:val="15"/>
                <w:color w:val="auto"/>
              </w:rPr>
              <w:t xml:space="preserve">  % or more of the registered share capital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ind w:left="60"/>
              <w:spacing w:after="0" w:line="203" w:lineRule="exact"/>
              <w:rPr>
                <w:sz w:val="20"/>
                <w:szCs w:val="20"/>
                <w:color w:val="auto"/>
              </w:rPr>
            </w:pPr>
            <w:r>
              <w:rPr>
                <w:rFonts w:ascii="Arial" w:cs="Arial" w:eastAsia="Arial" w:hAnsi="Arial"/>
                <w:sz w:val="18"/>
                <w:szCs w:val="18"/>
                <w:color w:val="auto"/>
              </w:rPr>
              <w:t>manière, contrôler le droit de vote (les "Actions Contrôlées") de 33</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recorded in the Commercial Register except if such individual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ind w:left="60"/>
              <w:spacing w:after="0" w:line="202"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5"/>
                <w:szCs w:val="15"/>
                <w:color w:val="auto"/>
              </w:rPr>
              <w:t>/  % ou plus du capital-actions nominatif tel qu'inscrit au registre</w:t>
            </w:r>
          </w:p>
        </w:tc>
        <w:tc>
          <w:tcPr>
            <w:tcW w:w="0" w:type="dxa"/>
            <w:vAlign w:val="bottom"/>
          </w:tcPr>
          <w:p>
            <w:pPr>
              <w:spacing w:after="0"/>
              <w:rPr>
                <w:sz w:val="1"/>
                <w:szCs w:val="1"/>
                <w:color w:val="auto"/>
              </w:rPr>
            </w:pPr>
          </w:p>
        </w:tc>
      </w:tr>
      <w:tr>
        <w:trPr>
          <w:trHeight w:val="67"/>
        </w:trPr>
        <w:tc>
          <w:tcPr>
            <w:tcW w:w="5540" w:type="dxa"/>
            <w:vAlign w:val="bottom"/>
            <w:tcBorders>
              <w:left w:val="single" w:sz="8" w:color="auto"/>
              <w:right w:val="single" w:sz="8" w:color="auto"/>
            </w:tcBorders>
            <w:gridSpan w:val="2"/>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700" w:type="dxa"/>
            <w:vAlign w:val="bottom"/>
          </w:tcPr>
          <w:p>
            <w:pPr>
              <w:ind w:left="180"/>
              <w:spacing w:after="0" w:line="67" w:lineRule="exact"/>
              <w:rPr>
                <w:sz w:val="20"/>
                <w:szCs w:val="20"/>
                <w:color w:val="auto"/>
              </w:rPr>
            </w:pPr>
            <w:r>
              <w:rPr>
                <w:rFonts w:ascii="Arial" w:cs="Arial" w:eastAsia="Arial" w:hAnsi="Arial"/>
                <w:sz w:val="7"/>
                <w:szCs w:val="7"/>
                <w:color w:val="auto"/>
              </w:rPr>
              <w:t>3</w:t>
            </w: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legal entity has submitted prior to the acquisition of such Controlled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ind w:left="60"/>
              <w:spacing w:after="0" w:line="202" w:lineRule="exact"/>
              <w:rPr>
                <w:sz w:val="20"/>
                <w:szCs w:val="20"/>
                <w:color w:val="auto"/>
              </w:rPr>
            </w:pPr>
            <w:r>
              <w:rPr>
                <w:rFonts w:ascii="Arial" w:cs="Arial" w:eastAsia="Arial" w:hAnsi="Arial"/>
                <w:sz w:val="18"/>
                <w:szCs w:val="18"/>
                <w:color w:val="auto"/>
              </w:rPr>
              <w:t>du  commerce  sauf  si  cette  personne  physique  ou  morale  a</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Shares an orderly tender offer to all shareholders with a minimum</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ind w:left="60"/>
              <w:spacing w:after="0" w:line="202" w:lineRule="exact"/>
              <w:rPr>
                <w:sz w:val="20"/>
                <w:szCs w:val="20"/>
                <w:color w:val="auto"/>
              </w:rPr>
            </w:pPr>
            <w:r>
              <w:rPr>
                <w:rFonts w:ascii="Arial" w:cs="Arial" w:eastAsia="Arial" w:hAnsi="Arial"/>
                <w:sz w:val="18"/>
                <w:szCs w:val="18"/>
                <w:color w:val="auto"/>
              </w:rPr>
              <w:t>présenté avant l'acquisition de ces Actions Contrôlée une offre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price of the higher of (i) the volume weighted average price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ind w:left="60"/>
              <w:spacing w:after="0" w:line="202" w:lineRule="exact"/>
              <w:rPr>
                <w:sz w:val="20"/>
                <w:szCs w:val="20"/>
                <w:color w:val="auto"/>
              </w:rPr>
            </w:pPr>
            <w:r>
              <w:rPr>
                <w:rFonts w:ascii="Arial" w:cs="Arial" w:eastAsia="Arial" w:hAnsi="Arial"/>
                <w:sz w:val="18"/>
                <w:szCs w:val="18"/>
                <w:color w:val="auto"/>
              </w:rPr>
              <w:t>publique d'achat en bonne et due forme à tous les actionnaires à</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last 60 trading days prior to the publication of the tender offer or (ii)</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ind w:left="60"/>
              <w:spacing w:after="0" w:line="202" w:lineRule="exact"/>
              <w:rPr>
                <w:sz w:val="20"/>
                <w:szCs w:val="20"/>
                <w:color w:val="auto"/>
              </w:rPr>
            </w:pPr>
            <w:r>
              <w:rPr>
                <w:rFonts w:ascii="Arial" w:cs="Arial" w:eastAsia="Arial" w:hAnsi="Arial"/>
                <w:sz w:val="18"/>
                <w:szCs w:val="18"/>
                <w:color w:val="auto"/>
              </w:rPr>
              <w:t>un prix minimum équivalent au montant le plus élevé entre (i) le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the highest price paid by such individual or legal entity in the 12</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ind w:left="60"/>
              <w:spacing w:after="0" w:line="202" w:lineRule="exact"/>
              <w:rPr>
                <w:sz w:val="20"/>
                <w:szCs w:val="20"/>
                <w:color w:val="auto"/>
              </w:rPr>
            </w:pPr>
            <w:r>
              <w:rPr>
                <w:rFonts w:ascii="Arial" w:cs="Arial" w:eastAsia="Arial" w:hAnsi="Arial"/>
                <w:sz w:val="18"/>
                <w:szCs w:val="18"/>
                <w:color w:val="auto"/>
              </w:rPr>
              <w:t>cours moyen pondéré en fonction du volume des 60 derniers jours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months preceding to the publication of the tender offer. Those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ind w:left="60"/>
              <w:spacing w:after="0" w:line="202" w:lineRule="exact"/>
              <w:rPr>
                <w:sz w:val="20"/>
                <w:szCs w:val="20"/>
                <w:color w:val="auto"/>
              </w:rPr>
            </w:pPr>
            <w:r>
              <w:rPr>
                <w:rFonts w:ascii="Arial" w:cs="Arial" w:eastAsia="Arial" w:hAnsi="Arial"/>
                <w:sz w:val="18"/>
                <w:szCs w:val="18"/>
                <w:color w:val="auto"/>
              </w:rPr>
              <w:t>de bourse précédant la publication de l'offre publique d'achat et (ii)</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associated through capital, voting power, joint management or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ind w:left="60"/>
              <w:spacing w:after="0" w:line="202" w:lineRule="exact"/>
              <w:rPr>
                <w:sz w:val="20"/>
                <w:szCs w:val="20"/>
                <w:color w:val="auto"/>
              </w:rPr>
            </w:pPr>
            <w:r>
              <w:rPr>
                <w:rFonts w:ascii="Arial" w:cs="Arial" w:eastAsia="Arial" w:hAnsi="Arial"/>
                <w:sz w:val="18"/>
                <w:szCs w:val="18"/>
                <w:color w:val="auto"/>
              </w:rPr>
              <w:t>le plus haut prix payé par cette personne physique ou morale dans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any other way, or joining for the acquisition of shares, shall be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ind w:left="60"/>
              <w:spacing w:after="0" w:line="202" w:lineRule="exact"/>
              <w:rPr>
                <w:sz w:val="20"/>
                <w:szCs w:val="20"/>
                <w:color w:val="auto"/>
              </w:rPr>
            </w:pPr>
            <w:r>
              <w:rPr>
                <w:rFonts w:ascii="Arial" w:cs="Arial" w:eastAsia="Arial" w:hAnsi="Arial"/>
                <w:sz w:val="18"/>
                <w:szCs w:val="18"/>
                <w:color w:val="auto"/>
              </w:rPr>
              <w:t>les 12 mois précédant la publication de l'offre publique d'achat. Les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regarded as one person. The registered shares exceeding the limit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ind w:left="60"/>
              <w:spacing w:after="0" w:line="202" w:lineRule="exact"/>
              <w:rPr>
                <w:sz w:val="20"/>
                <w:szCs w:val="20"/>
                <w:color w:val="auto"/>
              </w:rPr>
            </w:pPr>
            <w:r>
              <w:rPr>
                <w:rFonts w:ascii="Arial" w:cs="Arial" w:eastAsia="Arial" w:hAnsi="Arial"/>
                <w:sz w:val="18"/>
                <w:szCs w:val="18"/>
                <w:color w:val="auto"/>
              </w:rPr>
              <w:t>personnes associées par le capital, les droits de vote, une gestion</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3" w:lineRule="exact"/>
              <w:rPr>
                <w:sz w:val="20"/>
                <w:szCs w:val="20"/>
                <w:color w:val="auto"/>
              </w:rPr>
            </w:pPr>
            <w:r>
              <w:rPr>
                <w:rFonts w:ascii="Arial" w:cs="Arial" w:eastAsia="Arial" w:hAnsi="Arial"/>
                <w:sz w:val="15"/>
                <w:szCs w:val="15"/>
                <w:color w:val="auto"/>
              </w:rPr>
              <w:t xml:space="preserve">of 33 </w:t>
            </w:r>
            <w:r>
              <w:rPr>
                <w:rFonts w:ascii="Arial" w:cs="Arial" w:eastAsia="Arial" w:hAnsi="Arial"/>
                <w:sz w:val="23"/>
                <w:szCs w:val="23"/>
                <w:color w:val="auto"/>
                <w:vertAlign w:val="superscript"/>
              </w:rPr>
              <w:t>1</w:t>
            </w:r>
            <w:r>
              <w:rPr>
                <w:rFonts w:ascii="Arial" w:cs="Arial" w:eastAsia="Arial" w:hAnsi="Arial"/>
                <w:sz w:val="15"/>
                <w:szCs w:val="15"/>
                <w:color w:val="auto"/>
              </w:rPr>
              <w:t>/</w:t>
            </w:r>
            <w:r>
              <w:rPr>
                <w:rFonts w:ascii="Arial" w:cs="Arial" w:eastAsia="Arial" w:hAnsi="Arial"/>
                <w:sz w:val="23"/>
                <w:szCs w:val="23"/>
                <w:color w:val="auto"/>
                <w:vertAlign w:val="subscript"/>
              </w:rPr>
              <w:t>3</w:t>
            </w:r>
            <w:r>
              <w:rPr>
                <w:rFonts w:ascii="Arial" w:cs="Arial" w:eastAsia="Arial" w:hAnsi="Arial"/>
                <w:sz w:val="15"/>
                <w:szCs w:val="15"/>
                <w:color w:val="auto"/>
              </w:rPr>
              <w:t xml:space="preserve"> % and not benefiting from the exemption regarding a</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ind w:left="60"/>
              <w:spacing w:after="0" w:line="203" w:lineRule="exact"/>
              <w:rPr>
                <w:sz w:val="20"/>
                <w:szCs w:val="20"/>
                <w:color w:val="auto"/>
              </w:rPr>
            </w:pPr>
            <w:r>
              <w:rPr>
                <w:rFonts w:ascii="Arial" w:cs="Arial" w:eastAsia="Arial" w:hAnsi="Arial"/>
                <w:sz w:val="18"/>
                <w:szCs w:val="18"/>
                <w:color w:val="auto"/>
              </w:rPr>
              <w:t>commune ou de toute autre manière, ou qui se joignent pour une</w:t>
            </w:r>
          </w:p>
        </w:tc>
        <w:tc>
          <w:tcPr>
            <w:tcW w:w="0" w:type="dxa"/>
            <w:vAlign w:val="bottom"/>
          </w:tcPr>
          <w:p>
            <w:pPr>
              <w:spacing w:after="0"/>
              <w:rPr>
                <w:sz w:val="1"/>
                <w:szCs w:val="1"/>
                <w:color w:val="auto"/>
              </w:rPr>
            </w:pPr>
          </w:p>
        </w:tc>
      </w:tr>
      <w:tr>
        <w:trPr>
          <w:trHeight w:val="202"/>
        </w:trPr>
        <w:tc>
          <w:tcPr>
            <w:tcW w:w="554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tender offer shall be entered in the share register as shares without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ind w:left="60"/>
              <w:spacing w:after="0" w:line="201" w:lineRule="exact"/>
              <w:rPr>
                <w:sz w:val="20"/>
                <w:szCs w:val="20"/>
                <w:color w:val="auto"/>
              </w:rPr>
            </w:pPr>
            <w:r>
              <w:rPr>
                <w:rFonts w:ascii="Arial" w:cs="Arial" w:eastAsia="Arial" w:hAnsi="Arial"/>
                <w:sz w:val="18"/>
                <w:szCs w:val="18"/>
                <w:color w:val="auto"/>
              </w:rPr>
              <w:t>acquisition d'actions, sont considérées comme une personne. Les</w:t>
            </w:r>
          </w:p>
        </w:tc>
        <w:tc>
          <w:tcPr>
            <w:tcW w:w="0" w:type="dxa"/>
            <w:vAlign w:val="bottom"/>
          </w:tcPr>
          <w:p>
            <w:pPr>
              <w:spacing w:after="0"/>
              <w:rPr>
                <w:sz w:val="1"/>
                <w:szCs w:val="1"/>
                <w:color w:val="auto"/>
              </w:rPr>
            </w:pPr>
          </w:p>
        </w:tc>
      </w:tr>
      <w:tr>
        <w:trPr>
          <w:trHeight w:val="67"/>
        </w:trPr>
        <w:tc>
          <w:tcPr>
            <w:tcW w:w="5540" w:type="dxa"/>
            <w:vAlign w:val="bottom"/>
            <w:tcBorders>
              <w:left w:val="single" w:sz="8" w:color="auto"/>
              <w:right w:val="single" w:sz="8" w:color="auto"/>
            </w:tcBorders>
            <w:gridSpan w:val="2"/>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700" w:type="dxa"/>
            <w:vAlign w:val="bottom"/>
            <w:vMerge w:val="restart"/>
          </w:tcPr>
          <w:p>
            <w:pPr>
              <w:ind w:left="60"/>
              <w:spacing w:after="0" w:line="203" w:lineRule="exact"/>
              <w:rPr>
                <w:sz w:val="20"/>
                <w:szCs w:val="20"/>
                <w:color w:val="auto"/>
              </w:rPr>
            </w:pPr>
            <w:r>
              <w:rPr>
                <w:rFonts w:ascii="Arial" w:cs="Arial" w:eastAsia="Arial" w:hAnsi="Arial"/>
                <w:sz w:val="18"/>
                <w:szCs w:val="18"/>
                <w:color w:val="auto"/>
              </w:rPr>
              <w:t>actions  nominatives  dépassant</w:t>
            </w:r>
          </w:p>
        </w:tc>
        <w:tc>
          <w:tcPr>
            <w:tcW w:w="32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la</w:t>
            </w:r>
          </w:p>
        </w:tc>
        <w:tc>
          <w:tcPr>
            <w:tcW w:w="900" w:type="dxa"/>
            <w:vAlign w:val="bottom"/>
            <w:vMerge w:val="restart"/>
          </w:tcPr>
          <w:p>
            <w:pPr>
              <w:ind w:left="40"/>
              <w:spacing w:after="0" w:line="203" w:lineRule="exact"/>
              <w:rPr>
                <w:sz w:val="20"/>
                <w:szCs w:val="20"/>
                <w:color w:val="auto"/>
              </w:rPr>
            </w:pPr>
            <w:r>
              <w:rPr>
                <w:rFonts w:ascii="Arial" w:cs="Arial" w:eastAsia="Arial" w:hAnsi="Arial"/>
                <w:sz w:val="18"/>
                <w:szCs w:val="18"/>
                <w:color w:val="auto"/>
              </w:rPr>
              <w:t>limite  de</w:t>
            </w:r>
          </w:p>
        </w:tc>
        <w:tc>
          <w:tcPr>
            <w:tcW w:w="1220" w:type="dxa"/>
            <w:vAlign w:val="bottom"/>
            <w:vMerge w:val="restart"/>
          </w:tcPr>
          <w:p>
            <w:pPr>
              <w:ind w:left="20"/>
              <w:spacing w:after="0" w:line="203" w:lineRule="exact"/>
              <w:rPr>
                <w:sz w:val="20"/>
                <w:szCs w:val="20"/>
                <w:color w:val="auto"/>
              </w:rPr>
            </w:pPr>
            <w:r>
              <w:rPr>
                <w:rFonts w:ascii="Arial" w:cs="Arial" w:eastAsia="Arial" w:hAnsi="Arial"/>
                <w:sz w:val="15"/>
                <w:szCs w:val="15"/>
                <w:color w:val="auto"/>
              </w:rPr>
              <w:t xml:space="preserve">33  </w:t>
            </w:r>
            <w:r>
              <w:rPr>
                <w:rFonts w:ascii="Arial" w:cs="Arial" w:eastAsia="Arial" w:hAnsi="Arial"/>
                <w:sz w:val="23"/>
                <w:szCs w:val="23"/>
                <w:color w:val="auto"/>
                <w:vertAlign w:val="superscript"/>
              </w:rPr>
              <w:t>1</w:t>
            </w:r>
            <w:r>
              <w:rPr>
                <w:rFonts w:ascii="Arial" w:cs="Arial" w:eastAsia="Arial" w:hAnsi="Arial"/>
                <w:sz w:val="15"/>
                <w:szCs w:val="15"/>
                <w:color w:val="auto"/>
              </w:rPr>
              <w:t>/  %  et</w:t>
            </w:r>
          </w:p>
        </w:tc>
        <w:tc>
          <w:tcPr>
            <w:tcW w:w="340" w:type="dxa"/>
            <w:vAlign w:val="bottom"/>
            <w:tcBorders>
              <w:right w:val="single" w:sz="8" w:color="auto"/>
            </w:tcBorders>
            <w:vMerge w:val="restart"/>
          </w:tcPr>
          <w:p>
            <w:pPr>
              <w:jc w:val="right"/>
              <w:spacing w:after="0" w:line="203" w:lineRule="exact"/>
              <w:rPr>
                <w:sz w:val="20"/>
                <w:szCs w:val="20"/>
                <w:color w:val="auto"/>
              </w:rPr>
            </w:pPr>
            <w:r>
              <w:rPr>
                <w:rFonts w:ascii="Arial" w:cs="Arial" w:eastAsia="Arial" w:hAnsi="Arial"/>
                <w:sz w:val="18"/>
                <w:szCs w:val="18"/>
                <w:color w:val="auto"/>
              </w:rPr>
              <w:t>ne</w:t>
            </w:r>
          </w:p>
        </w:tc>
        <w:tc>
          <w:tcPr>
            <w:tcW w:w="0" w:type="dxa"/>
            <w:vAlign w:val="bottom"/>
          </w:tcPr>
          <w:p>
            <w:pPr>
              <w:spacing w:after="0"/>
              <w:rPr>
                <w:sz w:val="1"/>
                <w:szCs w:val="1"/>
                <w:color w:val="auto"/>
              </w:rPr>
            </w:pPr>
          </w:p>
        </w:tc>
      </w:tr>
      <w:tr>
        <w:trPr>
          <w:trHeight w:val="136"/>
        </w:trPr>
        <w:tc>
          <w:tcPr>
            <w:tcW w:w="5540" w:type="dxa"/>
            <w:vAlign w:val="bottom"/>
            <w:tcBorders>
              <w:left w:val="single" w:sz="8" w:color="auto"/>
              <w:right w:val="single" w:sz="8" w:color="auto"/>
            </w:tcBorders>
            <w:gridSpan w:val="2"/>
            <w:vMerge w:val="restart"/>
          </w:tcPr>
          <w:p>
            <w:pPr>
              <w:ind w:left="80"/>
              <w:spacing w:after="0" w:line="202" w:lineRule="exact"/>
              <w:rPr>
                <w:sz w:val="20"/>
                <w:szCs w:val="20"/>
                <w:color w:val="auto"/>
              </w:rPr>
            </w:pPr>
            <w:r>
              <w:rPr>
                <w:rFonts w:ascii="Arial" w:cs="Arial" w:eastAsia="Arial" w:hAnsi="Arial"/>
                <w:sz w:val="18"/>
                <w:szCs w:val="18"/>
                <w:color w:val="auto"/>
              </w:rPr>
              <w:t>voting rights.</w:t>
            </w:r>
          </w:p>
        </w:tc>
        <w:tc>
          <w:tcPr>
            <w:tcW w:w="220" w:type="dxa"/>
            <w:vAlign w:val="bottom"/>
            <w:tcBorders>
              <w:right w:val="single" w:sz="8" w:color="auto"/>
            </w:tcBorders>
          </w:tcPr>
          <w:p>
            <w:pPr>
              <w:spacing w:after="0"/>
              <w:rPr>
                <w:sz w:val="11"/>
                <w:szCs w:val="11"/>
                <w:color w:val="auto"/>
              </w:rPr>
            </w:pPr>
          </w:p>
        </w:tc>
        <w:tc>
          <w:tcPr>
            <w:tcW w:w="270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5540" w:type="dxa"/>
            <w:vAlign w:val="bottom"/>
            <w:tcBorders>
              <w:left w:val="single" w:sz="8" w:color="auto"/>
              <w:right w:val="single" w:sz="8" w:color="auto"/>
            </w:tcBorders>
            <w:gridSpan w:val="2"/>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20" w:type="dxa"/>
            <w:vAlign w:val="bottom"/>
          </w:tcPr>
          <w:p>
            <w:pPr>
              <w:jc w:val="right"/>
              <w:ind w:right="573"/>
              <w:spacing w:after="0" w:line="67" w:lineRule="exact"/>
              <w:rPr>
                <w:sz w:val="20"/>
                <w:szCs w:val="20"/>
                <w:color w:val="auto"/>
              </w:rPr>
            </w:pPr>
            <w:r>
              <w:rPr>
                <w:rFonts w:ascii="Arial" w:cs="Arial" w:eastAsia="Arial" w:hAnsi="Arial"/>
                <w:sz w:val="7"/>
                <w:szCs w:val="7"/>
                <w:color w:val="auto"/>
              </w:rPr>
              <w:t>3</w:t>
            </w:r>
          </w:p>
        </w:tc>
        <w:tc>
          <w:tcPr>
            <w:tcW w:w="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tcBorders>
          </w:tcPr>
          <w:p>
            <w:pPr>
              <w:spacing w:after="0"/>
              <w:rPr>
                <w:sz w:val="17"/>
                <w:szCs w:val="17"/>
                <w:color w:val="auto"/>
              </w:rPr>
            </w:pPr>
          </w:p>
        </w:tc>
        <w:tc>
          <w:tcPr>
            <w:tcW w:w="480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ind w:left="60"/>
              <w:spacing w:after="0" w:line="202" w:lineRule="exact"/>
              <w:rPr>
                <w:sz w:val="20"/>
                <w:szCs w:val="20"/>
                <w:color w:val="auto"/>
              </w:rPr>
            </w:pPr>
            <w:r>
              <w:rPr>
                <w:rFonts w:ascii="Arial" w:cs="Arial" w:eastAsia="Arial" w:hAnsi="Arial"/>
                <w:sz w:val="18"/>
                <w:szCs w:val="18"/>
                <w:color w:val="auto"/>
              </w:rPr>
              <w:t>bénéficiant pas de l'exemption relative à une offre publique d'achat</w:t>
            </w:r>
          </w:p>
        </w:tc>
        <w:tc>
          <w:tcPr>
            <w:tcW w:w="0" w:type="dxa"/>
            <w:vAlign w:val="bottom"/>
          </w:tcPr>
          <w:p>
            <w:pPr>
              <w:spacing w:after="0"/>
              <w:rPr>
                <w:sz w:val="1"/>
                <w:szCs w:val="1"/>
                <w:color w:val="auto"/>
              </w:rPr>
            </w:pPr>
          </w:p>
        </w:tc>
      </w:tr>
      <w:tr>
        <w:trPr>
          <w:trHeight w:val="203"/>
        </w:trPr>
        <w:tc>
          <w:tcPr>
            <w:tcW w:w="740" w:type="dxa"/>
            <w:vAlign w:val="bottom"/>
            <w:tcBorders>
              <w:left w:val="single" w:sz="8" w:color="auto"/>
            </w:tcBorders>
          </w:tcPr>
          <w:p>
            <w:pPr>
              <w:spacing w:after="0"/>
              <w:rPr>
                <w:sz w:val="17"/>
                <w:szCs w:val="17"/>
                <w:color w:val="auto"/>
              </w:rPr>
            </w:pPr>
          </w:p>
        </w:tc>
        <w:tc>
          <w:tcPr>
            <w:tcW w:w="480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ind w:left="60"/>
              <w:spacing w:after="0" w:line="202" w:lineRule="exact"/>
              <w:rPr>
                <w:sz w:val="20"/>
                <w:szCs w:val="20"/>
                <w:color w:val="auto"/>
              </w:rPr>
            </w:pPr>
            <w:r>
              <w:rPr>
                <w:rFonts w:ascii="Arial" w:cs="Arial" w:eastAsia="Arial" w:hAnsi="Arial"/>
                <w:sz w:val="18"/>
                <w:szCs w:val="18"/>
                <w:color w:val="auto"/>
              </w:rPr>
              <w:t>sont inscrites dans le registre des actions comme des actions sans</w:t>
            </w:r>
          </w:p>
        </w:tc>
        <w:tc>
          <w:tcPr>
            <w:tcW w:w="0" w:type="dxa"/>
            <w:vAlign w:val="bottom"/>
          </w:tcPr>
          <w:p>
            <w:pPr>
              <w:spacing w:after="0"/>
              <w:rPr>
                <w:sz w:val="1"/>
                <w:szCs w:val="1"/>
                <w:color w:val="auto"/>
              </w:rPr>
            </w:pPr>
          </w:p>
        </w:tc>
      </w:tr>
      <w:tr>
        <w:trPr>
          <w:trHeight w:val="217"/>
        </w:trPr>
        <w:tc>
          <w:tcPr>
            <w:tcW w:w="740" w:type="dxa"/>
            <w:vAlign w:val="bottom"/>
            <w:tcBorders>
              <w:left w:val="single" w:sz="8" w:color="auto"/>
            </w:tcBorders>
          </w:tcPr>
          <w:p>
            <w:pPr>
              <w:spacing w:after="0"/>
              <w:rPr>
                <w:sz w:val="18"/>
                <w:szCs w:val="18"/>
                <w:color w:val="auto"/>
              </w:rPr>
            </w:pPr>
          </w:p>
        </w:tc>
        <w:tc>
          <w:tcPr>
            <w:tcW w:w="480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700" w:type="dxa"/>
            <w:vAlign w:val="bottom"/>
          </w:tcPr>
          <w:p>
            <w:pPr>
              <w:ind w:left="60"/>
              <w:spacing w:after="0"/>
              <w:rPr>
                <w:sz w:val="20"/>
                <w:szCs w:val="20"/>
                <w:color w:val="auto"/>
              </w:rPr>
            </w:pPr>
            <w:r>
              <w:rPr>
                <w:rFonts w:ascii="Arial" w:cs="Arial" w:eastAsia="Arial" w:hAnsi="Arial"/>
                <w:sz w:val="18"/>
                <w:szCs w:val="18"/>
                <w:color w:val="auto"/>
              </w:rPr>
              <w:t>droit de vote.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740" w:type="dxa"/>
            <w:vAlign w:val="bottom"/>
            <w:tcBorders>
              <w:left w:val="single" w:sz="8" w:color="auto"/>
              <w:bottom w:val="single" w:sz="8" w:color="auto"/>
            </w:tcBorders>
          </w:tcPr>
          <w:p>
            <w:pPr>
              <w:spacing w:after="0"/>
              <w:rPr>
                <w:sz w:val="24"/>
                <w:szCs w:val="24"/>
                <w:color w:val="auto"/>
              </w:rPr>
            </w:pPr>
          </w:p>
        </w:tc>
        <w:tc>
          <w:tcPr>
            <w:tcW w:w="4800" w:type="dxa"/>
            <w:vAlign w:val="bottom"/>
            <w:tcBorders>
              <w:bottom w:val="single" w:sz="8" w:color="auto"/>
              <w:right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For the purposes of this Article 4, "Controlled Shares" in reference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Aux  fins  du  présent  article  4,  Actions  Contrôlées  signifie  en</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to any individual or entity means:</w:t>
            </w:r>
          </w:p>
        </w:tc>
        <w:tc>
          <w:tcPr>
            <w:tcW w:w="220" w:type="dxa"/>
            <w:vAlign w:val="bottom"/>
            <w:tcBorders>
              <w:right w:val="single" w:sz="8" w:color="auto"/>
            </w:tcBorders>
          </w:tcPr>
          <w:p>
            <w:pPr>
              <w:spacing w:after="0"/>
              <w:rPr>
                <w:sz w:val="18"/>
                <w:szCs w:val="18"/>
                <w:color w:val="auto"/>
              </w:rPr>
            </w:pPr>
          </w:p>
        </w:tc>
        <w:tc>
          <w:tcPr>
            <w:tcW w:w="3920" w:type="dxa"/>
            <w:vAlign w:val="bottom"/>
            <w:gridSpan w:val="3"/>
          </w:tcPr>
          <w:p>
            <w:pPr>
              <w:ind w:left="60"/>
              <w:spacing w:after="0"/>
              <w:rPr>
                <w:sz w:val="20"/>
                <w:szCs w:val="20"/>
                <w:color w:val="auto"/>
              </w:rPr>
            </w:pPr>
            <w:r>
              <w:rPr>
                <w:rFonts w:ascii="Arial" w:cs="Arial" w:eastAsia="Arial" w:hAnsi="Arial"/>
                <w:sz w:val="18"/>
                <w:szCs w:val="18"/>
                <w:color w:val="auto"/>
              </w:rPr>
              <w:t>référence à toute personne physique ou morale:</w:t>
            </w:r>
          </w:p>
        </w:tc>
        <w:tc>
          <w:tcPr>
            <w:tcW w:w="1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   all shares of the Company directly, indirectly or constructively</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   toutes actions directement, indirectement ou implicitement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480"/>
              <w:spacing w:after="0" w:line="202" w:lineRule="exact"/>
              <w:rPr>
                <w:sz w:val="20"/>
                <w:szCs w:val="20"/>
                <w:color w:val="auto"/>
              </w:rPr>
            </w:pPr>
            <w:r>
              <w:rPr>
                <w:rFonts w:ascii="Arial" w:cs="Arial" w:eastAsia="Arial" w:hAnsi="Arial"/>
                <w:sz w:val="18"/>
                <w:szCs w:val="18"/>
                <w:color w:val="auto"/>
              </w:rPr>
              <w:t>owned by such individual or entity; provided that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jc w:val="right"/>
              <w:spacing w:after="0" w:line="202" w:lineRule="exact"/>
              <w:rPr>
                <w:sz w:val="20"/>
                <w:szCs w:val="20"/>
                <w:color w:val="auto"/>
              </w:rPr>
            </w:pPr>
            <w:r>
              <w:rPr>
                <w:rFonts w:ascii="Arial" w:cs="Arial" w:eastAsia="Arial" w:hAnsi="Arial"/>
                <w:sz w:val="18"/>
                <w:szCs w:val="18"/>
                <w:color w:val="auto"/>
              </w:rPr>
              <w:t>détenues par cette personne physique ou morale, à condition</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vMerge w:val="restart"/>
          </w:tcPr>
          <w:p>
            <w:pPr>
              <w:jc w:val="right"/>
              <w:ind w:right="13"/>
              <w:spacing w:after="0"/>
              <w:rPr>
                <w:sz w:val="20"/>
                <w:szCs w:val="20"/>
                <w:color w:val="auto"/>
              </w:rPr>
            </w:pPr>
            <w:r>
              <w:rPr>
                <w:rFonts w:ascii="Arial" w:cs="Arial" w:eastAsia="Arial" w:hAnsi="Arial"/>
                <w:sz w:val="18"/>
                <w:szCs w:val="18"/>
                <w:color w:val="auto"/>
              </w:rPr>
              <w:t>(i)  shares owned, directly or indirectly, by or for a partnership,</w:t>
            </w:r>
          </w:p>
        </w:tc>
        <w:tc>
          <w:tcPr>
            <w:tcW w:w="220" w:type="dxa"/>
            <w:vAlign w:val="bottom"/>
            <w:tcBorders>
              <w:right w:val="single" w:sz="8" w:color="auto"/>
            </w:tcBorders>
          </w:tcPr>
          <w:p>
            <w:pPr>
              <w:spacing w:after="0"/>
              <w:rPr>
                <w:sz w:val="18"/>
                <w:szCs w:val="18"/>
                <w:color w:val="auto"/>
              </w:rPr>
            </w:pPr>
          </w:p>
        </w:tc>
        <w:tc>
          <w:tcPr>
            <w:tcW w:w="2700" w:type="dxa"/>
            <w:vAlign w:val="bottom"/>
          </w:tcPr>
          <w:p>
            <w:pPr>
              <w:ind w:left="440"/>
              <w:spacing w:after="0"/>
              <w:rPr>
                <w:sz w:val="20"/>
                <w:szCs w:val="20"/>
                <w:color w:val="auto"/>
              </w:rPr>
            </w:pPr>
            <w:r>
              <w:rPr>
                <w:rFonts w:ascii="Arial" w:cs="Arial" w:eastAsia="Arial" w:hAnsi="Arial"/>
                <w:sz w:val="18"/>
                <w:szCs w:val="18"/>
                <w:color w:val="auto"/>
              </w:rPr>
              <w:t>que</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540" w:type="dxa"/>
            <w:vAlign w:val="bottom"/>
            <w:tcBorders>
              <w:left w:val="single" w:sz="8" w:color="auto"/>
              <w:right w:val="single" w:sz="8" w:color="auto"/>
            </w:tcBorders>
            <w:gridSpan w:val="2"/>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tcBorders>
          </w:tcPr>
          <w:p>
            <w:pPr>
              <w:spacing w:after="0"/>
              <w:rPr>
                <w:sz w:val="17"/>
                <w:szCs w:val="17"/>
                <w:color w:val="auto"/>
              </w:rPr>
            </w:pPr>
          </w:p>
        </w:tc>
        <w:tc>
          <w:tcPr>
            <w:tcW w:w="4800" w:type="dxa"/>
            <w:vAlign w:val="bottom"/>
            <w:tcBorders>
              <w:right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or trust or estate will be considered as being owned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jc w:val="right"/>
              <w:spacing w:after="0" w:line="202" w:lineRule="exact"/>
              <w:rPr>
                <w:sz w:val="20"/>
                <w:szCs w:val="20"/>
                <w:color w:val="auto"/>
              </w:rPr>
            </w:pPr>
            <w:r>
              <w:rPr>
                <w:rFonts w:ascii="Arial" w:cs="Arial" w:eastAsia="Arial" w:hAnsi="Arial"/>
                <w:sz w:val="18"/>
                <w:szCs w:val="18"/>
                <w:color w:val="auto"/>
              </w:rPr>
              <w:t>(i)   les actions détenues, directement ou indirectement, par</w:t>
            </w:r>
          </w:p>
        </w:tc>
        <w:tc>
          <w:tcPr>
            <w:tcW w:w="0" w:type="dxa"/>
            <w:vAlign w:val="bottom"/>
          </w:tcPr>
          <w:p>
            <w:pPr>
              <w:spacing w:after="0"/>
              <w:rPr>
                <w:sz w:val="1"/>
                <w:szCs w:val="1"/>
                <w:color w:val="auto"/>
              </w:rPr>
            </w:pPr>
          </w:p>
        </w:tc>
      </w:tr>
      <w:tr>
        <w:trPr>
          <w:trHeight w:val="203"/>
        </w:trPr>
        <w:tc>
          <w:tcPr>
            <w:tcW w:w="740" w:type="dxa"/>
            <w:vAlign w:val="bottom"/>
            <w:tcBorders>
              <w:left w:val="single" w:sz="8" w:color="auto"/>
            </w:tcBorders>
          </w:tcPr>
          <w:p>
            <w:pPr>
              <w:spacing w:after="0"/>
              <w:rPr>
                <w:sz w:val="17"/>
                <w:szCs w:val="17"/>
                <w:color w:val="auto"/>
              </w:rPr>
            </w:pPr>
          </w:p>
        </w:tc>
        <w:tc>
          <w:tcPr>
            <w:tcW w:w="480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proportionately by its partners, or beneficiaries;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jc w:val="right"/>
              <w:spacing w:after="0" w:line="202" w:lineRule="exact"/>
              <w:rPr>
                <w:sz w:val="20"/>
                <w:szCs w:val="20"/>
                <w:color w:val="auto"/>
              </w:rPr>
            </w:pPr>
            <w:r>
              <w:rPr>
                <w:rFonts w:ascii="Arial" w:cs="Arial" w:eastAsia="Arial" w:hAnsi="Arial"/>
                <w:sz w:val="18"/>
                <w:szCs w:val="18"/>
                <w:color w:val="auto"/>
              </w:rPr>
              <w:t>ou pour un partenariat, une fiducie ou une communauté</w:t>
            </w:r>
          </w:p>
        </w:tc>
        <w:tc>
          <w:tcPr>
            <w:tcW w:w="0" w:type="dxa"/>
            <w:vAlign w:val="bottom"/>
          </w:tcPr>
          <w:p>
            <w:pPr>
              <w:spacing w:after="0"/>
              <w:rPr>
                <w:sz w:val="1"/>
                <w:szCs w:val="1"/>
                <w:color w:val="auto"/>
              </w:rPr>
            </w:pPr>
          </w:p>
        </w:tc>
      </w:tr>
      <w:tr>
        <w:trPr>
          <w:trHeight w:val="203"/>
        </w:trPr>
        <w:tc>
          <w:tcPr>
            <w:tcW w:w="740" w:type="dxa"/>
            <w:vAlign w:val="bottom"/>
            <w:tcBorders>
              <w:left w:val="single" w:sz="8" w:color="auto"/>
            </w:tcBorders>
          </w:tcPr>
          <w:p>
            <w:pPr>
              <w:spacing w:after="0"/>
              <w:rPr>
                <w:sz w:val="17"/>
                <w:szCs w:val="17"/>
                <w:color w:val="auto"/>
              </w:rPr>
            </w:pPr>
          </w:p>
        </w:tc>
        <w:tc>
          <w:tcPr>
            <w:tcW w:w="480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jc w:val="right"/>
              <w:spacing w:after="0" w:line="202" w:lineRule="exact"/>
              <w:rPr>
                <w:sz w:val="20"/>
                <w:szCs w:val="20"/>
                <w:color w:val="auto"/>
              </w:rPr>
            </w:pPr>
            <w:r>
              <w:rPr>
                <w:rFonts w:ascii="Arial" w:cs="Arial" w:eastAsia="Arial" w:hAnsi="Arial"/>
                <w:sz w:val="18"/>
                <w:szCs w:val="18"/>
                <w:color w:val="auto"/>
              </w:rPr>
              <w:t>d'héritiers  sont  considérées  comme  étant  détenues</w:t>
            </w:r>
          </w:p>
        </w:tc>
        <w:tc>
          <w:tcPr>
            <w:tcW w:w="0" w:type="dxa"/>
            <w:vAlign w:val="bottom"/>
          </w:tcPr>
          <w:p>
            <w:pPr>
              <w:spacing w:after="0"/>
              <w:rPr>
                <w:sz w:val="1"/>
                <w:szCs w:val="1"/>
                <w:color w:val="auto"/>
              </w:rPr>
            </w:pPr>
          </w:p>
        </w:tc>
      </w:tr>
      <w:tr>
        <w:trPr>
          <w:trHeight w:val="202"/>
        </w:trPr>
        <w:tc>
          <w:tcPr>
            <w:tcW w:w="740" w:type="dxa"/>
            <w:vAlign w:val="bottom"/>
            <w:tcBorders>
              <w:left w:val="single" w:sz="8" w:color="auto"/>
            </w:tcBorders>
          </w:tcPr>
          <w:p>
            <w:pPr>
              <w:ind w:left="480"/>
              <w:spacing w:after="0" w:line="202" w:lineRule="exact"/>
              <w:rPr>
                <w:sz w:val="20"/>
                <w:szCs w:val="20"/>
                <w:color w:val="auto"/>
              </w:rPr>
            </w:pPr>
            <w:r>
              <w:rPr>
                <w:rFonts w:ascii="Arial" w:cs="Arial" w:eastAsia="Arial" w:hAnsi="Arial"/>
                <w:sz w:val="18"/>
                <w:szCs w:val="18"/>
                <w:color w:val="auto"/>
              </w:rPr>
              <w:t>(ii)</w:t>
            </w:r>
          </w:p>
        </w:tc>
        <w:tc>
          <w:tcPr>
            <w:tcW w:w="4800" w:type="dxa"/>
            <w:vAlign w:val="bottom"/>
            <w:tcBorders>
              <w:right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shares  owned,  directly  or  indirectly,  by  or  for  a</w:t>
            </w:r>
          </w:p>
        </w:tc>
        <w:tc>
          <w:tcPr>
            <w:tcW w:w="220" w:type="dxa"/>
            <w:vAlign w:val="bottom"/>
            <w:tcBorders>
              <w:right w:val="single" w:sz="8" w:color="auto"/>
            </w:tcBorders>
          </w:tcPr>
          <w:p>
            <w:pPr>
              <w:spacing w:after="0"/>
              <w:rPr>
                <w:sz w:val="17"/>
                <w:szCs w:val="17"/>
                <w:color w:val="auto"/>
              </w:rPr>
            </w:pPr>
          </w:p>
        </w:tc>
        <w:tc>
          <w:tcPr>
            <w:tcW w:w="2700" w:type="dxa"/>
            <w:vAlign w:val="bottom"/>
          </w:tcPr>
          <w:p>
            <w:pPr>
              <w:ind w:left="820"/>
              <w:spacing w:after="0" w:line="202" w:lineRule="exact"/>
              <w:rPr>
                <w:sz w:val="20"/>
                <w:szCs w:val="20"/>
                <w:color w:val="auto"/>
              </w:rPr>
            </w:pPr>
            <w:r>
              <w:rPr>
                <w:rFonts w:ascii="Arial" w:cs="Arial" w:eastAsia="Arial" w:hAnsi="Arial"/>
                <w:sz w:val="18"/>
                <w:szCs w:val="18"/>
                <w:color w:val="auto"/>
              </w:rPr>
              <w:t>proportionnellement</w:t>
            </w:r>
          </w:p>
        </w:tc>
        <w:tc>
          <w:tcPr>
            <w:tcW w:w="320" w:type="dxa"/>
            <w:vAlign w:val="bottom"/>
          </w:tcPr>
          <w:p>
            <w:pPr>
              <w:jc w:val="center"/>
              <w:spacing w:after="0" w:line="202" w:lineRule="exact"/>
              <w:rPr>
                <w:sz w:val="20"/>
                <w:szCs w:val="20"/>
                <w:color w:val="auto"/>
              </w:rPr>
            </w:pPr>
            <w:r>
              <w:rPr>
                <w:rFonts w:ascii="Arial" w:cs="Arial" w:eastAsia="Arial" w:hAnsi="Arial"/>
                <w:sz w:val="18"/>
                <w:szCs w:val="18"/>
                <w:color w:val="auto"/>
                <w:w w:val="99"/>
              </w:rPr>
              <w:t>par</w:t>
            </w:r>
          </w:p>
        </w:tc>
        <w:tc>
          <w:tcPr>
            <w:tcW w:w="900" w:type="dxa"/>
            <w:vAlign w:val="bottom"/>
          </w:tcPr>
          <w:p>
            <w:pPr>
              <w:ind w:left="260"/>
              <w:spacing w:after="0" w:line="202" w:lineRule="exact"/>
              <w:rPr>
                <w:sz w:val="20"/>
                <w:szCs w:val="20"/>
                <w:color w:val="auto"/>
              </w:rPr>
            </w:pPr>
            <w:r>
              <w:rPr>
                <w:rFonts w:ascii="Arial" w:cs="Arial" w:eastAsia="Arial" w:hAnsi="Arial"/>
                <w:sz w:val="18"/>
                <w:szCs w:val="18"/>
                <w:color w:val="auto"/>
              </w:rPr>
              <w:t>leurs</w:t>
            </w:r>
          </w:p>
        </w:tc>
        <w:tc>
          <w:tcPr>
            <w:tcW w:w="1220" w:type="dxa"/>
            <w:vAlign w:val="bottom"/>
          </w:tcPr>
          <w:p>
            <w:pPr>
              <w:jc w:val="center"/>
              <w:ind w:right="133"/>
              <w:spacing w:after="0" w:line="202" w:lineRule="exact"/>
              <w:rPr>
                <w:sz w:val="20"/>
                <w:szCs w:val="20"/>
                <w:color w:val="auto"/>
              </w:rPr>
            </w:pPr>
            <w:r>
              <w:rPr>
                <w:rFonts w:ascii="Arial" w:cs="Arial" w:eastAsia="Arial" w:hAnsi="Arial"/>
                <w:sz w:val="18"/>
                <w:szCs w:val="18"/>
                <w:color w:val="auto"/>
                <w:w w:val="99"/>
              </w:rPr>
              <w:t>partenaires</w:t>
            </w:r>
          </w:p>
        </w:tc>
        <w:tc>
          <w:tcPr>
            <w:tcW w:w="3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ou</w:t>
            </w:r>
          </w:p>
        </w:tc>
        <w:tc>
          <w:tcPr>
            <w:tcW w:w="0" w:type="dxa"/>
            <w:vAlign w:val="bottom"/>
          </w:tcPr>
          <w:p>
            <w:pPr>
              <w:spacing w:after="0"/>
              <w:rPr>
                <w:sz w:val="1"/>
                <w:szCs w:val="1"/>
                <w:color w:val="auto"/>
              </w:rPr>
            </w:pPr>
          </w:p>
        </w:tc>
      </w:tr>
      <w:tr>
        <w:trPr>
          <w:trHeight w:val="203"/>
        </w:trPr>
        <w:tc>
          <w:tcPr>
            <w:tcW w:w="740" w:type="dxa"/>
            <w:vAlign w:val="bottom"/>
            <w:tcBorders>
              <w:left w:val="single" w:sz="8" w:color="auto"/>
            </w:tcBorders>
          </w:tcPr>
          <w:p>
            <w:pPr>
              <w:spacing w:after="0"/>
              <w:rPr>
                <w:sz w:val="17"/>
                <w:szCs w:val="17"/>
                <w:color w:val="auto"/>
              </w:rPr>
            </w:pPr>
          </w:p>
        </w:tc>
        <w:tc>
          <w:tcPr>
            <w:tcW w:w="4800" w:type="dxa"/>
            <w:vAlign w:val="bottom"/>
            <w:tcBorders>
              <w:right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corporation  will  be  considered  as  being  owned</w:t>
            </w:r>
          </w:p>
        </w:tc>
        <w:tc>
          <w:tcPr>
            <w:tcW w:w="220" w:type="dxa"/>
            <w:vAlign w:val="bottom"/>
            <w:tcBorders>
              <w:right w:val="single" w:sz="8" w:color="auto"/>
            </w:tcBorders>
          </w:tcPr>
          <w:p>
            <w:pPr>
              <w:spacing w:after="0"/>
              <w:rPr>
                <w:sz w:val="17"/>
                <w:szCs w:val="17"/>
                <w:color w:val="auto"/>
              </w:rPr>
            </w:pPr>
          </w:p>
        </w:tc>
        <w:tc>
          <w:tcPr>
            <w:tcW w:w="2700" w:type="dxa"/>
            <w:vAlign w:val="bottom"/>
          </w:tcPr>
          <w:p>
            <w:pPr>
              <w:ind w:left="820"/>
              <w:spacing w:after="0" w:line="202" w:lineRule="exact"/>
              <w:rPr>
                <w:sz w:val="20"/>
                <w:szCs w:val="20"/>
                <w:color w:val="auto"/>
              </w:rPr>
            </w:pPr>
            <w:r>
              <w:rPr>
                <w:rFonts w:ascii="Arial" w:cs="Arial" w:eastAsia="Arial" w:hAnsi="Arial"/>
                <w:sz w:val="18"/>
                <w:szCs w:val="18"/>
                <w:color w:val="auto"/>
              </w:rPr>
              <w:t>bénéficiaires; et</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40" w:type="dxa"/>
            <w:vAlign w:val="bottom"/>
            <w:tcBorders>
              <w:left w:val="single" w:sz="8" w:color="auto"/>
            </w:tcBorders>
          </w:tcPr>
          <w:p>
            <w:pPr>
              <w:spacing w:after="0"/>
              <w:rPr>
                <w:sz w:val="18"/>
                <w:szCs w:val="18"/>
                <w:color w:val="auto"/>
              </w:rPr>
            </w:pPr>
          </w:p>
        </w:tc>
        <w:tc>
          <w:tcPr>
            <w:tcW w:w="48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proportionately by any shareholder</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5"/>
            <w:vMerge w:val="restart"/>
          </w:tcPr>
          <w:p>
            <w:pPr>
              <w:jc w:val="right"/>
              <w:spacing w:after="0"/>
              <w:rPr>
                <w:sz w:val="20"/>
                <w:szCs w:val="20"/>
                <w:color w:val="auto"/>
              </w:rPr>
            </w:pPr>
            <w:r>
              <w:rPr>
                <w:rFonts w:ascii="Arial" w:cs="Arial" w:eastAsia="Arial" w:hAnsi="Arial"/>
                <w:sz w:val="18"/>
                <w:szCs w:val="18"/>
                <w:color w:val="auto"/>
              </w:rPr>
              <w:t>(ii)   les actions détenues, directement ou indirectement, par</w:t>
            </w:r>
          </w:p>
        </w:tc>
        <w:tc>
          <w:tcPr>
            <w:tcW w:w="0" w:type="dxa"/>
            <w:vAlign w:val="bottom"/>
          </w:tcPr>
          <w:p>
            <w:pPr>
              <w:spacing w:after="0"/>
              <w:rPr>
                <w:sz w:val="1"/>
                <w:szCs w:val="1"/>
                <w:color w:val="auto"/>
              </w:rPr>
            </w:pPr>
          </w:p>
        </w:tc>
      </w:tr>
      <w:tr>
        <w:trPr>
          <w:trHeight w:val="188"/>
        </w:trPr>
        <w:tc>
          <w:tcPr>
            <w:tcW w:w="740" w:type="dxa"/>
            <w:vAlign w:val="bottom"/>
            <w:tcBorders>
              <w:left w:val="single" w:sz="8" w:color="auto"/>
            </w:tcBorders>
          </w:tcPr>
          <w:p>
            <w:pPr>
              <w:spacing w:after="0"/>
              <w:rPr>
                <w:sz w:val="16"/>
                <w:szCs w:val="16"/>
                <w:color w:val="auto"/>
              </w:rPr>
            </w:pPr>
          </w:p>
        </w:tc>
        <w:tc>
          <w:tcPr>
            <w:tcW w:w="480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0" w:type="dxa"/>
            <w:vAlign w:val="bottom"/>
            <w:tcBorders>
              <w:left w:val="single" w:sz="8" w:color="auto"/>
            </w:tcBorders>
          </w:tcPr>
          <w:p>
            <w:pPr>
              <w:spacing w:after="0"/>
              <w:rPr>
                <w:sz w:val="17"/>
                <w:szCs w:val="17"/>
                <w:color w:val="auto"/>
              </w:rPr>
            </w:pPr>
          </w:p>
        </w:tc>
        <w:tc>
          <w:tcPr>
            <w:tcW w:w="480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5"/>
          </w:tcPr>
          <w:p>
            <w:pPr>
              <w:jc w:val="right"/>
              <w:spacing w:after="0" w:line="202" w:lineRule="exact"/>
              <w:rPr>
                <w:sz w:val="20"/>
                <w:szCs w:val="20"/>
                <w:color w:val="auto"/>
              </w:rPr>
            </w:pPr>
            <w:r>
              <w:rPr>
                <w:rFonts w:ascii="Arial" w:cs="Arial" w:eastAsia="Arial" w:hAnsi="Arial"/>
                <w:sz w:val="18"/>
                <w:szCs w:val="18"/>
                <w:color w:val="auto"/>
              </w:rPr>
              <w:t>ou pour une société seront considérées comme étant</w:t>
            </w:r>
          </w:p>
        </w:tc>
        <w:tc>
          <w:tcPr>
            <w:tcW w:w="0" w:type="dxa"/>
            <w:vAlign w:val="bottom"/>
          </w:tcPr>
          <w:p>
            <w:pPr>
              <w:spacing w:after="0"/>
              <w:rPr>
                <w:sz w:val="1"/>
                <w:szCs w:val="1"/>
                <w:color w:val="auto"/>
              </w:rPr>
            </w:pPr>
          </w:p>
        </w:tc>
      </w:tr>
      <w:tr>
        <w:trPr>
          <w:trHeight w:val="217"/>
        </w:trPr>
        <w:tc>
          <w:tcPr>
            <w:tcW w:w="740" w:type="dxa"/>
            <w:vAlign w:val="bottom"/>
            <w:tcBorders>
              <w:left w:val="single" w:sz="8" w:color="auto"/>
            </w:tcBorders>
          </w:tcPr>
          <w:p>
            <w:pPr>
              <w:spacing w:after="0"/>
              <w:rPr>
                <w:sz w:val="18"/>
                <w:szCs w:val="18"/>
                <w:color w:val="auto"/>
              </w:rPr>
            </w:pPr>
          </w:p>
        </w:tc>
        <w:tc>
          <w:tcPr>
            <w:tcW w:w="480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920" w:type="dxa"/>
            <w:vAlign w:val="bottom"/>
            <w:gridSpan w:val="3"/>
          </w:tcPr>
          <w:p>
            <w:pPr>
              <w:ind w:left="820"/>
              <w:spacing w:after="0"/>
              <w:rPr>
                <w:sz w:val="20"/>
                <w:szCs w:val="20"/>
                <w:color w:val="auto"/>
              </w:rPr>
            </w:pPr>
            <w:r>
              <w:rPr>
                <w:rFonts w:ascii="Arial" w:cs="Arial" w:eastAsia="Arial" w:hAnsi="Arial"/>
                <w:sz w:val="18"/>
                <w:szCs w:val="18"/>
                <w:color w:val="auto"/>
              </w:rPr>
              <w:t>détenues proportionnellement</w:t>
            </w:r>
          </w:p>
        </w:tc>
        <w:tc>
          <w:tcPr>
            <w:tcW w:w="12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740" w:type="dxa"/>
            <w:vAlign w:val="bottom"/>
            <w:tcBorders>
              <w:left w:val="single" w:sz="8" w:color="auto"/>
              <w:bottom w:val="single" w:sz="8" w:color="auto"/>
            </w:tcBorders>
          </w:tcPr>
          <w:p>
            <w:pPr>
              <w:spacing w:after="0"/>
              <w:rPr>
                <w:sz w:val="4"/>
                <w:szCs w:val="4"/>
                <w:color w:val="auto"/>
              </w:rPr>
            </w:pPr>
          </w:p>
        </w:tc>
        <w:tc>
          <w:tcPr>
            <w:tcW w:w="480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0"/>
        </w:trPr>
        <w:tc>
          <w:tcPr>
            <w:tcW w:w="7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7" w:right="339" w:bottom="1440" w:gutter="0" w:footer="0" w:header="0"/>
        </w:sectPr>
      </w:pPr>
    </w:p>
    <w:bookmarkStart w:id="46" w:name="page47"/>
    <w:bookmarkEnd w:id="46"/>
    <w:p>
      <w:pPr>
        <w:ind w:left="11011"/>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73660</wp:posOffset>
            </wp:positionV>
            <wp:extent cx="7132320" cy="4860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4860290"/>
                    </a:xfrm>
                    <a:prstGeom prst="rect">
                      <a:avLst/>
                    </a:prstGeom>
                    <a:noFill/>
                  </pic:spPr>
                </pic:pic>
              </a:graphicData>
            </a:graphic>
          </wp:anchor>
        </w:drawing>
      </w:r>
    </w:p>
    <w:p>
      <w:pPr>
        <w:sectPr>
          <w:pgSz w:w="11900" w:h="16838" w:orient="portrait"/>
          <w:cols w:equalWidth="0" w:num="1">
            <w:col w:w="11111"/>
          </w:cols>
          <w:pgMar w:left="409" w:top="247" w:right="379" w:bottom="1440" w:gutter="0" w:footer="0" w:header="0"/>
        </w:sectPr>
      </w:pPr>
    </w:p>
    <w:p>
      <w:pPr>
        <w:spacing w:after="0" w:line="196" w:lineRule="exact"/>
        <w:rPr>
          <w:sz w:val="20"/>
          <w:szCs w:val="20"/>
          <w:color w:val="auto"/>
        </w:rPr>
      </w:pPr>
    </w:p>
    <w:p>
      <w:pPr>
        <w:ind w:left="771" w:firstLine="40"/>
        <w:spacing w:after="0" w:line="246" w:lineRule="auto"/>
        <w:rPr>
          <w:sz w:val="20"/>
          <w:szCs w:val="20"/>
          <w:color w:val="auto"/>
        </w:rPr>
      </w:pPr>
      <w:r>
        <w:rPr>
          <w:rFonts w:ascii="Arial" w:cs="Arial" w:eastAsia="Arial" w:hAnsi="Arial"/>
          <w:sz w:val="18"/>
          <w:szCs w:val="18"/>
          <w:color w:val="auto"/>
        </w:rPr>
        <w:t>owning 50% or more of the outstanding voting shares of such corporation; and</w:t>
      </w:r>
    </w:p>
    <w:p>
      <w:pPr>
        <w:spacing w:after="0" w:line="183" w:lineRule="exact"/>
        <w:rPr>
          <w:sz w:val="20"/>
          <w:szCs w:val="20"/>
          <w:color w:val="auto"/>
        </w:rPr>
      </w:pPr>
    </w:p>
    <w:p>
      <w:pPr>
        <w:ind w:left="771" w:hanging="389"/>
        <w:spacing w:after="0" w:line="246" w:lineRule="auto"/>
        <w:tabs>
          <w:tab w:leader="none" w:pos="799" w:val="left"/>
        </w:tabs>
        <w:numPr>
          <w:ilvl w:val="1"/>
          <w:numId w:val="38"/>
        </w:numPr>
        <w:rPr>
          <w:rFonts w:ascii="Arial" w:cs="Arial" w:eastAsia="Arial" w:hAnsi="Arial"/>
          <w:sz w:val="18"/>
          <w:szCs w:val="18"/>
          <w:color w:val="auto"/>
        </w:rPr>
      </w:pPr>
      <w:r>
        <w:rPr>
          <w:rFonts w:ascii="Arial" w:cs="Arial" w:eastAsia="Arial" w:hAnsi="Arial"/>
          <w:sz w:val="18"/>
          <w:szCs w:val="18"/>
          <w:color w:val="auto"/>
        </w:rPr>
        <w:t>shares subject to options, warrants or other similar rights shall be deemed to be owned; and</w:t>
      </w:r>
    </w:p>
    <w:p>
      <w:pPr>
        <w:spacing w:after="0" w:line="183" w:lineRule="exact"/>
        <w:rPr>
          <w:rFonts w:ascii="Arial" w:cs="Arial" w:eastAsia="Arial" w:hAnsi="Arial"/>
          <w:sz w:val="18"/>
          <w:szCs w:val="18"/>
          <w:color w:val="auto"/>
        </w:rPr>
      </w:pPr>
    </w:p>
    <w:p>
      <w:pPr>
        <w:ind w:left="391" w:hanging="391"/>
        <w:spacing w:after="0" w:line="246"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shares of the Company directly, indirectly beneficially owned by such individual or entity; provided that</w:t>
      </w:r>
    </w:p>
    <w:p>
      <w:pPr>
        <w:spacing w:after="0" w:line="183" w:lineRule="exact"/>
        <w:rPr>
          <w:rFonts w:ascii="Arial" w:cs="Arial" w:eastAsia="Arial" w:hAnsi="Arial"/>
          <w:sz w:val="18"/>
          <w:szCs w:val="18"/>
          <w:color w:val="auto"/>
        </w:rPr>
      </w:pPr>
    </w:p>
    <w:p>
      <w:pPr>
        <w:jc w:val="both"/>
        <w:ind w:left="771" w:hanging="389"/>
        <w:spacing w:after="0" w:line="238" w:lineRule="auto"/>
        <w:tabs>
          <w:tab w:leader="none" w:pos="75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beneficial owner of a security includes any person who, directly or indirectly, through any contract, arrangement, understanding, relationship, or otherwise alone or together with other such persons has or shares:</w:t>
      </w:r>
    </w:p>
    <w:p>
      <w:pPr>
        <w:spacing w:after="0" w:line="191" w:lineRule="exact"/>
        <w:rPr>
          <w:rFonts w:ascii="Arial" w:cs="Arial" w:eastAsia="Arial" w:hAnsi="Arial"/>
          <w:sz w:val="18"/>
          <w:szCs w:val="18"/>
          <w:color w:val="auto"/>
        </w:rPr>
      </w:pPr>
    </w:p>
    <w:p>
      <w:pPr>
        <w:ind w:left="1151" w:hanging="385"/>
        <w:spacing w:after="0" w:line="246" w:lineRule="auto"/>
        <w:tabs>
          <w:tab w:leader="none" w:pos="1159" w:val="left"/>
        </w:tabs>
        <w:numPr>
          <w:ilvl w:val="2"/>
          <w:numId w:val="39"/>
        </w:numPr>
        <w:rPr>
          <w:rFonts w:ascii="Arial" w:cs="Arial" w:eastAsia="Arial" w:hAnsi="Arial"/>
          <w:sz w:val="18"/>
          <w:szCs w:val="18"/>
          <w:color w:val="auto"/>
        </w:rPr>
      </w:pPr>
      <w:r>
        <w:rPr>
          <w:rFonts w:ascii="Arial" w:cs="Arial" w:eastAsia="Arial" w:hAnsi="Arial"/>
          <w:sz w:val="18"/>
          <w:szCs w:val="18"/>
          <w:color w:val="auto"/>
        </w:rPr>
        <w:t>voting power which includes the power to vote, or to direct the voting of, such security; and/or</w:t>
      </w:r>
    </w:p>
    <w:p>
      <w:pPr>
        <w:spacing w:after="0" w:line="183" w:lineRule="exact"/>
        <w:rPr>
          <w:rFonts w:ascii="Arial" w:cs="Arial" w:eastAsia="Arial" w:hAnsi="Arial"/>
          <w:sz w:val="18"/>
          <w:szCs w:val="18"/>
          <w:color w:val="auto"/>
        </w:rPr>
      </w:pPr>
    </w:p>
    <w:p>
      <w:pPr>
        <w:jc w:val="both"/>
        <w:ind w:left="1151" w:hanging="385"/>
        <w:spacing w:after="0" w:line="246" w:lineRule="auto"/>
        <w:tabs>
          <w:tab w:leader="none" w:pos="1321" w:val="left"/>
        </w:tabs>
        <w:numPr>
          <w:ilvl w:val="2"/>
          <w:numId w:val="39"/>
        </w:numPr>
        <w:rPr>
          <w:rFonts w:ascii="Arial" w:cs="Arial" w:eastAsia="Arial" w:hAnsi="Arial"/>
          <w:sz w:val="18"/>
          <w:szCs w:val="18"/>
          <w:color w:val="auto"/>
        </w:rPr>
      </w:pPr>
      <w:r>
        <w:rPr>
          <w:rFonts w:ascii="Arial" w:cs="Arial" w:eastAsia="Arial" w:hAnsi="Arial"/>
          <w:sz w:val="18"/>
          <w:szCs w:val="18"/>
          <w:color w:val="auto"/>
        </w:rPr>
        <w:t>investment power which includes the power to dispose, or to direct the disposition of, such security.</w:t>
      </w:r>
    </w:p>
    <w:p>
      <w:pPr>
        <w:spacing w:after="0" w:line="183" w:lineRule="exact"/>
        <w:rPr>
          <w:sz w:val="20"/>
          <w:szCs w:val="20"/>
          <w:color w:val="auto"/>
        </w:rPr>
      </w:pPr>
    </w:p>
    <w:p>
      <w:pPr>
        <w:jc w:val="both"/>
        <w:ind w:left="771" w:hanging="389"/>
        <w:spacing w:after="0" w:line="236" w:lineRule="auto"/>
        <w:tabs>
          <w:tab w:leader="none" w:pos="8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person who, directly or indirectly, creates or uses a trust, proxy, power of attorney, pooling arrangement or any other contract, arrangement, or device with the purpose or effect of divesting such person of beneficial ownership of shares of the Company or preventing the vesting of such beneficial ownership as part of a plan or scheme to evade the provisions of these articles of association shall be deemed to be the beneficial owner of such shares.</w:t>
      </w:r>
    </w:p>
    <w:p>
      <w:pPr>
        <w:spacing w:after="0" w:line="193" w:lineRule="exact"/>
        <w:rPr>
          <w:rFonts w:ascii="Arial" w:cs="Arial" w:eastAsia="Arial" w:hAnsi="Arial"/>
          <w:sz w:val="18"/>
          <w:szCs w:val="18"/>
          <w:color w:val="auto"/>
        </w:rPr>
      </w:pPr>
    </w:p>
    <w:p>
      <w:pPr>
        <w:jc w:val="both"/>
        <w:ind w:left="771" w:hanging="389"/>
        <w:spacing w:after="0" w:line="238"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person shall be deemed to be the beneficial owner of shares if that person has the right to acquire beneficial ownership of such shares within 60 days, including but not limited to any right acquired: (A) through the exercise of any option, warrant or right; (B) through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780415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767" w:right="40" w:firstLine="53"/>
        <w:spacing w:after="0" w:line="246" w:lineRule="auto"/>
        <w:rPr>
          <w:sz w:val="20"/>
          <w:szCs w:val="20"/>
          <w:color w:val="auto"/>
        </w:rPr>
      </w:pPr>
      <w:r>
        <w:rPr>
          <w:rFonts w:ascii="Arial" w:cs="Arial" w:eastAsia="Arial" w:hAnsi="Arial"/>
          <w:sz w:val="18"/>
          <w:szCs w:val="18"/>
          <w:color w:val="auto"/>
        </w:rPr>
        <w:t>par tout actionnaire détenant 50% ou plus des actions avec droit de vote en circulation de cette société; et</w:t>
      </w:r>
    </w:p>
    <w:p>
      <w:pPr>
        <w:spacing w:after="0" w:line="183" w:lineRule="exact"/>
        <w:rPr>
          <w:sz w:val="20"/>
          <w:szCs w:val="20"/>
          <w:color w:val="auto"/>
        </w:rPr>
      </w:pPr>
    </w:p>
    <w:p>
      <w:pPr>
        <w:jc w:val="both"/>
        <w:ind w:left="767" w:right="40" w:hanging="385"/>
        <w:spacing w:after="0"/>
        <w:tabs>
          <w:tab w:leader="none" w:pos="997" w:val="left"/>
        </w:tabs>
        <w:numPr>
          <w:ilvl w:val="1"/>
          <w:numId w:val="41"/>
        </w:numPr>
        <w:rPr>
          <w:rFonts w:ascii="Arial" w:cs="Arial" w:eastAsia="Arial" w:hAnsi="Arial"/>
          <w:sz w:val="18"/>
          <w:szCs w:val="18"/>
          <w:color w:val="auto"/>
        </w:rPr>
      </w:pPr>
      <w:r>
        <w:rPr>
          <w:rFonts w:ascii="Arial" w:cs="Arial" w:eastAsia="Arial" w:hAnsi="Arial"/>
          <w:sz w:val="18"/>
          <w:szCs w:val="18"/>
          <w:color w:val="auto"/>
        </w:rPr>
        <w:t>les actions sujettes à des options, des bons de souscription ou autres droits semblables sont réputées être détenues; et</w:t>
      </w:r>
    </w:p>
    <w:p>
      <w:pPr>
        <w:spacing w:after="0" w:line="189" w:lineRule="exact"/>
        <w:rPr>
          <w:rFonts w:ascii="Arial" w:cs="Arial" w:eastAsia="Arial" w:hAnsi="Arial"/>
          <w:sz w:val="18"/>
          <w:szCs w:val="18"/>
          <w:color w:val="auto"/>
        </w:rPr>
      </w:pPr>
    </w:p>
    <w:p>
      <w:pPr>
        <w:jc w:val="both"/>
        <w:ind w:left="387" w:right="40" w:hanging="387"/>
        <w:spacing w:after="0"/>
        <w:tabs>
          <w:tab w:leader="none" w:pos="69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toutes actions de la société détenues directement, indirectement ou à son profit par cette personne physique ou morale, à condition que</w:t>
      </w:r>
    </w:p>
    <w:p>
      <w:pPr>
        <w:spacing w:after="0" w:line="189" w:lineRule="exact"/>
        <w:rPr>
          <w:rFonts w:ascii="Arial" w:cs="Arial" w:eastAsia="Arial" w:hAnsi="Arial"/>
          <w:sz w:val="18"/>
          <w:szCs w:val="18"/>
          <w:color w:val="auto"/>
        </w:rPr>
      </w:pPr>
    </w:p>
    <w:p>
      <w:pPr>
        <w:jc w:val="both"/>
        <w:ind w:left="767" w:right="40" w:hanging="385"/>
        <w:spacing w:after="0" w:line="238" w:lineRule="auto"/>
        <w:tabs>
          <w:tab w:leader="none" w:pos="1143" w:val="left"/>
        </w:tabs>
        <w:numPr>
          <w:ilvl w:val="1"/>
          <w:numId w:val="42"/>
        </w:numPr>
        <w:rPr>
          <w:rFonts w:ascii="Arial" w:cs="Arial" w:eastAsia="Arial" w:hAnsi="Arial"/>
          <w:sz w:val="18"/>
          <w:szCs w:val="18"/>
          <w:color w:val="auto"/>
        </w:rPr>
      </w:pPr>
      <w:r>
        <w:rPr>
          <w:rFonts w:ascii="Arial" w:cs="Arial" w:eastAsia="Arial" w:hAnsi="Arial"/>
          <w:sz w:val="18"/>
          <w:szCs w:val="18"/>
          <w:color w:val="auto"/>
        </w:rPr>
        <w:t>un bénéficiaire effectif d'un titre comprend toute personne qui, directement ou indirectement, par le biais d'un contrat, d'un accord, d'une entente, d'une relation, ou autrement, seul ou avec d'autres personnes a ou partage:</w:t>
      </w:r>
    </w:p>
    <w:p>
      <w:pPr>
        <w:spacing w:after="0" w:line="188" w:lineRule="exact"/>
        <w:rPr>
          <w:rFonts w:ascii="Arial" w:cs="Arial" w:eastAsia="Arial" w:hAnsi="Arial"/>
          <w:sz w:val="18"/>
          <w:szCs w:val="18"/>
          <w:color w:val="auto"/>
        </w:rPr>
      </w:pPr>
    </w:p>
    <w:p>
      <w:pPr>
        <w:ind w:left="1147" w:right="40" w:hanging="381"/>
        <w:spacing w:after="0" w:line="246" w:lineRule="auto"/>
        <w:tabs>
          <w:tab w:leader="none" w:pos="1155" w:val="left"/>
        </w:tabs>
        <w:numPr>
          <w:ilvl w:val="2"/>
          <w:numId w:val="42"/>
        </w:numPr>
        <w:rPr>
          <w:rFonts w:ascii="Arial" w:cs="Arial" w:eastAsia="Arial" w:hAnsi="Arial"/>
          <w:sz w:val="18"/>
          <w:szCs w:val="18"/>
          <w:color w:val="auto"/>
        </w:rPr>
      </w:pPr>
      <w:r>
        <w:rPr>
          <w:rFonts w:ascii="Arial" w:cs="Arial" w:eastAsia="Arial" w:hAnsi="Arial"/>
          <w:sz w:val="18"/>
          <w:szCs w:val="18"/>
          <w:color w:val="auto"/>
        </w:rPr>
        <w:t>le pouvoir de voter, y compris le pouvoir de voter ou de diriger le vote d'un tel titre; et/ou</w:t>
      </w:r>
    </w:p>
    <w:p>
      <w:pPr>
        <w:spacing w:after="0" w:line="183" w:lineRule="exact"/>
        <w:rPr>
          <w:rFonts w:ascii="Arial" w:cs="Arial" w:eastAsia="Arial" w:hAnsi="Arial"/>
          <w:sz w:val="18"/>
          <w:szCs w:val="18"/>
          <w:color w:val="auto"/>
        </w:rPr>
      </w:pPr>
    </w:p>
    <w:p>
      <w:pPr>
        <w:ind w:left="1147" w:right="40" w:hanging="381"/>
        <w:spacing w:after="0" w:line="246" w:lineRule="auto"/>
        <w:tabs>
          <w:tab w:leader="none" w:pos="1134" w:val="left"/>
        </w:tabs>
        <w:numPr>
          <w:ilvl w:val="2"/>
          <w:numId w:val="42"/>
        </w:numPr>
        <w:rPr>
          <w:rFonts w:ascii="Arial" w:cs="Arial" w:eastAsia="Arial" w:hAnsi="Arial"/>
          <w:sz w:val="18"/>
          <w:szCs w:val="18"/>
          <w:color w:val="auto"/>
        </w:rPr>
      </w:pPr>
      <w:r>
        <w:rPr>
          <w:rFonts w:ascii="Arial" w:cs="Arial" w:eastAsia="Arial" w:hAnsi="Arial"/>
          <w:sz w:val="18"/>
          <w:szCs w:val="18"/>
          <w:color w:val="auto"/>
        </w:rPr>
        <w:t>le pouvoir d'investir, y compris le pouvoir de disposer ou de diriger la disposition d'un tel titre.</w:t>
      </w:r>
    </w:p>
    <w:p>
      <w:pPr>
        <w:spacing w:after="0" w:line="183" w:lineRule="exact"/>
        <w:rPr>
          <w:sz w:val="20"/>
          <w:szCs w:val="20"/>
          <w:color w:val="auto"/>
        </w:rPr>
      </w:pPr>
    </w:p>
    <w:p>
      <w:pPr>
        <w:jc w:val="both"/>
        <w:ind w:left="767" w:right="40" w:hanging="385"/>
        <w:spacing w:after="0" w:line="236" w:lineRule="auto"/>
        <w:tabs>
          <w:tab w:leader="none" w:pos="8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Toute personne qui, directement ou indirectement, crée ou utilise une fiducie, une procuration, un pooling ou tout autre contrat, accord, ou un dispositif ayant pour objet ou pour effet de priver cette personne de la propriété effective des actions de la société ou d'en empêcher l'acquisition effective au moyen d'un plan ou programme visant à se soustraire aux dispositions de ces statuts est réputée être le propriétaire effectif de ces actions.</w:t>
      </w:r>
    </w:p>
    <w:p>
      <w:pPr>
        <w:spacing w:after="0" w:line="194" w:lineRule="exact"/>
        <w:rPr>
          <w:rFonts w:ascii="Arial" w:cs="Arial" w:eastAsia="Arial" w:hAnsi="Arial"/>
          <w:sz w:val="18"/>
          <w:szCs w:val="18"/>
          <w:color w:val="auto"/>
        </w:rPr>
      </w:pPr>
    </w:p>
    <w:p>
      <w:pPr>
        <w:jc w:val="both"/>
        <w:ind w:left="767" w:right="40" w:hanging="385"/>
        <w:spacing w:after="0" w:line="238" w:lineRule="auto"/>
        <w:tabs>
          <w:tab w:leader="none" w:pos="923"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Une personne est réputée être propriétaire effective d'actions si cette personne a le droit d'acquérir la propriété effective de ces actions dans les 60 jours, y compris, mais pas limité à un droit acquis: (A) au moyen de l'exercice d'une option, d'un bon ou d'un droit de</w:t>
      </w:r>
    </w:p>
    <w:p>
      <w:pPr>
        <w:sectPr>
          <w:pgSz w:w="11900" w:h="16838" w:orient="portrait"/>
          <w:cols w:equalWidth="0" w:num="2">
            <w:col w:w="5351" w:space="373"/>
            <w:col w:w="5387"/>
          </w:cols>
          <w:pgMar w:left="409" w:top="247" w:right="379" w:bottom="1440" w:gutter="0" w:footer="0" w:header="0"/>
          <w:type w:val="continuous"/>
        </w:sectPr>
      </w:pPr>
    </w:p>
    <w:bookmarkStart w:id="47" w:name="page48"/>
    <w:bookmarkEnd w:id="47"/>
    <w:tbl>
      <w:tblPr>
        <w:tblLayout w:type="fixed"/>
        <w:tblInd w:w="1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94"/>
        </w:trPr>
        <w:tc>
          <w:tcPr>
            <w:tcW w:w="5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9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conversion of a security; (C) pursuant to the power to</w:t>
            </w:r>
          </w:p>
        </w:tc>
        <w:tc>
          <w:tcPr>
            <w:tcW w:w="220" w:type="dxa"/>
            <w:vAlign w:val="bottom"/>
            <w:tcBorders>
              <w:righ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90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souscription; (B) par la conversion d'un titre; (C) en vertu</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60"/>
              <w:spacing w:after="0" w:line="202" w:lineRule="exact"/>
              <w:rPr>
                <w:sz w:val="20"/>
                <w:szCs w:val="20"/>
                <w:color w:val="auto"/>
              </w:rPr>
            </w:pPr>
            <w:r>
              <w:rPr>
                <w:rFonts w:ascii="Arial" w:cs="Arial" w:eastAsia="Arial" w:hAnsi="Arial"/>
                <w:sz w:val="18"/>
                <w:szCs w:val="18"/>
                <w:color w:val="auto"/>
              </w:rPr>
              <w:t>revoke  a  trust,  discretionary  account,  or  similar</w:t>
            </w:r>
          </w:p>
        </w:tc>
        <w:tc>
          <w:tcPr>
            <w:tcW w:w="2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900" w:type="dxa"/>
            <w:vAlign w:val="bottom"/>
            <w:tcBorders>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du   pouvoir   de   révoquer   une   fiducie,   compte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60"/>
              <w:spacing w:after="0" w:line="202" w:lineRule="exact"/>
              <w:rPr>
                <w:sz w:val="20"/>
                <w:szCs w:val="20"/>
                <w:color w:val="auto"/>
              </w:rPr>
            </w:pPr>
            <w:r>
              <w:rPr>
                <w:rFonts w:ascii="Arial" w:cs="Arial" w:eastAsia="Arial" w:hAnsi="Arial"/>
                <w:sz w:val="18"/>
                <w:szCs w:val="18"/>
                <w:color w:val="auto"/>
              </w:rPr>
              <w:t>arrangement;  or  (D)  pursuant  to  the  automatic</w:t>
            </w:r>
          </w:p>
        </w:tc>
        <w:tc>
          <w:tcPr>
            <w:tcW w:w="2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900" w:type="dxa"/>
            <w:vAlign w:val="bottom"/>
            <w:tcBorders>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discrétionnaire   ou   accord   semblable;   ou   (D)</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60"/>
              <w:spacing w:after="0" w:line="202" w:lineRule="exact"/>
              <w:rPr>
                <w:sz w:val="20"/>
                <w:szCs w:val="20"/>
                <w:color w:val="auto"/>
              </w:rPr>
            </w:pPr>
            <w:r>
              <w:rPr>
                <w:rFonts w:ascii="Arial" w:cs="Arial" w:eastAsia="Arial" w:hAnsi="Arial"/>
                <w:sz w:val="18"/>
                <w:szCs w:val="18"/>
                <w:color w:val="auto"/>
              </w:rPr>
              <w:t>termination of a trust, discretionary account or similar</w:t>
            </w:r>
          </w:p>
        </w:tc>
        <w:tc>
          <w:tcPr>
            <w:tcW w:w="2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900" w:type="dxa"/>
            <w:vAlign w:val="bottom"/>
            <w:tcBorders>
              <w:right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conformément à la résiliation automatique d'une fiducie,</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ind w:left="860"/>
              <w:spacing w:after="0"/>
              <w:rPr>
                <w:sz w:val="20"/>
                <w:szCs w:val="20"/>
                <w:color w:val="auto"/>
              </w:rPr>
            </w:pPr>
            <w:r>
              <w:rPr>
                <w:rFonts w:ascii="Arial" w:cs="Arial" w:eastAsia="Arial" w:hAnsi="Arial"/>
                <w:sz w:val="18"/>
                <w:szCs w:val="18"/>
                <w:color w:val="auto"/>
              </w:rPr>
              <w:t>arrangement.</w:t>
            </w:r>
          </w:p>
        </w:tc>
        <w:tc>
          <w:tcPr>
            <w:tcW w:w="2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color w:val="auto"/>
              </w:rPr>
              <w:t>compte discrétionnaire ou accord semblable.</w:t>
            </w:r>
          </w:p>
        </w:tc>
        <w:tc>
          <w:tcPr>
            <w:tcW w:w="0" w:type="dxa"/>
            <w:vAlign w:val="bottom"/>
          </w:tcPr>
          <w:p>
            <w:pPr>
              <w:spacing w:after="0"/>
              <w:rPr>
                <w:sz w:val="1"/>
                <w:szCs w:val="1"/>
                <w:color w:val="auto"/>
              </w:rPr>
            </w:pPr>
          </w:p>
        </w:tc>
      </w:tr>
      <w:tr>
        <w:trPr>
          <w:trHeight w:val="392"/>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xml:space="preserve">The limit of 33 </w:t>
            </w:r>
            <w:r>
              <w:rPr>
                <w:rFonts w:ascii="Arial" w:cs="Arial" w:eastAsia="Arial" w:hAnsi="Arial"/>
                <w:sz w:val="29"/>
                <w:szCs w:val="29"/>
                <w:color w:val="auto"/>
                <w:vertAlign w:val="superscript"/>
              </w:rPr>
              <w:t>1</w:t>
            </w:r>
            <w:r>
              <w:rPr>
                <w:rFonts w:ascii="Arial" w:cs="Arial" w:eastAsia="Arial" w:hAnsi="Arial"/>
                <w:sz w:val="18"/>
                <w:szCs w:val="18"/>
                <w:color w:val="auto"/>
              </w:rPr>
              <w:t>/  % of the registered share capital also applies to</w:t>
            </w:r>
          </w:p>
        </w:tc>
        <w:tc>
          <w:tcPr>
            <w:tcW w:w="220" w:type="dxa"/>
            <w:vAlign w:val="bottom"/>
            <w:tcBorders>
              <w:right w:val="single" w:sz="8" w:color="auto"/>
            </w:tcBorders>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La</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 xml:space="preserve">limite de 33 </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36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 du capital-actions nominatif s'applique</w:t>
            </w:r>
          </w:p>
        </w:tc>
        <w:tc>
          <w:tcPr>
            <w:tcW w:w="0" w:type="dxa"/>
            <w:vAlign w:val="bottom"/>
          </w:tcPr>
          <w:p>
            <w:pPr>
              <w:spacing w:after="0"/>
              <w:rPr>
                <w:sz w:val="1"/>
                <w:szCs w:val="1"/>
                <w:color w:val="auto"/>
              </w:rPr>
            </w:pPr>
          </w:p>
        </w:tc>
      </w:tr>
      <w:tr>
        <w:trPr>
          <w:trHeight w:val="67"/>
        </w:trPr>
        <w:tc>
          <w:tcPr>
            <w:tcW w:w="5540" w:type="dxa"/>
            <w:vAlign w:val="bottom"/>
            <w:tcBorders>
              <w:left w:val="single" w:sz="8" w:color="auto"/>
              <w:right w:val="single" w:sz="8" w:color="auto"/>
            </w:tcBorders>
          </w:tcPr>
          <w:p>
            <w:pPr>
              <w:ind w:left="1440"/>
              <w:spacing w:after="0" w:line="67" w:lineRule="exact"/>
              <w:rPr>
                <w:sz w:val="20"/>
                <w:szCs w:val="20"/>
                <w:color w:val="auto"/>
              </w:rPr>
            </w:pPr>
            <w:r>
              <w:rPr>
                <w:rFonts w:ascii="Arial" w:cs="Arial" w:eastAsia="Arial" w:hAnsi="Arial"/>
                <w:sz w:val="7"/>
                <w:szCs w:val="7"/>
                <w:color w:val="auto"/>
              </w:rPr>
              <w:t>3</w:t>
            </w:r>
          </w:p>
        </w:tc>
        <w:tc>
          <w:tcPr>
            <w:tcW w:w="22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jc w:val="right"/>
              <w:spacing w:after="0" w:line="67" w:lineRule="exact"/>
              <w:rPr>
                <w:sz w:val="20"/>
                <w:szCs w:val="20"/>
                <w:color w:val="auto"/>
              </w:rPr>
            </w:pPr>
            <w:r>
              <w:rPr>
                <w:rFonts w:ascii="Arial" w:cs="Arial" w:eastAsia="Arial" w:hAnsi="Arial"/>
                <w:sz w:val="7"/>
                <w:szCs w:val="7"/>
                <w:color w:val="auto"/>
              </w:rPr>
              <w:t>3</w:t>
            </w:r>
          </w:p>
        </w:tc>
        <w:tc>
          <w:tcPr>
            <w:tcW w:w="36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subscription  for,  or  acquisition  of,  registered  shares  by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également à la souscription ou l'acquisition d'actions nominatives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exercising option or convertible rights arising from registered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par l'exercice d'options ou de droits convertibles découlant de titres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bearer securities or any other securities issued by the Company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nominatifs ou au porteur ou d'autres titres émis par la société ou</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third  parties,  as  well  as  by  means  of  exercising  purchased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par des tiers, ainsi que par le biais de l'exercice de droits de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preemptive rights arising from either registered or bearer shares.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souscription préférentiels achetés découlant d'actions nominatives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0"/>
              <w:spacing w:after="0" w:line="203" w:lineRule="exact"/>
              <w:rPr>
                <w:sz w:val="20"/>
                <w:szCs w:val="20"/>
                <w:color w:val="auto"/>
              </w:rPr>
            </w:pPr>
            <w:r>
              <w:rPr>
                <w:rFonts w:ascii="Arial" w:cs="Arial" w:eastAsia="Arial" w:hAnsi="Arial"/>
                <w:sz w:val="15"/>
                <w:szCs w:val="15"/>
                <w:color w:val="auto"/>
              </w:rPr>
              <w:t xml:space="preserve">The registered shares exceeding the limit of 33 </w:t>
            </w:r>
            <w:r>
              <w:rPr>
                <w:rFonts w:ascii="Arial" w:cs="Arial" w:eastAsia="Arial" w:hAnsi="Arial"/>
                <w:sz w:val="23"/>
                <w:szCs w:val="23"/>
                <w:color w:val="auto"/>
                <w:vertAlign w:val="superscript"/>
              </w:rPr>
              <w:t>1</w:t>
            </w:r>
            <w:r>
              <w:rPr>
                <w:rFonts w:ascii="Arial" w:cs="Arial" w:eastAsia="Arial" w:hAnsi="Arial"/>
                <w:sz w:val="15"/>
                <w:szCs w:val="15"/>
                <w:color w:val="auto"/>
              </w:rPr>
              <w:t>/</w:t>
            </w:r>
            <w:r>
              <w:rPr>
                <w:rFonts w:ascii="Arial" w:cs="Arial" w:eastAsia="Arial" w:hAnsi="Arial"/>
                <w:sz w:val="23"/>
                <w:szCs w:val="23"/>
                <w:color w:val="auto"/>
                <w:vertAlign w:val="subscript"/>
              </w:rPr>
              <w:t>3</w:t>
            </w:r>
            <w:r>
              <w:rPr>
                <w:rFonts w:ascii="Arial" w:cs="Arial" w:eastAsia="Arial" w:hAnsi="Arial"/>
                <w:sz w:val="15"/>
                <w:szCs w:val="15"/>
                <w:color w:val="auto"/>
              </w:rPr>
              <w:t xml:space="preserve"> % shall be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4"/>
          </w:tcPr>
          <w:p>
            <w:pPr>
              <w:ind w:left="60"/>
              <w:spacing w:after="0" w:line="203" w:lineRule="exact"/>
              <w:rPr>
                <w:sz w:val="20"/>
                <w:szCs w:val="20"/>
                <w:color w:val="auto"/>
              </w:rPr>
            </w:pPr>
            <w:r>
              <w:rPr>
                <w:rFonts w:ascii="Arial" w:cs="Arial" w:eastAsia="Arial" w:hAnsi="Arial"/>
                <w:sz w:val="18"/>
                <w:szCs w:val="18"/>
                <w:color w:val="auto"/>
              </w:rPr>
              <w:t>ou au porteur. Les actions nominatives dépassant la limite de 33</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entered in the share register as shares without voting rights.</w:t>
            </w:r>
          </w:p>
        </w:tc>
        <w:tc>
          <w:tcPr>
            <w:tcW w:w="220" w:type="dxa"/>
            <w:vAlign w:val="bottom"/>
            <w:tcBorders>
              <w:right w:val="single" w:sz="8" w:color="auto"/>
            </w:tcBorders>
          </w:tcPr>
          <w:p>
            <w:pPr>
              <w:spacing w:after="0"/>
              <w:rPr>
                <w:sz w:val="17"/>
                <w:szCs w:val="17"/>
                <w:color w:val="auto"/>
              </w:rPr>
            </w:pPr>
          </w:p>
        </w:tc>
        <w:tc>
          <w:tcPr>
            <w:tcW w:w="320" w:type="dxa"/>
            <w:vAlign w:val="bottom"/>
          </w:tcPr>
          <w:p>
            <w:pPr>
              <w:ind w:left="60"/>
              <w:spacing w:after="0" w:line="202" w:lineRule="exact"/>
              <w:rPr>
                <w:sz w:val="20"/>
                <w:szCs w:val="20"/>
                <w:color w:val="auto"/>
              </w:rPr>
            </w:pPr>
            <w:r>
              <w:rPr>
                <w:rFonts w:ascii="Arial" w:cs="Arial" w:eastAsia="Arial" w:hAnsi="Arial"/>
                <w:sz w:val="12"/>
                <w:szCs w:val="12"/>
                <w:color w:val="auto"/>
              </w:rPr>
              <w:t>1</w:t>
            </w:r>
            <w:r>
              <w:rPr>
                <w:rFonts w:ascii="Arial" w:cs="Arial" w:eastAsia="Arial" w:hAnsi="Arial"/>
                <w:sz w:val="23"/>
                <w:szCs w:val="23"/>
                <w:color w:val="auto"/>
                <w:vertAlign w:val="subscript"/>
              </w:rPr>
              <w:t>/</w:t>
            </w:r>
          </w:p>
        </w:tc>
        <w:tc>
          <w:tcPr>
            <w:tcW w:w="2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sont inscrites</w:t>
            </w:r>
          </w:p>
        </w:tc>
        <w:tc>
          <w:tcPr>
            <w:tcW w:w="366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dans le registre des actions comme des</w:t>
            </w:r>
          </w:p>
        </w:tc>
        <w:tc>
          <w:tcPr>
            <w:tcW w:w="0" w:type="dxa"/>
            <w:vAlign w:val="bottom"/>
          </w:tcPr>
          <w:p>
            <w:pPr>
              <w:spacing w:after="0"/>
              <w:rPr>
                <w:sz w:val="1"/>
                <w:szCs w:val="1"/>
                <w:color w:val="auto"/>
              </w:rPr>
            </w:pPr>
          </w:p>
        </w:tc>
      </w:tr>
      <w:tr>
        <w:trPr>
          <w:trHeight w:val="67"/>
        </w:trPr>
        <w:tc>
          <w:tcPr>
            <w:tcW w:w="5540" w:type="dxa"/>
            <w:vAlign w:val="bottom"/>
            <w:tcBorders>
              <w:left w:val="single" w:sz="8" w:color="auto"/>
              <w:right w:val="single" w:sz="8" w:color="auto"/>
            </w:tcBorders>
            <w:vMerge w:val="continue"/>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320" w:type="dxa"/>
            <w:vAlign w:val="bottom"/>
          </w:tcPr>
          <w:p>
            <w:pPr>
              <w:ind w:left="180"/>
              <w:spacing w:after="0" w:line="67" w:lineRule="exact"/>
              <w:rPr>
                <w:sz w:val="20"/>
                <w:szCs w:val="20"/>
                <w:color w:val="auto"/>
              </w:rPr>
            </w:pPr>
            <w:r>
              <w:rPr>
                <w:rFonts w:ascii="Arial" w:cs="Arial" w:eastAsia="Arial" w:hAnsi="Arial"/>
                <w:sz w:val="7"/>
                <w:szCs w:val="7"/>
                <w:color w:val="auto"/>
              </w:rPr>
              <w:t>3</w:t>
            </w: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6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actions sans droit de vote.</w:t>
            </w: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Board of Directors may in special cases approve exceptions to</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Le  conseil  d'administration  peut  dans  des  cas  particuliers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above  regulations.  The  Board  of  Directors  is  in  addition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approuver des exceptions aux règles précitées. Il est en outre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authorized, after due consultation with the person concerned, to</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autorisé,  après  consultation  avec  la  personne  concernée,  de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delete with retroactive effect entries in the share register which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supprimer avec effet rétroactif des inscriptions du registre des</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were effected on the basis of false information.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actions qui ont été effectuées sur la base de fausses informations.</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490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5  Share Certificates and Intermediated Securities</w:t>
            </w:r>
          </w:p>
        </w:tc>
        <w:tc>
          <w:tcPr>
            <w:tcW w:w="220" w:type="dxa"/>
            <w:vAlign w:val="bottom"/>
            <w:tcBorders>
              <w:right w:val="single" w:sz="8" w:color="auto"/>
            </w:tcBorders>
          </w:tcPr>
          <w:p>
            <w:pPr>
              <w:spacing w:after="0"/>
              <w:rPr>
                <w:sz w:val="24"/>
                <w:szCs w:val="24"/>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b w:val="1"/>
                <w:bCs w:val="1"/>
                <w:color w:val="auto"/>
              </w:rPr>
              <w:t>Art. 5</w:t>
            </w:r>
          </w:p>
        </w:tc>
        <w:tc>
          <w:tcPr>
            <w:tcW w:w="4900" w:type="dxa"/>
            <w:vAlign w:val="bottom"/>
            <w:tcBorders>
              <w:right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Certificats d'actions et titres intermédiés</w:t>
            </w: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Company may issue registered shares in the form of single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La société peut émettre des actions nominatives sous forme de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certificates, global certificates and uncertificated securities. Under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certificats  individuels,  de  certificats  globaux  et  de  titres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conditions set forth by statutory law, the Company may convert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dématérialisés. Dans les conditions prévues par la loi, la société</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its registered shares from one form into another form at any time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peut convertir ses actions nominatives d'une forme en une autre</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and without the approval of the shareholders.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forme, à tout moment et sans l'approbation des actionnaires.</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shareholder has no right to demand a conversion of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L'actionnaire n'a pas le droit d'exiger une conversion d'actions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registered shares. Each shareholder may, however, at any time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nominatives. Chaque actionnaire peut toutefois, à tout moment,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request a written confirmation from the Company of the registered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demander  une  confirmation  écrite  de  la  société  du  nombres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shares held by such shareholder, as reflected in the share register.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4"/>
          </w:tcPr>
          <w:p>
            <w:pPr>
              <w:ind w:left="60"/>
              <w:spacing w:after="0" w:line="202" w:lineRule="exact"/>
              <w:rPr>
                <w:sz w:val="20"/>
                <w:szCs w:val="20"/>
                <w:color w:val="auto"/>
              </w:rPr>
            </w:pPr>
            <w:r>
              <w:rPr>
                <w:rFonts w:ascii="Arial" w:cs="Arial" w:eastAsia="Arial" w:hAnsi="Arial"/>
                <w:sz w:val="18"/>
                <w:szCs w:val="18"/>
                <w:color w:val="auto"/>
              </w:rPr>
              <w:t>d'actions  nominatives  détenues  par  cet  actionnaire  telles</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4"/>
          </w:tcPr>
          <w:p>
            <w:pPr>
              <w:ind w:left="60"/>
              <w:spacing w:after="0"/>
              <w:rPr>
                <w:sz w:val="20"/>
                <w:szCs w:val="20"/>
                <w:color w:val="auto"/>
              </w:rPr>
            </w:pPr>
            <w:r>
              <w:rPr>
                <w:rFonts w:ascii="Arial" w:cs="Arial" w:eastAsia="Arial" w:hAnsi="Arial"/>
                <w:sz w:val="18"/>
                <w:szCs w:val="18"/>
                <w:color w:val="auto"/>
              </w:rPr>
              <w:t>qu'inscrites au registre du commerce.</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0"/>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7" w:right="339" w:bottom="1440" w:gutter="0" w:footer="0" w:header="0"/>
        </w:sectPr>
      </w:pPr>
    </w:p>
    <w:bookmarkStart w:id="48" w:name="page49"/>
    <w:bookmarkEnd w:id="4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60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40" w:type="dxa"/>
            <w:vAlign w:val="bottom"/>
          </w:tcPr>
          <w:p>
            <w:pPr>
              <w:ind w:left="4700"/>
              <w:spacing w:after="0"/>
              <w:rPr>
                <w:sz w:val="20"/>
                <w:szCs w:val="20"/>
                <w:color w:val="auto"/>
              </w:rPr>
            </w:pPr>
            <w:r>
              <w:rPr>
                <w:rFonts w:ascii="Arial" w:cs="Arial" w:eastAsia="Arial" w:hAnsi="Arial"/>
                <w:sz w:val="18"/>
                <w:szCs w:val="18"/>
                <w:color w:val="auto"/>
                <w:w w:val="99"/>
              </w:rPr>
              <w:t>10</w:t>
            </w:r>
          </w:p>
        </w:tc>
      </w:tr>
      <w:tr>
        <w:trPr>
          <w:trHeight w:val="94"/>
        </w:trPr>
        <w:tc>
          <w:tcPr>
            <w:tcW w:w="554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gridSpan w:val="2"/>
          </w:tcPr>
          <w:p>
            <w:pPr>
              <w:spacing w:after="0"/>
              <w:rPr>
                <w:sz w:val="8"/>
                <w:szCs w:val="8"/>
                <w:color w:val="auto"/>
              </w:rPr>
            </w:pPr>
          </w:p>
        </w:tc>
      </w:tr>
      <w:tr>
        <w:trPr>
          <w:trHeight w:val="263"/>
        </w:trPr>
        <w:tc>
          <w:tcPr>
            <w:tcW w:w="55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The transfer of intermediated securities and the pledging of these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transfert des titres intermédiés et la mise en gage de ces titres</w:t>
            </w:r>
          </w:p>
        </w:tc>
      </w:tr>
      <w:tr>
        <w:trPr>
          <w:trHeight w:val="203"/>
        </w:trPr>
        <w:tc>
          <w:tcPr>
            <w:tcW w:w="5540" w:type="dxa"/>
            <w:vAlign w:val="bottom"/>
            <w:tcBorders>
              <w:left w:val="single" w:sz="8" w:color="auto"/>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intermediated securities shall be based on the provisions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intermédiés suivent les dispositions de la Loi fédérale sur les titres</w:t>
            </w:r>
          </w:p>
        </w:tc>
      </w:tr>
      <w:tr>
        <w:trPr>
          <w:trHeight w:val="203"/>
        </w:trPr>
        <w:tc>
          <w:tcPr>
            <w:tcW w:w="5540" w:type="dxa"/>
            <w:vAlign w:val="bottom"/>
            <w:tcBorders>
              <w:left w:val="single" w:sz="8" w:color="auto"/>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Swiss Federal Intermediated Securities Act. Transfer of propriety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intermédiés. Le transfert de propriété à titre de sûreté par cession</w:t>
            </w:r>
          </w:p>
        </w:tc>
      </w:tr>
      <w:tr>
        <w:trPr>
          <w:trHeight w:val="217"/>
        </w:trPr>
        <w:tc>
          <w:tcPr>
            <w:tcW w:w="55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as collateral by means of written assignment are not permitted.</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écrite n'est pas autorisé.</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Art. 6   Exercise of Shareholders Rights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6   Exercice des droits des actionnaires</w:t>
            </w:r>
          </w:p>
        </w:tc>
      </w:tr>
      <w:tr>
        <w:trPr>
          <w:trHeight w:val="391"/>
        </w:trPr>
        <w:tc>
          <w:tcPr>
            <w:tcW w:w="55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The shares are indivisible and the Company recognizes only one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actions sont indivisibles et la société ne reconnaît qu'un seul</w:t>
            </w:r>
          </w:p>
        </w:tc>
      </w:tr>
      <w:tr>
        <w:trPr>
          <w:trHeight w:val="217"/>
        </w:trPr>
        <w:tc>
          <w:tcPr>
            <w:tcW w:w="55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single representative per share.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représentant par action.</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The right to vote and the other rights pertaining to a registered</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droit de vote et les autres droits relatifs à une action nominative</w:t>
            </w:r>
          </w:p>
        </w:tc>
      </w:tr>
      <w:tr>
        <w:trPr>
          <w:trHeight w:val="203"/>
        </w:trPr>
        <w:tc>
          <w:tcPr>
            <w:tcW w:w="5540" w:type="dxa"/>
            <w:vAlign w:val="bottom"/>
            <w:tcBorders>
              <w:left w:val="single" w:sz="8" w:color="auto"/>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share may only be exercised by a shareholder, a usufructuary or a</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ne peut être exercé que par un actionnaire, un usufruitier ou un</w:t>
            </w:r>
          </w:p>
        </w:tc>
      </w:tr>
      <w:tr>
        <w:trPr>
          <w:trHeight w:val="203"/>
        </w:trPr>
        <w:tc>
          <w:tcPr>
            <w:tcW w:w="5540" w:type="dxa"/>
            <w:vAlign w:val="bottom"/>
            <w:tcBorders>
              <w:left w:val="single" w:sz="8" w:color="auto"/>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nominee who is registered with the right to vote in the share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candidat qui est inscrit avec le droit de vote dans le registre des</w:t>
            </w:r>
          </w:p>
        </w:tc>
      </w:tr>
      <w:tr>
        <w:trPr>
          <w:trHeight w:val="203"/>
        </w:trPr>
        <w:tc>
          <w:tcPr>
            <w:tcW w:w="5540" w:type="dxa"/>
            <w:vAlign w:val="bottom"/>
            <w:tcBorders>
              <w:left w:val="single" w:sz="8" w:color="auto"/>
              <w:right w:val="single" w:sz="8" w:color="auto"/>
            </w:tcBorders>
            <w:gridSpan w:val="2"/>
          </w:tcPr>
          <w:p>
            <w:pPr>
              <w:ind w:left="120"/>
              <w:spacing w:after="0" w:line="202" w:lineRule="exact"/>
              <w:rPr>
                <w:sz w:val="20"/>
                <w:szCs w:val="20"/>
                <w:color w:val="auto"/>
              </w:rPr>
            </w:pPr>
            <w:r>
              <w:rPr>
                <w:rFonts w:ascii="Arial" w:cs="Arial" w:eastAsia="Arial" w:hAnsi="Arial"/>
                <w:sz w:val="18"/>
                <w:szCs w:val="18"/>
                <w:color w:val="auto"/>
              </w:rPr>
              <w:t>register and by persons who are entitled by law to the voting rights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actions et par des personnes autorisées par la loi à exercer les</w:t>
            </w:r>
          </w:p>
        </w:tc>
      </w:tr>
      <w:tr>
        <w:trPr>
          <w:trHeight w:val="217"/>
        </w:trPr>
        <w:tc>
          <w:tcPr>
            <w:tcW w:w="55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of a share.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droits de vote d'une action.</w:t>
            </w: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r>
      <w:tr>
        <w:trPr>
          <w:trHeight w:val="277"/>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III.</w:t>
            </w: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CORPORATE STRUCTURE</w:t>
            </w:r>
          </w:p>
        </w:tc>
        <w:tc>
          <w:tcPr>
            <w:tcW w:w="220" w:type="dxa"/>
            <w:vAlign w:val="bottom"/>
            <w:tcBorders>
              <w:right w:val="single" w:sz="8" w:color="auto"/>
            </w:tcBorders>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18"/>
                <w:szCs w:val="18"/>
                <w:b w:val="1"/>
                <w:bCs w:val="1"/>
                <w:color w:val="auto"/>
              </w:rPr>
              <w:t>III.</w:t>
            </w:r>
          </w:p>
        </w:tc>
        <w:tc>
          <w:tcPr>
            <w:tcW w:w="494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STRUCTURE DE LA SOCIÉTÉ</w:t>
            </w: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r>
      <w:tr>
        <w:trPr>
          <w:trHeight w:val="277"/>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Art. 7</w:t>
            </w:r>
          </w:p>
        </w:tc>
        <w:tc>
          <w:tcPr>
            <w:tcW w:w="494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Organization</w:t>
            </w:r>
          </w:p>
        </w:tc>
        <w:tc>
          <w:tcPr>
            <w:tcW w:w="220" w:type="dxa"/>
            <w:vAlign w:val="bottom"/>
            <w:tcBorders>
              <w:right w:val="single" w:sz="8" w:color="auto"/>
            </w:tcBorders>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18"/>
                <w:szCs w:val="18"/>
                <w:b w:val="1"/>
                <w:bCs w:val="1"/>
                <w:color w:val="auto"/>
                <w:w w:val="95"/>
              </w:rPr>
              <w:t>Art. 7</w:t>
            </w:r>
          </w:p>
        </w:tc>
        <w:tc>
          <w:tcPr>
            <w:tcW w:w="494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Organisation</w:t>
            </w:r>
          </w:p>
        </w:tc>
      </w:tr>
      <w:tr>
        <w:trPr>
          <w:trHeight w:val="405"/>
        </w:trPr>
        <w:tc>
          <w:tcPr>
            <w:tcW w:w="55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The corporate bodies are: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organes de la société sont:</w:t>
            </w:r>
          </w:p>
        </w:tc>
      </w:tr>
      <w:tr>
        <w:trPr>
          <w:trHeight w:val="405"/>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A.</w:t>
            </w:r>
          </w:p>
        </w:tc>
        <w:tc>
          <w:tcPr>
            <w:tcW w:w="4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General Meeting;</w:t>
            </w:r>
          </w:p>
        </w:tc>
        <w:tc>
          <w:tcPr>
            <w:tcW w:w="220" w:type="dxa"/>
            <w:vAlign w:val="bottom"/>
            <w:tcBorders>
              <w:right w:val="single" w:sz="8" w:color="auto"/>
            </w:tcBorders>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rPr>
              <w:t>A.</w:t>
            </w:r>
          </w:p>
        </w:tc>
        <w:tc>
          <w:tcPr>
            <w:tcW w:w="4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L'assemblé générale;</w:t>
            </w:r>
          </w:p>
        </w:tc>
      </w:tr>
      <w:tr>
        <w:trPr>
          <w:trHeight w:val="405"/>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B.</w:t>
            </w:r>
          </w:p>
        </w:tc>
        <w:tc>
          <w:tcPr>
            <w:tcW w:w="4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Board of Directors;</w:t>
            </w:r>
          </w:p>
        </w:tc>
        <w:tc>
          <w:tcPr>
            <w:tcW w:w="220" w:type="dxa"/>
            <w:vAlign w:val="bottom"/>
            <w:tcBorders>
              <w:right w:val="single" w:sz="8" w:color="auto"/>
            </w:tcBorders>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rPr>
              <w:t>B.</w:t>
            </w:r>
          </w:p>
        </w:tc>
        <w:tc>
          <w:tcPr>
            <w:tcW w:w="4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w:t>
            </w:r>
          </w:p>
        </w:tc>
      </w:tr>
      <w:tr>
        <w:trPr>
          <w:trHeight w:val="405"/>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C.</w:t>
            </w:r>
          </w:p>
        </w:tc>
        <w:tc>
          <w:tcPr>
            <w:tcW w:w="4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Auditors.</w:t>
            </w:r>
          </w:p>
        </w:tc>
        <w:tc>
          <w:tcPr>
            <w:tcW w:w="220" w:type="dxa"/>
            <w:vAlign w:val="bottom"/>
            <w:tcBorders>
              <w:right w:val="single" w:sz="8" w:color="auto"/>
            </w:tcBorders>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rPr>
              <w:t>C.</w:t>
            </w:r>
          </w:p>
        </w:tc>
        <w:tc>
          <w:tcPr>
            <w:tcW w:w="49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l'organe de révision.</w:t>
            </w: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r>
      <w:tr>
        <w:trPr>
          <w:trHeight w:val="277"/>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IV.</w:t>
            </w:r>
          </w:p>
        </w:tc>
        <w:tc>
          <w:tcPr>
            <w:tcW w:w="494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THE GENERAL MEETING</w:t>
            </w:r>
          </w:p>
        </w:tc>
        <w:tc>
          <w:tcPr>
            <w:tcW w:w="220" w:type="dxa"/>
            <w:vAlign w:val="bottom"/>
            <w:tcBorders>
              <w:right w:val="single" w:sz="8" w:color="auto"/>
            </w:tcBorders>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18"/>
                <w:szCs w:val="18"/>
                <w:b w:val="1"/>
                <w:bCs w:val="1"/>
                <w:color w:val="auto"/>
              </w:rPr>
              <w:t>IV.</w:t>
            </w:r>
          </w:p>
        </w:tc>
        <w:tc>
          <w:tcPr>
            <w:tcW w:w="494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L'ASSEMBLÉE GÉNÉRALE</w:t>
            </w: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r>
      <w:tr>
        <w:trPr>
          <w:trHeight w:val="277"/>
        </w:trPr>
        <w:tc>
          <w:tcPr>
            <w:tcW w:w="60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Art. 8</w:t>
            </w:r>
          </w:p>
        </w:tc>
        <w:tc>
          <w:tcPr>
            <w:tcW w:w="494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Powers</w:t>
            </w:r>
          </w:p>
        </w:tc>
        <w:tc>
          <w:tcPr>
            <w:tcW w:w="220" w:type="dxa"/>
            <w:vAlign w:val="bottom"/>
            <w:tcBorders>
              <w:right w:val="single" w:sz="8" w:color="auto"/>
            </w:tcBorders>
          </w:tcPr>
          <w:p>
            <w:pPr>
              <w:spacing w:after="0"/>
              <w:rPr>
                <w:sz w:val="24"/>
                <w:szCs w:val="24"/>
                <w:color w:val="auto"/>
              </w:rPr>
            </w:pPr>
          </w:p>
        </w:tc>
        <w:tc>
          <w:tcPr>
            <w:tcW w:w="540" w:type="dxa"/>
            <w:vAlign w:val="bottom"/>
          </w:tcPr>
          <w:p>
            <w:pPr>
              <w:ind w:left="80"/>
              <w:spacing w:after="0"/>
              <w:rPr>
                <w:sz w:val="20"/>
                <w:szCs w:val="20"/>
                <w:color w:val="auto"/>
              </w:rPr>
            </w:pPr>
            <w:r>
              <w:rPr>
                <w:rFonts w:ascii="Arial" w:cs="Arial" w:eastAsia="Arial" w:hAnsi="Arial"/>
                <w:sz w:val="18"/>
                <w:szCs w:val="18"/>
                <w:b w:val="1"/>
                <w:bCs w:val="1"/>
                <w:color w:val="auto"/>
                <w:w w:val="95"/>
              </w:rPr>
              <w:t>Art. 8</w:t>
            </w:r>
          </w:p>
        </w:tc>
        <w:tc>
          <w:tcPr>
            <w:tcW w:w="4940" w:type="dxa"/>
            <w:vAlign w:val="bottom"/>
            <w:tcBorders>
              <w:right w:val="single" w:sz="8" w:color="auto"/>
            </w:tcBorders>
          </w:tcPr>
          <w:p>
            <w:pPr>
              <w:ind w:left="300"/>
              <w:spacing w:after="0"/>
              <w:rPr>
                <w:sz w:val="20"/>
                <w:szCs w:val="20"/>
                <w:color w:val="auto"/>
              </w:rPr>
            </w:pPr>
            <w:r>
              <w:rPr>
                <w:rFonts w:ascii="Arial" w:cs="Arial" w:eastAsia="Arial" w:hAnsi="Arial"/>
                <w:sz w:val="18"/>
                <w:szCs w:val="18"/>
                <w:b w:val="1"/>
                <w:bCs w:val="1"/>
                <w:color w:val="auto"/>
              </w:rPr>
              <w:t>Pouvoirs</w:t>
            </w:r>
          </w:p>
        </w:tc>
      </w:tr>
      <w:tr>
        <w:trPr>
          <w:trHeight w:val="391"/>
        </w:trPr>
        <w:tc>
          <w:tcPr>
            <w:tcW w:w="55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The General Meeting is the supreme body of the Company. It has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L'assemblée générale des actionnaires est le pouvoir suprême de</w:t>
            </w:r>
          </w:p>
        </w:tc>
      </w:tr>
      <w:tr>
        <w:trPr>
          <w:trHeight w:val="217"/>
        </w:trPr>
        <w:tc>
          <w:tcPr>
            <w:tcW w:w="554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the following non delegable powers: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 société. Elle a les droits intransmissibles suivants:</w:t>
            </w:r>
          </w:p>
        </w:tc>
      </w:tr>
      <w:tr>
        <w:trPr>
          <w:trHeight w:val="256"/>
        </w:trPr>
        <w:tc>
          <w:tcPr>
            <w:tcW w:w="554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940" w:type="dxa"/>
            <w:vAlign w:val="bottom"/>
            <w:tcBorders>
              <w:bottom w:val="single" w:sz="8" w:color="auto"/>
              <w:right w:val="single" w:sz="8" w:color="auto"/>
            </w:tcBorders>
          </w:tcPr>
          <w:p>
            <w:pPr>
              <w:spacing w:after="0"/>
              <w:rPr>
                <w:sz w:val="22"/>
                <w:szCs w:val="22"/>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   to adopt and amend the Articles of Association (Articles 651a,</w:t>
            </w:r>
          </w:p>
        </w:tc>
        <w:tc>
          <w:tcPr>
            <w:tcW w:w="220" w:type="dxa"/>
            <w:vAlign w:val="bottom"/>
            <w:tcBorders>
              <w:right w:val="single" w:sz="8" w:color="auto"/>
            </w:tcBorders>
          </w:tcPr>
          <w:p>
            <w:pPr>
              <w:spacing w:after="0"/>
              <w:rPr>
                <w:sz w:val="22"/>
                <w:szCs w:val="22"/>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a)</w:t>
            </w:r>
          </w:p>
        </w:tc>
        <w:tc>
          <w:tcPr>
            <w:tcW w:w="4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adapter et modifier les statuts (articles 651a, 652g, 653g et</w:t>
            </w:r>
          </w:p>
        </w:tc>
      </w:tr>
      <w:tr>
        <w:trPr>
          <w:trHeight w:val="217"/>
        </w:trPr>
        <w:tc>
          <w:tcPr>
            <w:tcW w:w="5540" w:type="dxa"/>
            <w:vAlign w:val="bottom"/>
            <w:tcBorders>
              <w:left w:val="single" w:sz="8" w:color="auto"/>
              <w:right w:val="single" w:sz="8" w:color="auto"/>
            </w:tcBorders>
            <w:gridSpan w:val="2"/>
          </w:tcPr>
          <w:p>
            <w:pPr>
              <w:ind w:left="500"/>
              <w:spacing w:after="0"/>
              <w:rPr>
                <w:sz w:val="20"/>
                <w:szCs w:val="20"/>
                <w:color w:val="auto"/>
              </w:rPr>
            </w:pPr>
            <w:r>
              <w:rPr>
                <w:rFonts w:ascii="Arial" w:cs="Arial" w:eastAsia="Arial" w:hAnsi="Arial"/>
                <w:sz w:val="18"/>
                <w:szCs w:val="18"/>
                <w:color w:val="auto"/>
              </w:rPr>
              <w:t>652g, 653g und 653i CO remain reserved);</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480"/>
              <w:spacing w:after="0"/>
              <w:rPr>
                <w:sz w:val="20"/>
                <w:szCs w:val="20"/>
                <w:color w:val="auto"/>
              </w:rPr>
            </w:pPr>
            <w:r>
              <w:rPr>
                <w:rFonts w:ascii="Arial" w:cs="Arial" w:eastAsia="Arial" w:hAnsi="Arial"/>
                <w:sz w:val="18"/>
                <w:szCs w:val="18"/>
                <w:color w:val="auto"/>
              </w:rPr>
              <w:t>653i CO sont réservés);</w:t>
            </w: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r>
      <w:tr>
        <w:trPr>
          <w:trHeight w:val="750"/>
        </w:trPr>
        <w:tc>
          <w:tcPr>
            <w:tcW w:w="6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49" w:name="page50"/>
    <w:bookmarkEnd w:id="4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95"/>
        </w:trPr>
        <w:tc>
          <w:tcPr>
            <w:tcW w:w="400" w:type="dxa"/>
            <w:vAlign w:val="bottom"/>
            <w:tcBorders>
              <w:bottom w:val="single" w:sz="8" w:color="auto"/>
            </w:tcBorders>
          </w:tcPr>
          <w:p>
            <w:pPr>
              <w:spacing w:after="0"/>
              <w:rPr>
                <w:sz w:val="8"/>
                <w:szCs w:val="8"/>
                <w:color w:val="auto"/>
              </w:rPr>
            </w:pPr>
          </w:p>
        </w:tc>
        <w:tc>
          <w:tcPr>
            <w:tcW w:w="51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gridSpan w:val="2"/>
          </w:tcPr>
          <w:p>
            <w:pPr>
              <w:spacing w:after="0"/>
              <w:rPr>
                <w:sz w:val="8"/>
                <w:szCs w:val="8"/>
                <w:color w:val="auto"/>
              </w:rPr>
            </w:pPr>
          </w:p>
        </w:tc>
      </w:tr>
      <w:tr>
        <w:trPr>
          <w:trHeight w:val="263"/>
        </w:trPr>
        <w:tc>
          <w:tcPr>
            <w:tcW w:w="4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51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to elect and remove the members of the Board of Directors,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b)   nommer et révoquer les membres du conseil d'administration,</w:t>
            </w:r>
          </w:p>
        </w:tc>
      </w:tr>
      <w:tr>
        <w:trPr>
          <w:trHeight w:val="203"/>
        </w:trPr>
        <w:tc>
          <w:tcPr>
            <w:tcW w:w="400" w:type="dxa"/>
            <w:vAlign w:val="bottom"/>
            <w:tcBorders>
              <w:left w:val="single" w:sz="8" w:color="auto"/>
            </w:tcBorders>
          </w:tcPr>
          <w:p>
            <w:pPr>
              <w:spacing w:after="0"/>
              <w:rPr>
                <w:sz w:val="17"/>
                <w:szCs w:val="17"/>
                <w:color w:val="auto"/>
              </w:rPr>
            </w:pPr>
          </w:p>
        </w:tc>
        <w:tc>
          <w:tcPr>
            <w:tcW w:w="5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the Chairman of the Board of Directors, the members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480"/>
              <w:spacing w:after="0" w:line="202" w:lineRule="exact"/>
              <w:rPr>
                <w:sz w:val="20"/>
                <w:szCs w:val="20"/>
                <w:color w:val="auto"/>
              </w:rPr>
            </w:pPr>
            <w:r>
              <w:rPr>
                <w:rFonts w:ascii="Arial" w:cs="Arial" w:eastAsia="Arial" w:hAnsi="Arial"/>
                <w:sz w:val="18"/>
                <w:szCs w:val="18"/>
                <w:color w:val="auto"/>
              </w:rPr>
              <w:t>le président du conseil d'administration, les membres du</w:t>
            </w:r>
          </w:p>
        </w:tc>
      </w:tr>
      <w:tr>
        <w:trPr>
          <w:trHeight w:val="203"/>
        </w:trPr>
        <w:tc>
          <w:tcPr>
            <w:tcW w:w="400" w:type="dxa"/>
            <w:vAlign w:val="bottom"/>
            <w:tcBorders>
              <w:left w:val="single" w:sz="8" w:color="auto"/>
            </w:tcBorders>
          </w:tcPr>
          <w:p>
            <w:pPr>
              <w:spacing w:after="0"/>
              <w:rPr>
                <w:sz w:val="17"/>
                <w:szCs w:val="17"/>
                <w:color w:val="auto"/>
              </w:rPr>
            </w:pPr>
          </w:p>
        </w:tc>
        <w:tc>
          <w:tcPr>
            <w:tcW w:w="5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Compensation Committee, the Auditors and the Independent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480"/>
              <w:spacing w:after="0" w:line="202" w:lineRule="exact"/>
              <w:rPr>
                <w:sz w:val="20"/>
                <w:szCs w:val="20"/>
                <w:color w:val="auto"/>
              </w:rPr>
            </w:pPr>
            <w:r>
              <w:rPr>
                <w:rFonts w:ascii="Arial" w:cs="Arial" w:eastAsia="Arial" w:hAnsi="Arial"/>
                <w:sz w:val="18"/>
                <w:szCs w:val="18"/>
                <w:color w:val="auto"/>
              </w:rPr>
              <w:t>comité de rémunération, l'organe de révision et le mandataire</w:t>
            </w:r>
          </w:p>
        </w:tc>
      </w:tr>
      <w:tr>
        <w:trPr>
          <w:trHeight w:val="217"/>
        </w:trPr>
        <w:tc>
          <w:tcPr>
            <w:tcW w:w="400" w:type="dxa"/>
            <w:vAlign w:val="bottom"/>
            <w:tcBorders>
              <w:left w:val="single" w:sz="8" w:color="auto"/>
            </w:tcBorders>
          </w:tcPr>
          <w:p>
            <w:pPr>
              <w:spacing w:after="0"/>
              <w:rPr>
                <w:sz w:val="18"/>
                <w:szCs w:val="18"/>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Proxy;</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480"/>
              <w:spacing w:after="0"/>
              <w:rPr>
                <w:sz w:val="20"/>
                <w:szCs w:val="20"/>
                <w:color w:val="auto"/>
              </w:rPr>
            </w:pPr>
            <w:r>
              <w:rPr>
                <w:rFonts w:ascii="Arial" w:cs="Arial" w:eastAsia="Arial" w:hAnsi="Arial"/>
                <w:sz w:val="18"/>
                <w:szCs w:val="18"/>
                <w:color w:val="auto"/>
              </w:rPr>
              <w:t>indépendant;</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   to approve the management report and the annual accounts</w:t>
            </w:r>
          </w:p>
        </w:tc>
        <w:tc>
          <w:tcPr>
            <w:tcW w:w="220" w:type="dxa"/>
            <w:vAlign w:val="bottom"/>
            <w:tcBorders>
              <w:right w:val="single" w:sz="8" w:color="auto"/>
            </w:tcBorders>
          </w:tcPr>
          <w:p>
            <w:pPr>
              <w:spacing w:after="0"/>
              <w:rPr>
                <w:sz w:val="22"/>
                <w:szCs w:val="22"/>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c)</w:t>
            </w:r>
          </w:p>
        </w:tc>
        <w:tc>
          <w:tcPr>
            <w:tcW w:w="4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approuver le rapport de gestion et les comptes annuels et</w:t>
            </w:r>
          </w:p>
        </w:tc>
      </w:tr>
      <w:tr>
        <w:trPr>
          <w:trHeight w:val="203"/>
        </w:trPr>
        <w:tc>
          <w:tcPr>
            <w:tcW w:w="400" w:type="dxa"/>
            <w:vAlign w:val="bottom"/>
            <w:tcBorders>
              <w:left w:val="single" w:sz="8" w:color="auto"/>
            </w:tcBorders>
          </w:tcPr>
          <w:p>
            <w:pPr>
              <w:spacing w:after="0"/>
              <w:rPr>
                <w:sz w:val="17"/>
                <w:szCs w:val="17"/>
                <w:color w:val="auto"/>
              </w:rPr>
            </w:pPr>
          </w:p>
        </w:tc>
        <w:tc>
          <w:tcPr>
            <w:tcW w:w="5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and to determine the allocation of profits, in particular with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480"/>
              <w:spacing w:after="0" w:line="202" w:lineRule="exact"/>
              <w:rPr>
                <w:sz w:val="20"/>
                <w:szCs w:val="20"/>
                <w:color w:val="auto"/>
              </w:rPr>
            </w:pPr>
            <w:r>
              <w:rPr>
                <w:rFonts w:ascii="Arial" w:cs="Arial" w:eastAsia="Arial" w:hAnsi="Arial"/>
                <w:sz w:val="18"/>
                <w:szCs w:val="18"/>
                <w:color w:val="auto"/>
              </w:rPr>
              <w:t>déterminer la répartition des bénéfices, en particulier en ce</w:t>
            </w:r>
          </w:p>
        </w:tc>
      </w:tr>
      <w:tr>
        <w:trPr>
          <w:trHeight w:val="217"/>
        </w:trPr>
        <w:tc>
          <w:tcPr>
            <w:tcW w:w="400" w:type="dxa"/>
            <w:vAlign w:val="bottom"/>
            <w:tcBorders>
              <w:left w:val="single" w:sz="8" w:color="auto"/>
            </w:tcBorders>
          </w:tcPr>
          <w:p>
            <w:pPr>
              <w:spacing w:after="0"/>
              <w:rPr>
                <w:sz w:val="18"/>
                <w:szCs w:val="18"/>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regard to dividends and bonus payments;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480"/>
              <w:spacing w:after="0"/>
              <w:rPr>
                <w:sz w:val="20"/>
                <w:szCs w:val="20"/>
                <w:color w:val="auto"/>
              </w:rPr>
            </w:pPr>
            <w:r>
              <w:rPr>
                <w:rFonts w:ascii="Arial" w:cs="Arial" w:eastAsia="Arial" w:hAnsi="Arial"/>
                <w:sz w:val="18"/>
                <w:szCs w:val="18"/>
                <w:color w:val="auto"/>
              </w:rPr>
              <w:t>qui concerne les dividendes et les bonus;</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d)   to discharge the members of the Board of Directors and of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d)   donner décharge aux membres du conseil d'administration et</w:t>
            </w:r>
          </w:p>
        </w:tc>
      </w:tr>
      <w:tr>
        <w:trPr>
          <w:trHeight w:val="217"/>
        </w:trPr>
        <w:tc>
          <w:tcPr>
            <w:tcW w:w="400" w:type="dxa"/>
            <w:vAlign w:val="bottom"/>
            <w:tcBorders>
              <w:left w:val="single" w:sz="8" w:color="auto"/>
            </w:tcBorders>
          </w:tcPr>
          <w:p>
            <w:pPr>
              <w:spacing w:after="0"/>
              <w:rPr>
                <w:sz w:val="18"/>
                <w:szCs w:val="18"/>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Executive Committee;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480"/>
              <w:spacing w:after="0"/>
              <w:rPr>
                <w:sz w:val="20"/>
                <w:szCs w:val="20"/>
                <w:color w:val="auto"/>
              </w:rPr>
            </w:pPr>
            <w:r>
              <w:rPr>
                <w:rFonts w:ascii="Arial" w:cs="Arial" w:eastAsia="Arial" w:hAnsi="Arial"/>
                <w:sz w:val="18"/>
                <w:szCs w:val="18"/>
                <w:color w:val="auto"/>
              </w:rPr>
              <w:t>au comité exécutif;</w:t>
            </w:r>
          </w:p>
        </w:tc>
      </w:tr>
      <w:tr>
        <w:trPr>
          <w:trHeight w:val="54"/>
        </w:trPr>
        <w:tc>
          <w:tcPr>
            <w:tcW w:w="400" w:type="dxa"/>
            <w:vAlign w:val="bottom"/>
            <w:tcBorders>
              <w:left w:val="single" w:sz="8" w:color="auto"/>
              <w:bottom w:val="single" w:sz="8" w:color="auto"/>
            </w:tcBorders>
          </w:tcPr>
          <w:p>
            <w:pPr>
              <w:spacing w:after="0"/>
              <w:rPr>
                <w:sz w:val="4"/>
                <w:szCs w:val="4"/>
                <w:color w:val="auto"/>
              </w:rPr>
            </w:pPr>
          </w:p>
        </w:tc>
        <w:tc>
          <w:tcPr>
            <w:tcW w:w="51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r>
      <w:tr>
        <w:trPr>
          <w:trHeight w:val="263"/>
        </w:trPr>
        <w:tc>
          <w:tcPr>
            <w:tcW w:w="40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e)</w:t>
            </w:r>
          </w:p>
        </w:tc>
        <w:tc>
          <w:tcPr>
            <w:tcW w:w="51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to approve the total compensation paid to the Board of</w:t>
            </w:r>
          </w:p>
        </w:tc>
        <w:tc>
          <w:tcPr>
            <w:tcW w:w="220" w:type="dxa"/>
            <w:vAlign w:val="bottom"/>
            <w:tcBorders>
              <w:right w:val="single" w:sz="8" w:color="auto"/>
            </w:tcBorders>
          </w:tcPr>
          <w:p>
            <w:pPr>
              <w:spacing w:after="0"/>
              <w:rPr>
                <w:sz w:val="22"/>
                <w:szCs w:val="22"/>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e)</w:t>
            </w:r>
          </w:p>
        </w:tc>
        <w:tc>
          <w:tcPr>
            <w:tcW w:w="494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approuver  la  rémunération  totale  versée  au  conseil</w:t>
            </w:r>
          </w:p>
        </w:tc>
      </w:tr>
      <w:tr>
        <w:trPr>
          <w:trHeight w:val="203"/>
        </w:trPr>
        <w:tc>
          <w:tcPr>
            <w:tcW w:w="400" w:type="dxa"/>
            <w:vAlign w:val="bottom"/>
            <w:tcBorders>
              <w:left w:val="single" w:sz="8" w:color="auto"/>
            </w:tcBorders>
          </w:tcPr>
          <w:p>
            <w:pPr>
              <w:spacing w:after="0"/>
              <w:rPr>
                <w:sz w:val="17"/>
                <w:szCs w:val="17"/>
                <w:color w:val="auto"/>
              </w:rPr>
            </w:pPr>
          </w:p>
        </w:tc>
        <w:tc>
          <w:tcPr>
            <w:tcW w:w="5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Directors and the Executive Committee as per Articles 32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480"/>
              <w:spacing w:after="0" w:line="202" w:lineRule="exact"/>
              <w:rPr>
                <w:sz w:val="20"/>
                <w:szCs w:val="20"/>
                <w:color w:val="auto"/>
              </w:rPr>
            </w:pPr>
            <w:r>
              <w:rPr>
                <w:rFonts w:ascii="Arial" w:cs="Arial" w:eastAsia="Arial" w:hAnsi="Arial"/>
                <w:sz w:val="18"/>
                <w:szCs w:val="18"/>
                <w:color w:val="auto"/>
              </w:rPr>
              <w:t>d'administration  et  au  comité  exécutif  conformément  aux</w:t>
            </w:r>
          </w:p>
        </w:tc>
      </w:tr>
      <w:tr>
        <w:trPr>
          <w:trHeight w:val="217"/>
        </w:trPr>
        <w:tc>
          <w:tcPr>
            <w:tcW w:w="400" w:type="dxa"/>
            <w:vAlign w:val="bottom"/>
            <w:tcBorders>
              <w:left w:val="single" w:sz="8" w:color="auto"/>
            </w:tcBorders>
          </w:tcPr>
          <w:p>
            <w:pPr>
              <w:spacing w:after="0"/>
              <w:rPr>
                <w:sz w:val="18"/>
                <w:szCs w:val="18"/>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33 below;</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480"/>
              <w:spacing w:after="0"/>
              <w:rPr>
                <w:sz w:val="20"/>
                <w:szCs w:val="20"/>
                <w:color w:val="auto"/>
              </w:rPr>
            </w:pPr>
            <w:r>
              <w:rPr>
                <w:rFonts w:ascii="Arial" w:cs="Arial" w:eastAsia="Arial" w:hAnsi="Arial"/>
                <w:sz w:val="18"/>
                <w:szCs w:val="18"/>
                <w:color w:val="auto"/>
              </w:rPr>
              <w:t>l'articles 32 et 33 ci-dessous;</w:t>
            </w:r>
          </w:p>
        </w:tc>
      </w:tr>
      <w:tr>
        <w:trPr>
          <w:trHeight w:val="54"/>
        </w:trPr>
        <w:tc>
          <w:tcPr>
            <w:tcW w:w="400" w:type="dxa"/>
            <w:vAlign w:val="bottom"/>
            <w:tcBorders>
              <w:left w:val="single" w:sz="8" w:color="auto"/>
              <w:bottom w:val="single" w:sz="8" w:color="auto"/>
            </w:tcBorders>
          </w:tcPr>
          <w:p>
            <w:pPr>
              <w:spacing w:after="0"/>
              <w:rPr>
                <w:sz w:val="4"/>
                <w:szCs w:val="4"/>
                <w:color w:val="auto"/>
              </w:rPr>
            </w:pPr>
          </w:p>
        </w:tc>
        <w:tc>
          <w:tcPr>
            <w:tcW w:w="51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r>
      <w:tr>
        <w:trPr>
          <w:trHeight w:val="263"/>
        </w:trPr>
        <w:tc>
          <w:tcPr>
            <w:tcW w:w="4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f)</w:t>
            </w:r>
          </w:p>
        </w:tc>
        <w:tc>
          <w:tcPr>
            <w:tcW w:w="51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to pass resolutions concerning all matters which are reserved</w:t>
            </w:r>
          </w:p>
        </w:tc>
        <w:tc>
          <w:tcPr>
            <w:tcW w:w="220" w:type="dxa"/>
            <w:vAlign w:val="bottom"/>
            <w:tcBorders>
              <w:right w:val="single" w:sz="8" w:color="auto"/>
            </w:tcBorders>
          </w:tcPr>
          <w:p>
            <w:pPr>
              <w:spacing w:after="0"/>
              <w:rPr>
                <w:sz w:val="22"/>
                <w:szCs w:val="22"/>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rPr>
              <w:t>f)</w:t>
            </w:r>
          </w:p>
        </w:tc>
        <w:tc>
          <w:tcPr>
            <w:tcW w:w="4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prendre les décisions sur toutes les affaires qui sont</w:t>
            </w:r>
          </w:p>
        </w:tc>
      </w:tr>
      <w:tr>
        <w:trPr>
          <w:trHeight w:val="203"/>
        </w:trPr>
        <w:tc>
          <w:tcPr>
            <w:tcW w:w="400" w:type="dxa"/>
            <w:vAlign w:val="bottom"/>
            <w:tcBorders>
              <w:left w:val="single" w:sz="8" w:color="auto"/>
            </w:tcBorders>
          </w:tcPr>
          <w:p>
            <w:pPr>
              <w:spacing w:after="0"/>
              <w:rPr>
                <w:sz w:val="17"/>
                <w:szCs w:val="17"/>
                <w:color w:val="auto"/>
              </w:rPr>
            </w:pPr>
          </w:p>
        </w:tc>
        <w:tc>
          <w:tcPr>
            <w:tcW w:w="51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to the authority of the General Meeting by law or by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480"/>
              <w:spacing w:after="0" w:line="202" w:lineRule="exact"/>
              <w:rPr>
                <w:sz w:val="20"/>
                <w:szCs w:val="20"/>
                <w:color w:val="auto"/>
              </w:rPr>
            </w:pPr>
            <w:r>
              <w:rPr>
                <w:rFonts w:ascii="Arial" w:cs="Arial" w:eastAsia="Arial" w:hAnsi="Arial"/>
                <w:sz w:val="18"/>
                <w:szCs w:val="18"/>
                <w:color w:val="auto"/>
              </w:rPr>
              <w:t>attribuées à l'assemblée générale par la loi ou les statuts.</w:t>
            </w:r>
          </w:p>
        </w:tc>
      </w:tr>
      <w:tr>
        <w:trPr>
          <w:trHeight w:val="217"/>
        </w:trPr>
        <w:tc>
          <w:tcPr>
            <w:tcW w:w="400" w:type="dxa"/>
            <w:vAlign w:val="bottom"/>
            <w:tcBorders>
              <w:left w:val="single" w:sz="8" w:color="auto"/>
            </w:tcBorders>
          </w:tcPr>
          <w:p>
            <w:pPr>
              <w:spacing w:after="0"/>
              <w:rPr>
                <w:sz w:val="18"/>
                <w:szCs w:val="18"/>
                <w:color w:val="auto"/>
              </w:rPr>
            </w:pPr>
          </w:p>
        </w:tc>
        <w:tc>
          <w:tcPr>
            <w:tcW w:w="51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Articles of Association.</w:t>
            </w:r>
          </w:p>
        </w:tc>
        <w:tc>
          <w:tcPr>
            <w:tcW w:w="2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940" w:type="dxa"/>
            <w:vAlign w:val="bottom"/>
            <w:tcBorders>
              <w:right w:val="single" w:sz="8" w:color="auto"/>
            </w:tcBorders>
          </w:tcPr>
          <w:p>
            <w:pPr>
              <w:spacing w:after="0"/>
              <w:rPr>
                <w:sz w:val="18"/>
                <w:szCs w:val="18"/>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9   Ordinary General Meeting</w:t>
            </w:r>
          </w:p>
        </w:tc>
        <w:tc>
          <w:tcPr>
            <w:tcW w:w="220" w:type="dxa"/>
            <w:vAlign w:val="bottom"/>
            <w:tcBorders>
              <w:right w:val="single" w:sz="8" w:color="auto"/>
            </w:tcBorders>
          </w:tcPr>
          <w:p>
            <w:pPr>
              <w:spacing w:after="0"/>
              <w:rPr>
                <w:sz w:val="24"/>
                <w:szCs w:val="24"/>
                <w:color w:val="auto"/>
              </w:rPr>
            </w:pPr>
          </w:p>
        </w:tc>
        <w:tc>
          <w:tcPr>
            <w:tcW w:w="540" w:type="dxa"/>
            <w:vAlign w:val="bottom"/>
          </w:tcPr>
          <w:p>
            <w:pPr>
              <w:ind w:left="60"/>
              <w:spacing w:after="0"/>
              <w:rPr>
                <w:sz w:val="20"/>
                <w:szCs w:val="20"/>
                <w:color w:val="auto"/>
              </w:rPr>
            </w:pPr>
            <w:r>
              <w:rPr>
                <w:rFonts w:ascii="Arial" w:cs="Arial" w:eastAsia="Arial" w:hAnsi="Arial"/>
                <w:sz w:val="18"/>
                <w:szCs w:val="18"/>
                <w:b w:val="1"/>
                <w:bCs w:val="1"/>
                <w:color w:val="auto"/>
                <w:w w:val="99"/>
              </w:rPr>
              <w:t>Art. 9</w:t>
            </w:r>
          </w:p>
        </w:tc>
        <w:tc>
          <w:tcPr>
            <w:tcW w:w="4940" w:type="dxa"/>
            <w:vAlign w:val="bottom"/>
            <w:tcBorders>
              <w:right w:val="single" w:sz="8" w:color="auto"/>
            </w:tcBorders>
          </w:tcPr>
          <w:p>
            <w:pPr>
              <w:jc w:val="right"/>
              <w:ind w:right="2010"/>
              <w:spacing w:after="0"/>
              <w:rPr>
                <w:sz w:val="20"/>
                <w:szCs w:val="20"/>
                <w:color w:val="auto"/>
              </w:rPr>
            </w:pPr>
            <w:r>
              <w:rPr>
                <w:rFonts w:ascii="Arial" w:cs="Arial" w:eastAsia="Arial" w:hAnsi="Arial"/>
                <w:sz w:val="18"/>
                <w:szCs w:val="18"/>
                <w:b w:val="1"/>
                <w:bCs w:val="1"/>
                <w:color w:val="auto"/>
              </w:rPr>
              <w:t>Assemblée générale ordinaire</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Ordinary General Meeting shall be held annually within six</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L'assemblée générale ordinaire aura lieu chaque année dans les</w:t>
            </w:r>
          </w:p>
        </w:tc>
      </w:tr>
      <w:tr>
        <w:trPr>
          <w:trHeight w:val="202"/>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months after the close of the business year at such time and at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six mois qui suivent la clôture de l'exercice à la date et à l'endroit,</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such location, which may be within or outside Switzerland, as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qui peut être en ou hors de la Suisse, tel que déterminé par le</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determined by the Board of Directors.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conseil d'administration.</w:t>
            </w:r>
          </w:p>
        </w:tc>
      </w:tr>
      <w:tr>
        <w:trPr>
          <w:trHeight w:val="256"/>
        </w:trPr>
        <w:tc>
          <w:tcPr>
            <w:tcW w:w="554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gridSpan w:val="2"/>
          </w:tcPr>
          <w:p>
            <w:pPr>
              <w:spacing w:after="0"/>
              <w:rPr>
                <w:sz w:val="22"/>
                <w:szCs w:val="22"/>
                <w:color w:val="auto"/>
              </w:rPr>
            </w:pPr>
          </w:p>
        </w:tc>
      </w:tr>
      <w:tr>
        <w:trPr>
          <w:trHeight w:val="27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10  Extraordinary General Meeting</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10  Assemblée générale extraordinaire</w:t>
            </w:r>
          </w:p>
        </w:tc>
      </w:tr>
      <w:tr>
        <w:trPr>
          <w:trHeight w:val="391"/>
        </w:trPr>
        <w:tc>
          <w:tcPr>
            <w:tcW w:w="400" w:type="dxa"/>
            <w:vAlign w:val="bottom"/>
            <w:tcBorders>
              <w:left w:val="single" w:sz="8" w:color="auto"/>
            </w:tcBorders>
          </w:tcPr>
          <w:p>
            <w:pPr>
              <w:spacing w:after="0"/>
              <w:rPr>
                <w:sz w:val="24"/>
                <w:szCs w:val="24"/>
                <w:color w:val="auto"/>
              </w:rPr>
            </w:pPr>
          </w:p>
        </w:tc>
        <w:tc>
          <w:tcPr>
            <w:tcW w:w="5140" w:type="dxa"/>
            <w:vAlign w:val="bottom"/>
            <w:tcBorders>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assemblées   générales   extraordinaires   peuvent   être</w:t>
            </w:r>
          </w:p>
        </w:tc>
      </w:tr>
      <w:tr>
        <w:trPr>
          <w:trHeight w:val="202"/>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Extraordinary General Meetings may be called by resolution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convoquées par décision de l'assemblée générale, l'organe de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General Meeting, the Auditors or the Board of Directors, or by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révision ou le conseil d'administration, ou par des actionnaires</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shareholders with voting powers, provided they represent at least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avec droit de vote, à condition qu'ils représentent au moins 10% du</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10% of the share capital and who submit (a)(1) a request signed by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capital-actions et qu'ils soumettent (a) (1) une demande signée par</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such shareholder(s) that specifies the item(s) to be included on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le(s)dit(s) actionnaire(s) qui spécifie les objets à faire figurer sur</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agenda, (2) the respective proposals of the shareholders and (3)</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l'ordre du jour, (2) les propositions respectives de ces actionnaires</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evidence of the required shareholdings recorded in the share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et (3) la preuve des participations requises inscrites dans le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register and (b) such other information as would be required to be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registre des actions et (b) les autres</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included in a proxy statement</w:t>
            </w:r>
          </w:p>
        </w:tc>
        <w:tc>
          <w:tcPr>
            <w:tcW w:w="22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4940" w:type="dxa"/>
            <w:vAlign w:val="bottom"/>
            <w:tcBorders>
              <w:right w:val="single" w:sz="8" w:color="auto"/>
            </w:tcBorders>
          </w:tcPr>
          <w:p>
            <w:pPr>
              <w:spacing w:after="0"/>
              <w:rPr>
                <w:sz w:val="18"/>
                <w:szCs w:val="18"/>
                <w:color w:val="auto"/>
              </w:rPr>
            </w:pPr>
          </w:p>
        </w:tc>
      </w:tr>
      <w:tr>
        <w:trPr>
          <w:trHeight w:val="257"/>
        </w:trPr>
        <w:tc>
          <w:tcPr>
            <w:tcW w:w="400" w:type="dxa"/>
            <w:vAlign w:val="bottom"/>
            <w:tcBorders>
              <w:left w:val="single" w:sz="8" w:color="auto"/>
              <w:bottom w:val="single" w:sz="8" w:color="auto"/>
            </w:tcBorders>
          </w:tcPr>
          <w:p>
            <w:pPr>
              <w:spacing w:after="0"/>
              <w:rPr>
                <w:sz w:val="22"/>
                <w:szCs w:val="22"/>
                <w:color w:val="auto"/>
              </w:rPr>
            </w:pPr>
          </w:p>
        </w:tc>
        <w:tc>
          <w:tcPr>
            <w:tcW w:w="514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940" w:type="dxa"/>
            <w:vAlign w:val="bottom"/>
            <w:tcBorders>
              <w:bottom w:val="single" w:sz="8" w:color="auto"/>
              <w:right w:val="single" w:sz="8" w:color="auto"/>
            </w:tcBorders>
          </w:tcPr>
          <w:p>
            <w:pPr>
              <w:spacing w:after="0"/>
              <w:rPr>
                <w:sz w:val="22"/>
                <w:szCs w:val="22"/>
                <w:color w:val="auto"/>
              </w:rPr>
            </w:pPr>
          </w:p>
        </w:tc>
      </w:tr>
      <w:tr>
        <w:trPr>
          <w:trHeight w:val="749"/>
        </w:trPr>
        <w:tc>
          <w:tcPr>
            <w:tcW w:w="4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50" w:name="page51"/>
    <w:bookmarkEnd w:id="5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95"/>
        </w:trPr>
        <w:tc>
          <w:tcPr>
            <w:tcW w:w="55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pursuant to the rules of the country where the Company's shares</w:t>
            </w:r>
          </w:p>
        </w:tc>
        <w:tc>
          <w:tcPr>
            <w:tcW w:w="24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informations qui doivent être mentionnées dans une déclaration</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are primarily listed.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(proxy statement) conformément aux règles du pays où les actions</w:t>
            </w:r>
          </w:p>
        </w:tc>
        <w:tc>
          <w:tcPr>
            <w:tcW w:w="0" w:type="dxa"/>
            <w:vAlign w:val="bottom"/>
          </w:tcPr>
          <w:p>
            <w:pPr>
              <w:spacing w:after="0"/>
              <w:rPr>
                <w:sz w:val="1"/>
                <w:szCs w:val="1"/>
                <w:color w:val="auto"/>
              </w:rPr>
            </w:pPr>
          </w:p>
        </w:tc>
      </w:tr>
      <w:tr>
        <w:trPr>
          <w:trHeight w:val="217"/>
        </w:trPr>
        <w:tc>
          <w:tcPr>
            <w:tcW w:w="5520" w:type="dxa"/>
            <w:vAlign w:val="bottom"/>
            <w:tcBorders>
              <w:left w:val="single" w:sz="8" w:color="auto"/>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 la société sont principalement cotées.</w:t>
            </w:r>
          </w:p>
        </w:tc>
        <w:tc>
          <w:tcPr>
            <w:tcW w:w="0" w:type="dxa"/>
            <w:vAlign w:val="bottom"/>
          </w:tcPr>
          <w:p>
            <w:pPr>
              <w:spacing w:after="0"/>
              <w:rPr>
                <w:sz w:val="1"/>
                <w:szCs w:val="1"/>
                <w:color w:val="auto"/>
              </w:rPr>
            </w:pPr>
          </w:p>
        </w:tc>
      </w:tr>
      <w:tr>
        <w:trPr>
          <w:trHeight w:val="54"/>
        </w:trPr>
        <w:tc>
          <w:tcPr>
            <w:tcW w:w="5520" w:type="dxa"/>
            <w:vAlign w:val="bottom"/>
            <w:tcBorders>
              <w:left w:val="single" w:sz="8" w:color="auto"/>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Art. 11  Notice and Agenda of Shareholders' Meetings</w:t>
            </w:r>
          </w:p>
        </w:tc>
        <w:tc>
          <w:tcPr>
            <w:tcW w:w="240" w:type="dxa"/>
            <w:vAlign w:val="bottom"/>
            <w:tcBorders>
              <w:right w:val="single" w:sz="8" w:color="auto"/>
            </w:tcBorders>
          </w:tcPr>
          <w:p>
            <w:pPr>
              <w:spacing w:after="0"/>
              <w:rPr>
                <w:sz w:val="20"/>
                <w:szCs w:val="20"/>
                <w:color w:val="auto"/>
              </w:rPr>
            </w:pPr>
          </w:p>
        </w:tc>
        <w:tc>
          <w:tcPr>
            <w:tcW w:w="860" w:type="dxa"/>
            <w:vAlign w:val="bottom"/>
          </w:tcPr>
          <w:p>
            <w:pPr>
              <w:ind w:left="80"/>
              <w:spacing w:after="0"/>
              <w:rPr>
                <w:sz w:val="20"/>
                <w:szCs w:val="20"/>
                <w:color w:val="auto"/>
              </w:rPr>
            </w:pPr>
            <w:r>
              <w:rPr>
                <w:rFonts w:ascii="Arial" w:cs="Arial" w:eastAsia="Arial" w:hAnsi="Arial"/>
                <w:sz w:val="18"/>
                <w:szCs w:val="18"/>
                <w:b w:val="1"/>
                <w:bCs w:val="1"/>
                <w:color w:val="auto"/>
              </w:rPr>
              <w:t>Art. 11</w:t>
            </w:r>
          </w:p>
        </w:tc>
        <w:tc>
          <w:tcPr>
            <w:tcW w:w="46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Convocations et ordres du jour des assemblées</w:t>
            </w:r>
          </w:p>
        </w:tc>
        <w:tc>
          <w:tcPr>
            <w:tcW w:w="0" w:type="dxa"/>
            <w:vAlign w:val="bottom"/>
          </w:tcPr>
          <w:p>
            <w:pPr>
              <w:spacing w:after="0"/>
              <w:rPr>
                <w:sz w:val="1"/>
                <w:szCs w:val="1"/>
                <w:color w:val="auto"/>
              </w:rPr>
            </w:pPr>
          </w:p>
        </w:tc>
      </w:tr>
      <w:tr>
        <w:trPr>
          <w:trHeight w:val="239"/>
        </w:trPr>
        <w:tc>
          <w:tcPr>
            <w:tcW w:w="552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Notice of a General Meeting of Shareholders shall be given by the</w:t>
            </w:r>
          </w:p>
        </w:tc>
        <w:tc>
          <w:tcPr>
            <w:tcW w:w="240" w:type="dxa"/>
            <w:vAlign w:val="bottom"/>
            <w:tcBorders>
              <w:right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4620" w:type="dxa"/>
            <w:vAlign w:val="bottom"/>
            <w:tcBorders>
              <w:right w:val="single" w:sz="8" w:color="auto"/>
            </w:tcBorders>
          </w:tcPr>
          <w:p>
            <w:pPr>
              <w:jc w:val="right"/>
              <w:ind w:right="3630"/>
              <w:spacing w:after="0"/>
              <w:rPr>
                <w:sz w:val="20"/>
                <w:szCs w:val="20"/>
                <w:color w:val="auto"/>
              </w:rPr>
            </w:pPr>
            <w:r>
              <w:rPr>
                <w:rFonts w:ascii="Arial" w:cs="Arial" w:eastAsia="Arial" w:hAnsi="Arial"/>
                <w:sz w:val="18"/>
                <w:szCs w:val="18"/>
                <w:b w:val="1"/>
                <w:bCs w:val="1"/>
                <w:color w:val="auto"/>
              </w:rPr>
              <w:t>générales</w:t>
            </w:r>
          </w:p>
        </w:tc>
        <w:tc>
          <w:tcPr>
            <w:tcW w:w="0" w:type="dxa"/>
            <w:vAlign w:val="bottom"/>
          </w:tcPr>
          <w:p>
            <w:pPr>
              <w:spacing w:after="0"/>
              <w:rPr>
                <w:sz w:val="1"/>
                <w:szCs w:val="1"/>
                <w:color w:val="auto"/>
              </w:rPr>
            </w:pPr>
          </w:p>
        </w:tc>
      </w:tr>
      <w:tr>
        <w:trPr>
          <w:trHeight w:val="188"/>
        </w:trPr>
        <w:tc>
          <w:tcPr>
            <w:tcW w:w="5520" w:type="dxa"/>
            <w:vAlign w:val="bottom"/>
            <w:tcBorders>
              <w:left w:val="single" w:sz="8" w:color="auto"/>
              <w:right w:val="single" w:sz="8" w:color="auto"/>
            </w:tcBorders>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4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Board of Directors or, if necessary, by the Auditor, not later than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L'assemblée générale est convoquée par le conseil</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twenty calendar days prior to the date of the General Meeting of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ou, si nécessaire, par l'organe de révision, au</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Shareholders. Notice of the General Meeting of Shareholders shall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moins 20 jours avant la tenue de l'assemblée générale des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be given by way of a one-time announcement in the official means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actionnaires. La convocation à l'assemblée générale des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of publication of the Company pursuant to Article 46 of these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actionnaires doit être faite au moyen d'une seule publication</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Articles of Association. The notice period shall be deemed to have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conformément à l'article 46 de ces statuts. La période de préavis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been observed if notice of the General Meeting of Shareholders is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sera réputée avoir été respectée si la convocation à l'assemblée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published in such official means of publication, it being understood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générale des actionnaires est publiée conformément à l'article 46</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that the date of publication shall not be computed in the notice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 ces statuts, étant entendu que la date de publication ne doit</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period. Shareholders of record may in addition be informed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pas être calculée dans la période de préavis. Les actionnaires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General Meeting of Shareholders by ordinary mail or e-mail.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inscrits peuvent en outre être informés de l'assemblée générale</w:t>
            </w:r>
          </w:p>
        </w:tc>
        <w:tc>
          <w:tcPr>
            <w:tcW w:w="0" w:type="dxa"/>
            <w:vAlign w:val="bottom"/>
          </w:tcPr>
          <w:p>
            <w:pPr>
              <w:spacing w:after="0"/>
              <w:rPr>
                <w:sz w:val="1"/>
                <w:szCs w:val="1"/>
                <w:color w:val="auto"/>
              </w:rPr>
            </w:pPr>
          </w:p>
        </w:tc>
      </w:tr>
      <w:tr>
        <w:trPr>
          <w:trHeight w:val="217"/>
        </w:trPr>
        <w:tc>
          <w:tcPr>
            <w:tcW w:w="5520" w:type="dxa"/>
            <w:vAlign w:val="bottom"/>
            <w:tcBorders>
              <w:left w:val="single" w:sz="8" w:color="auto"/>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des actionnaires par courrier ordinaire ou par e-mail.</w:t>
            </w:r>
          </w:p>
        </w:tc>
        <w:tc>
          <w:tcPr>
            <w:tcW w:w="0" w:type="dxa"/>
            <w:vAlign w:val="bottom"/>
          </w:tcPr>
          <w:p>
            <w:pPr>
              <w:spacing w:after="0"/>
              <w:rPr>
                <w:sz w:val="1"/>
                <w:szCs w:val="1"/>
                <w:color w:val="auto"/>
              </w:rPr>
            </w:pPr>
          </w:p>
        </w:tc>
      </w:tr>
      <w:tr>
        <w:trPr>
          <w:trHeight w:val="257"/>
        </w:trPr>
        <w:tc>
          <w:tcPr>
            <w:tcW w:w="5520" w:type="dxa"/>
            <w:vAlign w:val="bottom"/>
            <w:tcBorders>
              <w:left w:val="single" w:sz="8" w:color="auto"/>
              <w:bottom w:val="single" w:sz="8" w:color="auto"/>
              <w:right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notice of a General Meeting of Shareholders shall specify the</w:t>
            </w:r>
          </w:p>
        </w:tc>
        <w:tc>
          <w:tcPr>
            <w:tcW w:w="24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 convocation à l'assemblée générale des actionnaires doit</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items on the agenda and the proposals of the Board of Directors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préciser les objets de l'ordre du jour et les propositions du conseil</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and the shareholder(s) who requested that a General Meeting of</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d'administration et l'/les actionnaire(s) qui a/ont demandé que</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Shareholders be held or an item be included on the agenda, and,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l'assemblée générale des actionnaires ait lieu ou qu'un objet soit</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in the event of elections, the name(s) of the candidate(s) that has</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inscrit à l'ordre du jour, et, dans le cas d'élections, le/les nom(s)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or have been put on the ballot for election.</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du/des candidat(s) qui a ou ont été mis sur le bulletin de vote pour</w:t>
            </w:r>
          </w:p>
        </w:tc>
        <w:tc>
          <w:tcPr>
            <w:tcW w:w="0" w:type="dxa"/>
            <w:vAlign w:val="bottom"/>
          </w:tcPr>
          <w:p>
            <w:pPr>
              <w:spacing w:after="0"/>
              <w:rPr>
                <w:sz w:val="1"/>
                <w:szCs w:val="1"/>
                <w:color w:val="auto"/>
              </w:rPr>
            </w:pPr>
          </w:p>
        </w:tc>
      </w:tr>
      <w:tr>
        <w:trPr>
          <w:trHeight w:val="217"/>
        </w:trPr>
        <w:tc>
          <w:tcPr>
            <w:tcW w:w="5520" w:type="dxa"/>
            <w:vAlign w:val="bottom"/>
            <w:tcBorders>
              <w:left w:val="single" w:sz="8" w:color="auto"/>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Pr>
          <w:p>
            <w:pPr>
              <w:ind w:left="80"/>
              <w:spacing w:after="0"/>
              <w:rPr>
                <w:sz w:val="20"/>
                <w:szCs w:val="20"/>
                <w:color w:val="auto"/>
              </w:rPr>
            </w:pPr>
            <w:r>
              <w:rPr>
                <w:rFonts w:ascii="Arial" w:cs="Arial" w:eastAsia="Arial" w:hAnsi="Arial"/>
                <w:sz w:val="18"/>
                <w:szCs w:val="18"/>
                <w:color w:val="auto"/>
              </w:rPr>
              <w:t>l'élection.</w:t>
            </w:r>
          </w:p>
        </w:tc>
        <w:tc>
          <w:tcPr>
            <w:tcW w:w="4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520" w:type="dxa"/>
            <w:vAlign w:val="bottom"/>
            <w:tcBorders>
              <w:left w:val="single" w:sz="8" w:color="auto"/>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Board of Directors shall state the matters on the agenda.</w:t>
            </w:r>
          </w:p>
        </w:tc>
        <w:tc>
          <w:tcPr>
            <w:tcW w:w="24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 conseil d'administration doit indiquer les objets de l'ordre du</w:t>
            </w:r>
          </w:p>
        </w:tc>
        <w:tc>
          <w:tcPr>
            <w:tcW w:w="0" w:type="dxa"/>
            <w:vAlign w:val="bottom"/>
          </w:tcPr>
          <w:p>
            <w:pPr>
              <w:spacing w:after="0"/>
              <w:rPr>
                <w:sz w:val="1"/>
                <w:szCs w:val="1"/>
                <w:color w:val="auto"/>
              </w:rPr>
            </w:pPr>
          </w:p>
        </w:tc>
      </w:tr>
      <w:tr>
        <w:trPr>
          <w:trHeight w:val="217"/>
        </w:trPr>
        <w:tc>
          <w:tcPr>
            <w:tcW w:w="5520" w:type="dxa"/>
            <w:vAlign w:val="bottom"/>
            <w:tcBorders>
              <w:left w:val="single" w:sz="8" w:color="auto"/>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60" w:type="dxa"/>
            <w:vAlign w:val="bottom"/>
          </w:tcPr>
          <w:p>
            <w:pPr>
              <w:ind w:left="80"/>
              <w:spacing w:after="0"/>
              <w:rPr>
                <w:sz w:val="20"/>
                <w:szCs w:val="20"/>
                <w:color w:val="auto"/>
              </w:rPr>
            </w:pPr>
            <w:r>
              <w:rPr>
                <w:rFonts w:ascii="Arial" w:cs="Arial" w:eastAsia="Arial" w:hAnsi="Arial"/>
                <w:sz w:val="18"/>
                <w:szCs w:val="18"/>
                <w:color w:val="auto"/>
              </w:rPr>
              <w:t>jour.</w:t>
            </w:r>
          </w:p>
        </w:tc>
        <w:tc>
          <w:tcPr>
            <w:tcW w:w="4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520" w:type="dxa"/>
            <w:vAlign w:val="bottom"/>
            <w:tcBorders>
              <w:left w:val="single" w:sz="8" w:color="auto"/>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Shareholders who represent an aggregate of at least 10 percent of</w:t>
            </w:r>
          </w:p>
        </w:tc>
        <w:tc>
          <w:tcPr>
            <w:tcW w:w="24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Les actionnaires qui représentent un total d'au moins 10 pour cent</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 share capital or together representing shares with a nominal</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du  capital-actions  ou  qui  représentent  ensemble  une  valeur</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value of 1 million Swiss francs may demand that an item be placed</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nominale de CHF 1 million d'actions peuvent exiger qu'un objet</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on the agenda of a General Meeting of Shareholders. A request</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soit  inscrit  à  l'ordre  du  jour  d'une  assemblée  générale  des</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for inclusion of an item on the agenda must be requested in writing</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actionnaires. Une demande d'inscription d'un objet à l'ordre du jour</w:t>
            </w:r>
          </w:p>
        </w:tc>
        <w:tc>
          <w:tcPr>
            <w:tcW w:w="0" w:type="dxa"/>
            <w:vAlign w:val="bottom"/>
          </w:tcPr>
          <w:p>
            <w:pPr>
              <w:spacing w:after="0"/>
              <w:rPr>
                <w:sz w:val="1"/>
                <w:szCs w:val="1"/>
                <w:color w:val="auto"/>
              </w:rPr>
            </w:pPr>
          </w:p>
        </w:tc>
      </w:tr>
      <w:tr>
        <w:trPr>
          <w:trHeight w:val="203"/>
        </w:trPr>
        <w:tc>
          <w:tcPr>
            <w:tcW w:w="552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delivered to or mailed and received at the registered office of the</w:t>
            </w:r>
          </w:p>
        </w:tc>
        <w:tc>
          <w:tcPr>
            <w:tcW w:w="24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doit être faite par écrit et remise ou envoyée et reçue au siège de</w:t>
            </w:r>
          </w:p>
        </w:tc>
        <w:tc>
          <w:tcPr>
            <w:tcW w:w="0" w:type="dxa"/>
            <w:vAlign w:val="bottom"/>
          </w:tcPr>
          <w:p>
            <w:pPr>
              <w:spacing w:after="0"/>
              <w:rPr>
                <w:sz w:val="1"/>
                <w:szCs w:val="1"/>
                <w:color w:val="auto"/>
              </w:rPr>
            </w:pPr>
          </w:p>
        </w:tc>
      </w:tr>
      <w:tr>
        <w:trPr>
          <w:trHeight w:val="217"/>
        </w:trPr>
        <w:tc>
          <w:tcPr>
            <w:tcW w:w="5520" w:type="dxa"/>
            <w:vAlign w:val="bottom"/>
            <w:tcBorders>
              <w:left w:val="single" w:sz="8" w:color="auto"/>
              <w:right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la société au</w:t>
            </w:r>
          </w:p>
        </w:tc>
        <w:tc>
          <w:tcPr>
            <w:tcW w:w="0" w:type="dxa"/>
            <w:vAlign w:val="bottom"/>
          </w:tcPr>
          <w:p>
            <w:pPr>
              <w:spacing w:after="0"/>
              <w:rPr>
                <w:sz w:val="1"/>
                <w:szCs w:val="1"/>
                <w:color w:val="auto"/>
              </w:rPr>
            </w:pPr>
          </w:p>
        </w:tc>
      </w:tr>
      <w:tr>
        <w:trPr>
          <w:trHeight w:val="54"/>
        </w:trPr>
        <w:tc>
          <w:tcPr>
            <w:tcW w:w="5520" w:type="dxa"/>
            <w:vAlign w:val="bottom"/>
            <w:tcBorders>
              <w:left w:val="single" w:sz="8" w:color="auto"/>
              <w:bottom w:val="single" w:sz="8" w:color="auto"/>
              <w:right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0"/>
        </w:trPr>
        <w:tc>
          <w:tcPr>
            <w:tcW w:w="5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7" w:right="339" w:bottom="1440" w:gutter="0" w:footer="0" w:header="0"/>
        </w:sectPr>
      </w:pPr>
    </w:p>
    <w:bookmarkStart w:id="51" w:name="page52"/>
    <w:bookmarkEnd w:id="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5240"/>
              <w:spacing w:after="0"/>
              <w:rPr>
                <w:sz w:val="20"/>
                <w:szCs w:val="20"/>
                <w:color w:val="auto"/>
              </w:rPr>
            </w:pPr>
            <w:r>
              <w:rPr>
                <w:rFonts w:ascii="Arial" w:cs="Arial" w:eastAsia="Arial" w:hAnsi="Arial"/>
                <w:sz w:val="18"/>
                <w:szCs w:val="18"/>
                <w:color w:val="auto"/>
                <w:w w:val="99"/>
              </w:rPr>
              <w:t>13</w:t>
            </w:r>
          </w:p>
        </w:tc>
      </w:tr>
      <w:tr>
        <w:trPr>
          <w:trHeight w:val="94"/>
        </w:trPr>
        <w:tc>
          <w:tcPr>
            <w:tcW w:w="5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tcPr>
          <w:p>
            <w:pPr>
              <w:spacing w:after="0"/>
              <w:rPr>
                <w:sz w:val="8"/>
                <w:szCs w:val="8"/>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Company at least 120 calendar days before the first anniversary of</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moins 120 jours avant le premier anniversaire de la date à laquelle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date that the Company's proxy statement was released to</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 déclaration (proxy statement) de la Société a été communiquée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shareholders  in  connection  with  the  previous  year's  ordinary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aux  actionnaires  lors  de  l'assemblée  générale  ordinaire  des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General Meeting of Shareholders. However, if no ordinary General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actionnaires  de  l'année  précédente.  Toutefois,  si  aucune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Meeting of Shareholders was held in the previous year or if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assemblée générale ordinaire des actionnaires n'a eu lieu l'année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date of the ordinary General Meeting of Shareholders has been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précédente ou si la date de l'assemblée générale ordinaire des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changed  by  more  than  30  calendar  days  from  the  date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actionnaires a été modifiée de plus de 30 jours calendaires à</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contemplated at the time of the previous year's proxy statement,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compter de la date prévue au moment de la déclaration (proxy</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request for inclusion of an item on the agenda must be requested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statement) de l'année précédente, une demande d'inscription d'un</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not fewer than the later of (i) 150 calendar days prior to the date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objet à l'ordre du jour doit être demandée au moins à la date la</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contemplated annual General Meeting or (ii) the date which is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plus tardive entre (i) 150 jours calendaires avant la date de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ten calendar days after the date of the first public announcement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l'assemblée générale ordinaire envisagée ou (ii) la date qui est dix</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other  notification  to  the  shareholders  of  the  date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jours calendaires plus tard que la date de la première annonce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contemplated  annual  General  Meeting.  To  be  timely  for  an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publique  ou  autre  notification  aux  actionnaires  de  la  date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extraordinary  General  Meeting,  a  shareholder's  notice  to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envisagée de l'assemblée générale ordinaire. Pour être dans les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Secretary must be delivered to or mailed and received at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délais pour une assemblée générale extraordinaire, l'avis d'un</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registered office of the Company not fewer than the later of (i) 120</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actionnaire au secrétaire doit être livré ou envoyé et reçu au siège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calendar  days  before  the  date  of  the  extraordinary  General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la société au moins à la date la plus tardive entre (i) 120 jours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Meeting of Shareholders or (ii) the date which is ten calendar days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calendaires avant la date de l'assemblée générale extraordinaire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after the date of the first public announcement or other notification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actionnaires ou (ii) la date qui est dix jours calendaires plus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 the shareholders of the date of the contemplated extraordinary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tard que la date de la première annonce publique ou autre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General Meeting of Shareholders.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notification aux actionnaires de la date envisagée de l'assemblée</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générale extraordinaire des actionnaires.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Each request for inclusion of an item on the agenda must include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Chaque demande d'inscription d'un objet à l'ordre du jour doit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 a brief description of the business desired to be brought before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inclure (i) une brève description de l'affaire qui sera soumise à</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meeting and the reasons for conducting such business at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l'assemblée et les raisons pour lesquelles cette affaire est soumise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meeting;  (ii)  the  name  and  address,  as  they  appear  on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à l'assemblée; (ii) le nom et l'adresse, tels qu'ils apparaissent dans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Company's register of shareholders, of the shareholder proposing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le registre des actionnaires de la société, de l'/des actionnaire(s)</w:t>
            </w:r>
          </w:p>
        </w:tc>
      </w:tr>
      <w:tr>
        <w:trPr>
          <w:trHeight w:val="202"/>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such business; (iii) the number of shares of the Company which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proposant un tel objet; (iii) le nombre d'actions de la société</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are beneficially owned by such shareholder; (iv) the dates upon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effectivement détenues par (un) tel(s) actionnaire(s); (iv) les dates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which the shareholder acquired such shares; (v) documentary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auxquelles l'/les actionnaire(s) a/ont acquis ces actions; (v) l'appui</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support for any claim of beneficial ownership; (vi) any material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documentaire pour toute revendication de propriété effective; (vi)</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interest of such shareholder in such</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un</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952"/>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52" w:name="page53"/>
    <w:bookmarkEnd w:id="5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5240"/>
              <w:spacing w:after="0"/>
              <w:rPr>
                <w:sz w:val="20"/>
                <w:szCs w:val="20"/>
                <w:color w:val="auto"/>
              </w:rPr>
            </w:pPr>
            <w:r>
              <w:rPr>
                <w:rFonts w:ascii="Arial" w:cs="Arial" w:eastAsia="Arial" w:hAnsi="Arial"/>
                <w:sz w:val="18"/>
                <w:szCs w:val="18"/>
                <w:color w:val="auto"/>
                <w:w w:val="99"/>
              </w:rPr>
              <w:t>14</w:t>
            </w:r>
          </w:p>
        </w:tc>
      </w:tr>
      <w:tr>
        <w:trPr>
          <w:trHeight w:val="94"/>
        </w:trPr>
        <w:tc>
          <w:tcPr>
            <w:tcW w:w="5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tcPr>
          <w:p>
            <w:pPr>
              <w:spacing w:after="0"/>
              <w:rPr>
                <w:sz w:val="8"/>
                <w:szCs w:val="8"/>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business; and (vii) a statement in support of the matter and, for</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intérêt important de cet/ces actionnaire(s) par rapport à cet objet;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proposals sought to be included in the Company's proxy statement,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et  (vii)  une  déclaration  à  l'appui  de  cet  objet  et,  pour  les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any  other  information  required  by  Securities  and  Exchange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propositions  devant  être  incluses  dans  la  déclaration  (proxy</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Commission Rule "14a-8".</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statement) de la société, toute autre information requise par la</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Securities and Exchange Commission règle "14a-8".</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 addition, if the shareholder intends to solicit proxies from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En  outre,  si  un  actionnaire  a  l'intention  de  solliciter  des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shareholders of the Company, such shareholder shall notify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procurations des actionnaires de la société, cet actionnaire doit en</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Company  of  this  intent  in  accordance  with  Securities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informer la société conformément aux dispositions de la Securities</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Exchange Commission Rule "14a-4" and/or Rule "14a-8".</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and Exchange Commission règle "14a-4" et "14a-8".</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  resolution  may  be  passed  at  a  General  Meeting  of</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Aucune  décision  ne  peut  être  adoptée  lors  d'une  assemblée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Shareholders concerning an item in relation to which due notice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générale des actionnaires si un objet n'a pas été inscrit à l'ordre du</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was not given. Proposals made during a General Meeting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jour dans le délai de préavis. Les propositions faites au cours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Shareholders to (i) convene a extraordinary General Meeting or (ii)</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d'une assemblée générale des actionnaires pour (i) convoquer une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initiate a special investigation in accordance with article 697a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assemblée générale extraordinaire ou (ii) instituer un contrôle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Swiss Code of Obligations are not subject to the due notice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spécial au sens de l'article 697a CO ne sont pas soumises à</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requirement set forth herein.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l'obligation d'inscription prévue dans ces statuts.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 advance notice is required to propose motions on duly notified</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Aucun préavis n'est nécessaire pour proposer des motions sur les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agenda items and to debate items without passing resolutions.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objets inscrits à l'ordre du jour ou débattre desdits objets sans</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prendre de décisions.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12  Documentation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12   Documents</w:t>
            </w:r>
          </w:p>
        </w:tc>
      </w:tr>
      <w:tr>
        <w:trPr>
          <w:trHeight w:val="391"/>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annual business report, the compensation report and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rapport de gestion annuel, le rapport de rémunération et le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Auditor's  report  must  be  submitted  for  examination  by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rapport du réviseur doivent être présentés aux actionnaires pour</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shareholders at the registered office of the Company at least 20</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examen au siège de la société au moins 20 jours avant la date de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days prior to the date of the Ordinary General Meeting. Each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l'assemblée  générale  ordinaire.   Chaque   actionnaire   peut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shareholder may request that a copy of this documentation be sent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demander  une  copie  de  ces  documents  qui  doivent  lui  être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 him promptly by e-mail. Such right shall be included in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envoyés promptement par e-mail. Ce droit doit être mentionné</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invitation to the General Meeting.</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l'invitation à l'assemblée générale.</w:t>
            </w:r>
          </w:p>
        </w:tc>
      </w:tr>
      <w:tr>
        <w:trPr>
          <w:trHeight w:val="256"/>
        </w:trPr>
        <w:tc>
          <w:tcPr>
            <w:tcW w:w="5540" w:type="dxa"/>
            <w:vAlign w:val="bottom"/>
            <w:tcBorders>
              <w:left w:val="single" w:sz="8" w:color="auto"/>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tcPr>
          <w:p>
            <w:pPr>
              <w:spacing w:after="0"/>
              <w:rPr>
                <w:sz w:val="22"/>
                <w:szCs w:val="22"/>
                <w:color w:val="auto"/>
              </w:rPr>
            </w:pPr>
          </w:p>
        </w:tc>
      </w:tr>
      <w:tr>
        <w:trPr>
          <w:trHeight w:val="750"/>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53" w:name="page54"/>
    <w:bookmarkEnd w:id="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7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94"/>
        </w:trPr>
        <w:tc>
          <w:tcPr>
            <w:tcW w:w="5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760" w:type="dxa"/>
            <w:vAlign w:val="bottom"/>
            <w:tcBorders>
              <w:bottom w:val="single" w:sz="8" w:color="auto"/>
            </w:tcBorders>
          </w:tcPr>
          <w:p>
            <w:pPr>
              <w:spacing w:after="0"/>
              <w:rPr>
                <w:sz w:val="8"/>
                <w:szCs w:val="8"/>
                <w:color w:val="auto"/>
              </w:rPr>
            </w:pPr>
          </w:p>
        </w:tc>
      </w:tr>
      <w:tr>
        <w:trPr>
          <w:trHeight w:val="27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13  Meeting of All Shareholders</w:t>
            </w:r>
          </w:p>
        </w:tc>
        <w:tc>
          <w:tcPr>
            <w:tcW w:w="220" w:type="dxa"/>
            <w:vAlign w:val="bottom"/>
            <w:tcBorders>
              <w:right w:val="single" w:sz="8" w:color="auto"/>
            </w:tcBorders>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18"/>
                <w:szCs w:val="18"/>
                <w:b w:val="1"/>
                <w:bCs w:val="1"/>
                <w:color w:val="auto"/>
              </w:rPr>
              <w:t>Art. 13</w:t>
            </w:r>
          </w:p>
        </w:tc>
        <w:tc>
          <w:tcPr>
            <w:tcW w:w="47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Assemblée universelle</w:t>
            </w:r>
          </w:p>
        </w:tc>
      </w:tr>
      <w:tr>
        <w:trPr>
          <w:trHeight w:val="391"/>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Shareholders or their proxies representing all shares issued may</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propriétaires ou les représentants de la totalité des actions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hold a General Meeting without observing the formalities required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peuvent, s'il n'y a pas d'opposition, tenir une assemblée générale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for calling a meeting, unless objection is raised. At such a meeting,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sans observer les formes prévues pour sa convocation. Aussi</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discussions may be held and resolutions passed on all matters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longtemps que les propriétaires ou les représentants de la totalité</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within the scope of the powers of a General Meeting for so long as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des actions sont présents, cette assemblée a le droit de délibérer</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shareholders or proxies representing all shares issued 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et de statuer valablement sur tous les objets qui sont du ressort de</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present.</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l'assemblée générale.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14  Chairman and Scrutineers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14  Président et scrutateurs</w:t>
            </w:r>
          </w:p>
        </w:tc>
      </w:tr>
      <w:tr>
        <w:trPr>
          <w:trHeight w:val="391"/>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Chairman of the Board of Directors shall preside over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L'assemblée générale est présidée par le président du conseil</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General Meeting. In his absence, a member of the Board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d'administration. En cas d'empêchement, un autre membre du</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Directors or another Chairman of the Meeting designated by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conseil  d'administration  ou  un  président  ad  hoc  nommé  par</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General Meeting shall preside.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l'assemblée générale préside celle-ci.</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Chairman of the Meeting shall designate a Secretary and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président de l'assemblée générale désigne un secrétaire et les</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scrutineers who need not be shareholders.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scrutateurs qui ne doivent pas nécessairement être actionnaires.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15  Minutes</w:t>
            </w:r>
          </w:p>
        </w:tc>
        <w:tc>
          <w:tcPr>
            <w:tcW w:w="220" w:type="dxa"/>
            <w:vAlign w:val="bottom"/>
            <w:tcBorders>
              <w:right w:val="single" w:sz="8" w:color="auto"/>
            </w:tcBorders>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18"/>
                <w:szCs w:val="18"/>
                <w:b w:val="1"/>
                <w:bCs w:val="1"/>
                <w:color w:val="auto"/>
              </w:rPr>
              <w:t>Art. 15</w:t>
            </w:r>
          </w:p>
        </w:tc>
        <w:tc>
          <w:tcPr>
            <w:tcW w:w="47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Procès-verbal</w:t>
            </w:r>
          </w:p>
        </w:tc>
      </w:tr>
      <w:tr>
        <w:trPr>
          <w:trHeight w:val="391"/>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Board of Directors is responsible for the keeping of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conseil d'administration est responsable de la tenue du procès-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minutes of the Meeting, which shall state the number, kind, nominal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verbal de l'assemblée, qui doit indiquer le nombre, le type, la</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value of shares represented by the shareholders, by the corporate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valeur nominale des actions représentées par les actionnaires, par</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bodies and by the independent proxy and gives information 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les organes sociaux et par le représentant indépendant et donne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resolutions  passed,  elections,  requests  for  information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des informations sur les décisions adoptées, les élections, les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information as well as declarations given by the shareholders.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demandes de renseignements et les informations ainsi que les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minutes shall be signed by the Chairman and the Secretary.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déclarations faites par les actionnaires. Le procès-verbal est signé</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par le président et le secrétaire.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shareholders are entitled to inspect the minutes.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actionnaires ont le droit d'examiner le procès-verbal.</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16  Right to Vote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16  Droit de vote</w:t>
            </w:r>
          </w:p>
        </w:tc>
      </w:tr>
      <w:tr>
        <w:trPr>
          <w:trHeight w:val="405"/>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Each share entitles to one vote.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Chaque action donne droit à une voix.</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r>
      <w:tr>
        <w:trPr>
          <w:trHeight w:val="749"/>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54" w:name="page55"/>
    <w:bookmarkEnd w:id="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7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60" w:type="dxa"/>
            <w:vAlign w:val="bottom"/>
          </w:tcPr>
          <w:p>
            <w:pPr>
              <w:ind w:left="4420"/>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94"/>
        </w:trPr>
        <w:tc>
          <w:tcPr>
            <w:tcW w:w="554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Each shareholder may be represented at a General Meeting by</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Chaque  actionnaire  peut  se  faire  représenter  à  l'assemblée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any person who is so authorized by a written proxy. A proxy need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générale par toute personne qui est autorisée par une procuration</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not be a shareholder.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écrite.  Le  représentant  ne  doit  pas  nécessairement  être  un</w:t>
            </w:r>
          </w:p>
        </w:tc>
        <w:tc>
          <w:tcPr>
            <w:tcW w:w="0" w:type="dxa"/>
            <w:vAlign w:val="bottom"/>
          </w:tcPr>
          <w:p>
            <w:pPr>
              <w:spacing w:after="0"/>
              <w:rPr>
                <w:sz w:val="1"/>
                <w:szCs w:val="1"/>
                <w:color w:val="auto"/>
              </w:rPr>
            </w:pPr>
          </w:p>
        </w:tc>
      </w:tr>
      <w:tr>
        <w:trPr>
          <w:trHeight w:val="217"/>
        </w:trPr>
        <w:tc>
          <w:tcPr>
            <w:tcW w:w="780" w:type="dxa"/>
            <w:vAlign w:val="bottom"/>
            <w:tcBorders>
              <w:left w:val="single" w:sz="8" w:color="auto"/>
            </w:tcBorders>
          </w:tcPr>
          <w:p>
            <w:pPr>
              <w:spacing w:after="0"/>
              <w:rPr>
                <w:sz w:val="18"/>
                <w:szCs w:val="18"/>
                <w:color w:val="auto"/>
              </w:rPr>
            </w:pPr>
          </w:p>
        </w:tc>
        <w:tc>
          <w:tcPr>
            <w:tcW w:w="47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actionnaire.</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Each shareholder may be represented by the Independent Proxy.</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Chaque actionnaire peut se faire représenter par le représentant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The  requirements  regarding  proxies  and  instructions  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indépendant. Les exigences en matière de procurations et les</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determined by the Board of Directors.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instructions sont déterminées par le conseil d'administration.</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17 Resolutions and Elections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17 Décisions and élections</w:t>
            </w: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All voting and elections are held openly or electronically. A written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Tous  votes  et  élections  sont  tenus  ouvertement  ou  par  voie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voting or election shall be held if instructed so by the Chairman or if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électronique.  Sur  instruction  du  président  ou  de  l'assemblée</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decided by the General Meeting.</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générale, un vote ou une élection doit être tenu par écrit.</w:t>
            </w:r>
          </w:p>
        </w:tc>
        <w:tc>
          <w:tcPr>
            <w:tcW w:w="0" w:type="dxa"/>
            <w:vAlign w:val="bottom"/>
          </w:tcPr>
          <w:p>
            <w:pPr>
              <w:spacing w:after="0"/>
              <w:rPr>
                <w:sz w:val="1"/>
                <w:szCs w:val="1"/>
                <w:color w:val="auto"/>
              </w:rPr>
            </w:pPr>
          </w:p>
        </w:tc>
      </w:tr>
      <w:tr>
        <w:trPr>
          <w:trHeight w:val="256"/>
        </w:trPr>
        <w:tc>
          <w:tcPr>
            <w:tcW w:w="554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General Meeting shall pass its resolutions and carry out its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Sous réserve des dispositions impératives de la loi ou des statuts,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elections with the simple majority of the votes cast regardless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l'assemblée générale prend ses décisions et procède aux élections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abstentions and empty or invalid votes, unless statutory law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à la majorité simple des voix émises. En cas de partage égal des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articles of association state otherwise. In the event of tie votes,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voix,  la  requête  sera  refusée.  Le  président  n'a  pas  voix</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request shall be refused. The Chairman shall not have a casting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prépondérante.</w:t>
            </w:r>
          </w:p>
        </w:tc>
        <w:tc>
          <w:tcPr>
            <w:tcW w:w="0" w:type="dxa"/>
            <w:vAlign w:val="bottom"/>
          </w:tcPr>
          <w:p>
            <w:pPr>
              <w:spacing w:after="0"/>
              <w:rPr>
                <w:sz w:val="1"/>
                <w:szCs w:val="1"/>
                <w:color w:val="auto"/>
              </w:rPr>
            </w:pPr>
          </w:p>
        </w:tc>
      </w:tr>
      <w:tr>
        <w:trPr>
          <w:trHeight w:val="217"/>
        </w:trPr>
        <w:tc>
          <w:tcPr>
            <w:tcW w:w="7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vote.</w:t>
            </w:r>
          </w:p>
        </w:tc>
        <w:tc>
          <w:tcPr>
            <w:tcW w:w="47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 resolution of the General Meeting passed by at least two thirds of</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Une décision de l'assemblée générale recueillant au moins les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the represented share votes and the absolute majority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deux tiers des voix attribuées aux actions représentées et la</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represented shares par value is required for: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majorité  absolue  des  valeurs  nominales  représentées  est</w:t>
            </w:r>
          </w:p>
        </w:tc>
        <w:tc>
          <w:tcPr>
            <w:tcW w:w="0" w:type="dxa"/>
            <w:vAlign w:val="bottom"/>
          </w:tcPr>
          <w:p>
            <w:pPr>
              <w:spacing w:after="0"/>
              <w:rPr>
                <w:sz w:val="1"/>
                <w:szCs w:val="1"/>
                <w:color w:val="auto"/>
              </w:rPr>
            </w:pPr>
          </w:p>
        </w:tc>
      </w:tr>
      <w:tr>
        <w:trPr>
          <w:trHeight w:val="217"/>
        </w:trPr>
        <w:tc>
          <w:tcPr>
            <w:tcW w:w="780" w:type="dxa"/>
            <w:vAlign w:val="bottom"/>
            <w:tcBorders>
              <w:left w:val="single" w:sz="8" w:color="auto"/>
            </w:tcBorders>
          </w:tcPr>
          <w:p>
            <w:pPr>
              <w:spacing w:after="0"/>
              <w:rPr>
                <w:sz w:val="18"/>
                <w:szCs w:val="18"/>
                <w:color w:val="auto"/>
              </w:rPr>
            </w:pPr>
          </w:p>
        </w:tc>
        <w:tc>
          <w:tcPr>
            <w:tcW w:w="47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nécessaire pour:</w:t>
            </w:r>
          </w:p>
        </w:tc>
        <w:tc>
          <w:tcPr>
            <w:tcW w:w="0" w:type="dxa"/>
            <w:vAlign w:val="bottom"/>
          </w:tcPr>
          <w:p>
            <w:pPr>
              <w:spacing w:after="0"/>
              <w:rPr>
                <w:sz w:val="1"/>
                <w:szCs w:val="1"/>
                <w:color w:val="auto"/>
              </w:rPr>
            </w:pPr>
          </w:p>
        </w:tc>
      </w:tr>
      <w:tr>
        <w:trPr>
          <w:trHeight w:val="405"/>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  The cases listed in art. 704 para. 1 CO, i.e.: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   les cas énumérés dans l'art. 704 al. 1 CO, i.e.:</w:t>
            </w:r>
          </w:p>
        </w:tc>
        <w:tc>
          <w:tcPr>
            <w:tcW w:w="0" w:type="dxa"/>
            <w:vAlign w:val="bottom"/>
          </w:tcPr>
          <w:p>
            <w:pPr>
              <w:spacing w:after="0"/>
              <w:rPr>
                <w:sz w:val="1"/>
                <w:szCs w:val="1"/>
                <w:color w:val="auto"/>
              </w:rPr>
            </w:pPr>
          </w:p>
        </w:tc>
      </w:tr>
      <w:tr>
        <w:trPr>
          <w:trHeight w:val="405"/>
        </w:trPr>
        <w:tc>
          <w:tcPr>
            <w:tcW w:w="5540" w:type="dxa"/>
            <w:vAlign w:val="bottom"/>
            <w:tcBorders>
              <w:left w:val="single" w:sz="8" w:color="auto"/>
              <w:right w:val="single" w:sz="8" w:color="auto"/>
            </w:tcBorders>
            <w:gridSpan w:val="2"/>
          </w:tcPr>
          <w:p>
            <w:pPr>
              <w:ind w:left="480"/>
              <w:spacing w:after="0"/>
              <w:rPr>
                <w:sz w:val="20"/>
                <w:szCs w:val="20"/>
                <w:color w:val="auto"/>
              </w:rPr>
            </w:pPr>
            <w:r>
              <w:rPr>
                <w:rFonts w:ascii="Arial" w:cs="Arial" w:eastAsia="Arial" w:hAnsi="Arial"/>
                <w:sz w:val="18"/>
                <w:szCs w:val="18"/>
                <w:color w:val="auto"/>
              </w:rPr>
              <w:t>(i)   the change of the company purpose;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(i)  la modification du but social;</w:t>
            </w:r>
          </w:p>
        </w:tc>
        <w:tc>
          <w:tcPr>
            <w:tcW w:w="0" w:type="dxa"/>
            <w:vAlign w:val="bottom"/>
          </w:tcPr>
          <w:p>
            <w:pPr>
              <w:spacing w:after="0"/>
              <w:rPr>
                <w:sz w:val="1"/>
                <w:szCs w:val="1"/>
                <w:color w:val="auto"/>
              </w:rPr>
            </w:pPr>
          </w:p>
        </w:tc>
      </w:tr>
      <w:tr>
        <w:trPr>
          <w:trHeight w:val="405"/>
        </w:trPr>
        <w:tc>
          <w:tcPr>
            <w:tcW w:w="5540" w:type="dxa"/>
            <w:vAlign w:val="bottom"/>
            <w:tcBorders>
              <w:left w:val="single" w:sz="8" w:color="auto"/>
              <w:right w:val="single" w:sz="8" w:color="auto"/>
            </w:tcBorders>
            <w:gridSpan w:val="2"/>
          </w:tcPr>
          <w:p>
            <w:pPr>
              <w:ind w:left="480"/>
              <w:spacing w:after="0"/>
              <w:rPr>
                <w:sz w:val="20"/>
                <w:szCs w:val="20"/>
                <w:color w:val="auto"/>
              </w:rPr>
            </w:pPr>
            <w:r>
              <w:rPr>
                <w:rFonts w:ascii="Arial" w:cs="Arial" w:eastAsia="Arial" w:hAnsi="Arial"/>
                <w:sz w:val="18"/>
                <w:szCs w:val="18"/>
                <w:color w:val="auto"/>
              </w:rPr>
              <w:t>(ii)  the creation of shares with privileged voting rights;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500"/>
              <w:spacing w:after="0"/>
              <w:rPr>
                <w:sz w:val="20"/>
                <w:szCs w:val="20"/>
                <w:color w:val="auto"/>
              </w:rPr>
            </w:pPr>
            <w:r>
              <w:rPr>
                <w:rFonts w:ascii="Arial" w:cs="Arial" w:eastAsia="Arial" w:hAnsi="Arial"/>
                <w:sz w:val="18"/>
                <w:szCs w:val="18"/>
                <w:color w:val="auto"/>
              </w:rPr>
              <w:t>(ii)  l'introduction d'actions à droit de vote privilégié;</w:t>
            </w: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gridSpan w:val="2"/>
          </w:tcPr>
          <w:p>
            <w:pPr>
              <w:ind w:left="480"/>
              <w:spacing w:after="0"/>
              <w:rPr>
                <w:sz w:val="20"/>
                <w:szCs w:val="20"/>
                <w:color w:val="auto"/>
              </w:rPr>
            </w:pPr>
            <w:r>
              <w:rPr>
                <w:rFonts w:ascii="Arial" w:cs="Arial" w:eastAsia="Arial" w:hAnsi="Arial"/>
                <w:sz w:val="18"/>
                <w:szCs w:val="18"/>
                <w:color w:val="auto"/>
              </w:rPr>
              <w:t>(iii)  the restriction of the transferability of registered shares;</w:t>
            </w:r>
          </w:p>
        </w:tc>
        <w:tc>
          <w:tcPr>
            <w:tcW w:w="220" w:type="dxa"/>
            <w:vAlign w:val="bottom"/>
            <w:tcBorders>
              <w:right w:val="single" w:sz="8" w:color="auto"/>
            </w:tcBorders>
          </w:tcPr>
          <w:p>
            <w:pPr>
              <w:spacing w:after="0"/>
              <w:rPr>
                <w:sz w:val="24"/>
                <w:szCs w:val="24"/>
                <w:color w:val="auto"/>
              </w:rPr>
            </w:pPr>
          </w:p>
        </w:tc>
        <w:tc>
          <w:tcPr>
            <w:tcW w:w="820" w:type="dxa"/>
            <w:vAlign w:val="bottom"/>
          </w:tcPr>
          <w:p>
            <w:pPr>
              <w:ind w:left="500"/>
              <w:spacing w:after="0"/>
              <w:rPr>
                <w:sz w:val="20"/>
                <w:szCs w:val="20"/>
                <w:color w:val="auto"/>
              </w:rPr>
            </w:pPr>
            <w:r>
              <w:rPr>
                <w:rFonts w:ascii="Arial" w:cs="Arial" w:eastAsia="Arial" w:hAnsi="Arial"/>
                <w:sz w:val="18"/>
                <w:szCs w:val="18"/>
                <w:color w:val="auto"/>
              </w:rPr>
              <w:t>(iii)</w:t>
            </w:r>
          </w:p>
        </w:tc>
        <w:tc>
          <w:tcPr>
            <w:tcW w:w="466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la  restriction  de  la  transmissibilité  des  actions</w:t>
            </w:r>
          </w:p>
        </w:tc>
        <w:tc>
          <w:tcPr>
            <w:tcW w:w="0" w:type="dxa"/>
            <w:vAlign w:val="bottom"/>
          </w:tcPr>
          <w:p>
            <w:pPr>
              <w:spacing w:after="0"/>
              <w:rPr>
                <w:sz w:val="1"/>
                <w:szCs w:val="1"/>
                <w:color w:val="auto"/>
              </w:rPr>
            </w:pPr>
          </w:p>
        </w:tc>
      </w:tr>
      <w:tr>
        <w:trPr>
          <w:trHeight w:val="217"/>
        </w:trPr>
        <w:tc>
          <w:tcPr>
            <w:tcW w:w="780" w:type="dxa"/>
            <w:vAlign w:val="bottom"/>
            <w:tcBorders>
              <w:left w:val="single" w:sz="8" w:color="auto"/>
            </w:tcBorders>
            <w:vMerge w:val="restart"/>
          </w:tcPr>
          <w:p>
            <w:pPr>
              <w:ind w:left="480"/>
              <w:spacing w:after="0"/>
              <w:rPr>
                <w:sz w:val="20"/>
                <w:szCs w:val="20"/>
                <w:color w:val="auto"/>
              </w:rPr>
            </w:pPr>
            <w:r>
              <w:rPr>
                <w:rFonts w:ascii="Arial" w:cs="Arial" w:eastAsia="Arial" w:hAnsi="Arial"/>
                <w:sz w:val="18"/>
                <w:szCs w:val="18"/>
                <w:color w:val="auto"/>
              </w:rPr>
              <w:t>(iv)</w:t>
            </w:r>
          </w:p>
        </w:tc>
        <w:tc>
          <w:tcPr>
            <w:tcW w:w="47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an increase of capital, authorized or subject to a</w:t>
            </w:r>
          </w:p>
        </w:tc>
        <w:tc>
          <w:tcPr>
            <w:tcW w:w="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nominatives;</w:t>
            </w:r>
          </w:p>
        </w:tc>
        <w:tc>
          <w:tcPr>
            <w:tcW w:w="0" w:type="dxa"/>
            <w:vAlign w:val="bottom"/>
          </w:tcPr>
          <w:p>
            <w:pPr>
              <w:spacing w:after="0"/>
              <w:rPr>
                <w:sz w:val="1"/>
                <w:szCs w:val="1"/>
                <w:color w:val="auto"/>
              </w:rPr>
            </w:pPr>
          </w:p>
        </w:tc>
      </w:tr>
      <w:tr>
        <w:trPr>
          <w:trHeight w:val="188"/>
        </w:trPr>
        <w:tc>
          <w:tcPr>
            <w:tcW w:w="780" w:type="dxa"/>
            <w:vAlign w:val="bottom"/>
            <w:tcBorders>
              <w:left w:val="single" w:sz="8" w:color="auto"/>
            </w:tcBorders>
            <w:vMerge w:val="continue"/>
          </w:tcPr>
          <w:p>
            <w:pPr>
              <w:spacing w:after="0"/>
              <w:rPr>
                <w:sz w:val="16"/>
                <w:szCs w:val="16"/>
                <w:color w:val="auto"/>
              </w:rPr>
            </w:pPr>
          </w:p>
        </w:tc>
        <w:tc>
          <w:tcPr>
            <w:tcW w:w="4760" w:type="dxa"/>
            <w:vAlign w:val="bottom"/>
            <w:tcBorders>
              <w:right w:val="single" w:sz="8" w:color="auto"/>
            </w:tcBorders>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4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tcBorders>
          </w:tcPr>
          <w:p>
            <w:pPr>
              <w:spacing w:after="0"/>
              <w:rPr>
                <w:sz w:val="17"/>
                <w:szCs w:val="17"/>
                <w:color w:val="auto"/>
              </w:rPr>
            </w:pPr>
          </w:p>
        </w:tc>
        <w:tc>
          <w:tcPr>
            <w:tcW w:w="4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condition;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500"/>
              <w:spacing w:after="0" w:line="202" w:lineRule="exact"/>
              <w:rPr>
                <w:sz w:val="20"/>
                <w:szCs w:val="20"/>
                <w:color w:val="auto"/>
              </w:rPr>
            </w:pPr>
            <w:r>
              <w:rPr>
                <w:rFonts w:ascii="Arial" w:cs="Arial" w:eastAsia="Arial" w:hAnsi="Arial"/>
                <w:sz w:val="18"/>
                <w:szCs w:val="18"/>
                <w:color w:val="auto"/>
              </w:rPr>
              <w:t>(iv)   l'augmentation autorisée ou conditionnelle du capital-</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vMerge w:val="restart"/>
          </w:tcPr>
          <w:p>
            <w:pPr>
              <w:ind w:left="480"/>
              <w:spacing w:after="0"/>
              <w:rPr>
                <w:sz w:val="20"/>
                <w:szCs w:val="20"/>
                <w:color w:val="auto"/>
              </w:rPr>
            </w:pPr>
            <w:r>
              <w:rPr>
                <w:rFonts w:ascii="Arial" w:cs="Arial" w:eastAsia="Arial" w:hAnsi="Arial"/>
                <w:sz w:val="18"/>
                <w:szCs w:val="18"/>
                <w:color w:val="auto"/>
              </w:rPr>
              <w:t>(v)   an increase of capital out of equity, against contribution</w:t>
            </w:r>
          </w:p>
        </w:tc>
        <w:tc>
          <w:tcPr>
            <w:tcW w:w="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actions;</w:t>
            </w:r>
          </w:p>
        </w:tc>
        <w:tc>
          <w:tcPr>
            <w:tcW w:w="0" w:type="dxa"/>
            <w:vAlign w:val="bottom"/>
          </w:tcPr>
          <w:p>
            <w:pPr>
              <w:spacing w:after="0"/>
              <w:rPr>
                <w:sz w:val="1"/>
                <w:szCs w:val="1"/>
                <w:color w:val="auto"/>
              </w:rPr>
            </w:pPr>
          </w:p>
        </w:tc>
      </w:tr>
      <w:tr>
        <w:trPr>
          <w:trHeight w:val="188"/>
        </w:trPr>
        <w:tc>
          <w:tcPr>
            <w:tcW w:w="5540" w:type="dxa"/>
            <w:vAlign w:val="bottom"/>
            <w:tcBorders>
              <w:left w:val="single" w:sz="8" w:color="auto"/>
              <w:right w:val="single" w:sz="8" w:color="auto"/>
            </w:tcBorders>
            <w:gridSpan w:val="2"/>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46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tcBorders>
          </w:tcPr>
          <w:p>
            <w:pPr>
              <w:spacing w:after="0"/>
              <w:rPr>
                <w:sz w:val="17"/>
                <w:szCs w:val="17"/>
                <w:color w:val="auto"/>
              </w:rPr>
            </w:pPr>
          </w:p>
        </w:tc>
        <w:tc>
          <w:tcPr>
            <w:tcW w:w="4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 kind, or for the purpose of acquisition of assets and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500"/>
              <w:spacing w:after="0" w:line="202" w:lineRule="exact"/>
              <w:rPr>
                <w:sz w:val="20"/>
                <w:szCs w:val="20"/>
                <w:color w:val="auto"/>
              </w:rPr>
            </w:pPr>
            <w:r>
              <w:rPr>
                <w:rFonts w:ascii="Arial" w:cs="Arial" w:eastAsia="Arial" w:hAnsi="Arial"/>
                <w:sz w:val="18"/>
                <w:szCs w:val="18"/>
                <w:color w:val="auto"/>
              </w:rPr>
              <w:t>(v)   l'augmentation du capital-actions au moyen des fonds</w:t>
            </w:r>
          </w:p>
        </w:tc>
        <w:tc>
          <w:tcPr>
            <w:tcW w:w="0" w:type="dxa"/>
            <w:vAlign w:val="bottom"/>
          </w:tcPr>
          <w:p>
            <w:pPr>
              <w:spacing w:after="0"/>
              <w:rPr>
                <w:sz w:val="1"/>
                <w:szCs w:val="1"/>
                <w:color w:val="auto"/>
              </w:rPr>
            </w:pPr>
          </w:p>
        </w:tc>
      </w:tr>
      <w:tr>
        <w:trPr>
          <w:trHeight w:val="203"/>
        </w:trPr>
        <w:tc>
          <w:tcPr>
            <w:tcW w:w="780" w:type="dxa"/>
            <w:vAlign w:val="bottom"/>
            <w:tcBorders>
              <w:left w:val="single" w:sz="8" w:color="auto"/>
            </w:tcBorders>
          </w:tcPr>
          <w:p>
            <w:pPr>
              <w:spacing w:after="0"/>
              <w:rPr>
                <w:sz w:val="17"/>
                <w:szCs w:val="17"/>
                <w:color w:val="auto"/>
              </w:rPr>
            </w:pPr>
          </w:p>
        </w:tc>
        <w:tc>
          <w:tcPr>
            <w:tcW w:w="47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granting of special benefits;</w:t>
            </w:r>
          </w:p>
        </w:tc>
        <w:tc>
          <w:tcPr>
            <w:tcW w:w="22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46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propres, contre apport en nature ou en vue d'une reprise</w:t>
            </w:r>
          </w:p>
        </w:tc>
        <w:tc>
          <w:tcPr>
            <w:tcW w:w="0" w:type="dxa"/>
            <w:vAlign w:val="bottom"/>
          </w:tcPr>
          <w:p>
            <w:pPr>
              <w:spacing w:after="0"/>
              <w:rPr>
                <w:sz w:val="1"/>
                <w:szCs w:val="1"/>
                <w:color w:val="auto"/>
              </w:rPr>
            </w:pPr>
          </w:p>
        </w:tc>
      </w:tr>
      <w:tr>
        <w:trPr>
          <w:trHeight w:val="217"/>
        </w:trPr>
        <w:tc>
          <w:tcPr>
            <w:tcW w:w="780" w:type="dxa"/>
            <w:vAlign w:val="bottom"/>
            <w:tcBorders>
              <w:left w:val="single" w:sz="8" w:color="auto"/>
            </w:tcBorders>
          </w:tcPr>
          <w:p>
            <w:pPr>
              <w:spacing w:after="0"/>
              <w:rPr>
                <w:sz w:val="18"/>
                <w:szCs w:val="18"/>
                <w:color w:val="auto"/>
              </w:rPr>
            </w:pPr>
          </w:p>
        </w:tc>
        <w:tc>
          <w:tcPr>
            <w:tcW w:w="47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4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de biens et l'octroi d'avantages particuliers;</w:t>
            </w:r>
          </w:p>
        </w:tc>
        <w:tc>
          <w:tcPr>
            <w:tcW w:w="0" w:type="dxa"/>
            <w:vAlign w:val="bottom"/>
          </w:tcPr>
          <w:p>
            <w:pPr>
              <w:spacing w:after="0"/>
              <w:rPr>
                <w:sz w:val="1"/>
                <w:szCs w:val="1"/>
                <w:color w:val="auto"/>
              </w:rPr>
            </w:pPr>
          </w:p>
        </w:tc>
      </w:tr>
      <w:tr>
        <w:trPr>
          <w:trHeight w:val="54"/>
        </w:trPr>
        <w:tc>
          <w:tcPr>
            <w:tcW w:w="780" w:type="dxa"/>
            <w:vAlign w:val="bottom"/>
            <w:tcBorders>
              <w:left w:val="single" w:sz="8" w:color="auto"/>
              <w:bottom w:val="single" w:sz="8" w:color="auto"/>
            </w:tcBorders>
          </w:tcPr>
          <w:p>
            <w:pPr>
              <w:spacing w:after="0"/>
              <w:rPr>
                <w:sz w:val="4"/>
                <w:szCs w:val="4"/>
                <w:color w:val="auto"/>
              </w:rPr>
            </w:pPr>
          </w:p>
        </w:tc>
        <w:tc>
          <w:tcPr>
            <w:tcW w:w="476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6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0"/>
        </w:trPr>
        <w:tc>
          <w:tcPr>
            <w:tcW w:w="7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7" w:right="3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5600" w:type="dxa"/>
            <w:vAlign w:val="bottom"/>
          </w:tcPr>
          <w:p>
            <w:pPr>
              <w:ind w:left="53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94"/>
        </w:trPr>
        <w:tc>
          <w:tcPr>
            <w:tcW w:w="340" w:type="dxa"/>
            <w:vAlign w:val="bottom"/>
            <w:tcBorders>
              <w:bottom w:val="single" w:sz="8" w:color="auto"/>
            </w:tcBorders>
          </w:tcPr>
          <w:p>
            <w:pPr>
              <w:spacing w:after="0"/>
              <w:rPr>
                <w:sz w:val="8"/>
                <w:szCs w:val="8"/>
                <w:color w:val="auto"/>
              </w:rPr>
            </w:pPr>
          </w:p>
        </w:tc>
        <w:tc>
          <w:tcPr>
            <w:tcW w:w="5300" w:type="dxa"/>
            <w:vAlign w:val="bottom"/>
            <w:tcBorders>
              <w:bottom w:val="single" w:sz="8" w:color="auto"/>
            </w:tcBorders>
          </w:tcPr>
          <w:p>
            <w:pPr>
              <w:spacing w:after="0"/>
              <w:rPr>
                <w:sz w:val="8"/>
                <w:szCs w:val="8"/>
                <w:color w:val="auto"/>
              </w:rPr>
            </w:pPr>
          </w:p>
        </w:tc>
        <w:tc>
          <w:tcPr>
            <w:tcW w:w="56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(vi)  the limitation or withdrawal of subscription rights;</w:t>
            </w:r>
          </w:p>
        </w:tc>
        <w:tc>
          <w:tcPr>
            <w:tcW w:w="5600" w:type="dxa"/>
            <w:vAlign w:val="bottom"/>
          </w:tcPr>
          <w:p>
            <w:pPr>
              <w:ind w:left="620"/>
              <w:spacing w:after="0"/>
              <w:rPr>
                <w:sz w:val="20"/>
                <w:szCs w:val="20"/>
                <w:color w:val="auto"/>
              </w:rPr>
            </w:pPr>
            <w:r>
              <w:rPr>
                <w:rFonts w:ascii="Arial" w:cs="Arial" w:eastAsia="Arial" w:hAnsi="Arial"/>
                <w:sz w:val="18"/>
                <w:szCs w:val="18"/>
                <w:color w:val="auto"/>
              </w:rPr>
              <w:t>(vi)  la limitation ou la suppression du droit de souscription</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300" w:type="dxa"/>
            <w:vAlign w:val="bottom"/>
            <w:vMerge w:val="restart"/>
          </w:tcPr>
          <w:p>
            <w:pPr>
              <w:ind w:left="140"/>
              <w:spacing w:after="0"/>
              <w:rPr>
                <w:sz w:val="20"/>
                <w:szCs w:val="20"/>
                <w:color w:val="auto"/>
              </w:rPr>
            </w:pPr>
            <w:r>
              <w:rPr>
                <w:rFonts w:ascii="Arial" w:cs="Arial" w:eastAsia="Arial" w:hAnsi="Arial"/>
                <w:sz w:val="18"/>
                <w:szCs w:val="18"/>
                <w:color w:val="auto"/>
              </w:rPr>
              <w:t>(vii) the change of the domicile of the Company; and</w:t>
            </w:r>
          </w:p>
        </w:tc>
        <w:tc>
          <w:tcPr>
            <w:tcW w:w="5600" w:type="dxa"/>
            <w:vAlign w:val="bottom"/>
          </w:tcPr>
          <w:p>
            <w:pPr>
              <w:ind w:left="1020"/>
              <w:spacing w:after="0"/>
              <w:rPr>
                <w:sz w:val="20"/>
                <w:szCs w:val="20"/>
                <w:color w:val="auto"/>
              </w:rPr>
            </w:pPr>
            <w:r>
              <w:rPr>
                <w:rFonts w:ascii="Arial" w:cs="Arial" w:eastAsia="Arial" w:hAnsi="Arial"/>
                <w:sz w:val="18"/>
                <w:szCs w:val="18"/>
                <w:color w:val="auto"/>
              </w:rPr>
              <w:t>préférentiel;</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00" w:type="dxa"/>
            <w:vAlign w:val="bottom"/>
            <w:vMerge w:val="continue"/>
          </w:tcPr>
          <w:p>
            <w:pPr>
              <w:spacing w:after="0"/>
              <w:rPr>
                <w:sz w:val="17"/>
                <w:szCs w:val="17"/>
                <w:color w:val="auto"/>
              </w:rPr>
            </w:pPr>
          </w:p>
        </w:tc>
        <w:tc>
          <w:tcPr>
            <w:tcW w:w="5600" w:type="dxa"/>
            <w:vAlign w:val="bottom"/>
            <w:vMerge w:val="restart"/>
          </w:tcPr>
          <w:p>
            <w:pPr>
              <w:ind w:left="620"/>
              <w:spacing w:after="0"/>
              <w:rPr>
                <w:sz w:val="20"/>
                <w:szCs w:val="20"/>
                <w:color w:val="auto"/>
              </w:rPr>
            </w:pPr>
            <w:r>
              <w:rPr>
                <w:rFonts w:ascii="Arial" w:cs="Arial" w:eastAsia="Arial" w:hAnsi="Arial"/>
                <w:sz w:val="18"/>
                <w:szCs w:val="18"/>
                <w:color w:val="auto"/>
              </w:rPr>
              <w:t>(vii) le transfert du siège de la société; et</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00" w:type="dxa"/>
            <w:vAlign w:val="bottom"/>
            <w:vMerge w:val="restart"/>
          </w:tcPr>
          <w:p>
            <w:pPr>
              <w:ind w:left="140"/>
              <w:spacing w:after="0"/>
              <w:rPr>
                <w:sz w:val="20"/>
                <w:szCs w:val="20"/>
                <w:color w:val="auto"/>
              </w:rPr>
            </w:pPr>
            <w:r>
              <w:rPr>
                <w:rFonts w:ascii="Arial" w:cs="Arial" w:eastAsia="Arial" w:hAnsi="Arial"/>
                <w:sz w:val="18"/>
                <w:szCs w:val="18"/>
                <w:color w:val="auto"/>
              </w:rPr>
              <w:t>(viii) the liquidation of the Company;</w:t>
            </w:r>
          </w:p>
        </w:tc>
        <w:tc>
          <w:tcPr>
            <w:tcW w:w="5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00" w:type="dxa"/>
            <w:vAlign w:val="bottom"/>
            <w:vMerge w:val="continue"/>
          </w:tcPr>
          <w:p>
            <w:pPr>
              <w:spacing w:after="0"/>
              <w:rPr>
                <w:sz w:val="17"/>
                <w:szCs w:val="17"/>
                <w:color w:val="auto"/>
              </w:rPr>
            </w:pPr>
          </w:p>
        </w:tc>
        <w:tc>
          <w:tcPr>
            <w:tcW w:w="5600" w:type="dxa"/>
            <w:vAlign w:val="bottom"/>
            <w:vMerge w:val="restart"/>
          </w:tcPr>
          <w:p>
            <w:pPr>
              <w:ind w:left="620"/>
              <w:spacing w:after="0"/>
              <w:rPr>
                <w:sz w:val="20"/>
                <w:szCs w:val="20"/>
                <w:color w:val="auto"/>
              </w:rPr>
            </w:pPr>
            <w:r>
              <w:rPr>
                <w:rFonts w:ascii="Arial" w:cs="Arial" w:eastAsia="Arial" w:hAnsi="Arial"/>
                <w:sz w:val="18"/>
                <w:szCs w:val="18"/>
                <w:color w:val="auto"/>
              </w:rPr>
              <w:t>(viii) la dissolution de la société;</w:t>
            </w:r>
          </w:p>
        </w:tc>
        <w:tc>
          <w:tcPr>
            <w:tcW w:w="0" w:type="dxa"/>
            <w:vAlign w:val="bottom"/>
          </w:tcPr>
          <w:p>
            <w:pPr>
              <w:spacing w:after="0"/>
              <w:rPr>
                <w:sz w:val="1"/>
                <w:szCs w:val="1"/>
                <w:color w:val="auto"/>
              </w:rPr>
            </w:pPr>
          </w:p>
        </w:tc>
      </w:tr>
      <w:tr>
        <w:trPr>
          <w:trHeight w:val="203"/>
        </w:trPr>
        <w:tc>
          <w:tcPr>
            <w:tcW w:w="5640" w:type="dxa"/>
            <w:vAlign w:val="bottom"/>
            <w:gridSpan w:val="2"/>
            <w:vMerge w:val="restart"/>
          </w:tcPr>
          <w:p>
            <w:pPr>
              <w:ind w:left="80"/>
              <w:spacing w:after="0"/>
              <w:rPr>
                <w:sz w:val="20"/>
                <w:szCs w:val="20"/>
                <w:color w:val="auto"/>
              </w:rPr>
            </w:pPr>
            <w:r>
              <w:rPr>
                <w:rFonts w:ascii="Arial" w:cs="Arial" w:eastAsia="Arial" w:hAnsi="Arial"/>
                <w:sz w:val="18"/>
                <w:szCs w:val="18"/>
                <w:color w:val="auto"/>
              </w:rPr>
              <w:t>b)   the merger, de-merger or conversion of the Company (subject</w:t>
            </w:r>
          </w:p>
        </w:tc>
        <w:tc>
          <w:tcPr>
            <w:tcW w:w="5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640" w:type="dxa"/>
            <w:vAlign w:val="bottom"/>
            <w:gridSpan w:val="2"/>
            <w:vMerge w:val="continue"/>
          </w:tcPr>
          <w:p>
            <w:pPr>
              <w:spacing w:after="0"/>
              <w:rPr>
                <w:sz w:val="16"/>
                <w:szCs w:val="16"/>
                <w:color w:val="auto"/>
              </w:rPr>
            </w:pPr>
          </w:p>
        </w:tc>
        <w:tc>
          <w:tcPr>
            <w:tcW w:w="5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to mandatory law);</w:t>
            </w:r>
          </w:p>
        </w:tc>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b)   la fusion, la scission ou la conversion de la société (sous</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5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c)  the alleviating or withdrawal of restrictions upon the transfer of</w:t>
            </w:r>
          </w:p>
        </w:tc>
        <w:tc>
          <w:tcPr>
            <w:tcW w:w="5600" w:type="dxa"/>
            <w:vAlign w:val="bottom"/>
          </w:tcPr>
          <w:p>
            <w:pPr>
              <w:ind w:left="500"/>
              <w:spacing w:after="0" w:line="202" w:lineRule="exact"/>
              <w:rPr>
                <w:sz w:val="20"/>
                <w:szCs w:val="20"/>
                <w:color w:val="auto"/>
              </w:rPr>
            </w:pPr>
            <w:r>
              <w:rPr>
                <w:rFonts w:ascii="Arial" w:cs="Arial" w:eastAsia="Arial" w:hAnsi="Arial"/>
                <w:sz w:val="18"/>
                <w:szCs w:val="18"/>
                <w:color w:val="auto"/>
              </w:rPr>
              <w:t>réserve des dispositions impératives);</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registered shares;</w:t>
            </w:r>
          </w:p>
        </w:tc>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c)  l'atténuation ou la suppression des restrictions sur le transfert</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5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Pr>
          <w:p>
            <w:pPr>
              <w:ind w:left="80"/>
              <w:spacing w:after="0" w:line="202" w:lineRule="exact"/>
              <w:rPr>
                <w:sz w:val="20"/>
                <w:szCs w:val="20"/>
                <w:color w:val="auto"/>
              </w:rPr>
            </w:pPr>
            <w:r>
              <w:rPr>
                <w:rFonts w:ascii="Arial" w:cs="Arial" w:eastAsia="Arial" w:hAnsi="Arial"/>
                <w:sz w:val="18"/>
                <w:szCs w:val="18"/>
                <w:color w:val="auto"/>
              </w:rPr>
              <w:t>d)</w:t>
            </w:r>
          </w:p>
        </w:tc>
        <w:tc>
          <w:tcPr>
            <w:tcW w:w="5300" w:type="dxa"/>
            <w:vAlign w:val="bottom"/>
          </w:tcPr>
          <w:p>
            <w:pPr>
              <w:ind w:left="220"/>
              <w:spacing w:after="0" w:line="202" w:lineRule="exact"/>
              <w:rPr>
                <w:sz w:val="20"/>
                <w:szCs w:val="20"/>
                <w:color w:val="auto"/>
              </w:rPr>
            </w:pPr>
            <w:r>
              <w:rPr>
                <w:rFonts w:ascii="Arial" w:cs="Arial" w:eastAsia="Arial" w:hAnsi="Arial"/>
                <w:sz w:val="18"/>
                <w:szCs w:val="18"/>
                <w:color w:val="auto"/>
              </w:rPr>
              <w:t>the conversion of registered shares into bearer shares and</w:t>
            </w:r>
          </w:p>
        </w:tc>
        <w:tc>
          <w:tcPr>
            <w:tcW w:w="5600" w:type="dxa"/>
            <w:vAlign w:val="bottom"/>
          </w:tcPr>
          <w:p>
            <w:pPr>
              <w:ind w:left="500"/>
              <w:spacing w:after="0" w:line="202" w:lineRule="exact"/>
              <w:rPr>
                <w:sz w:val="20"/>
                <w:szCs w:val="20"/>
                <w:color w:val="auto"/>
              </w:rPr>
            </w:pPr>
            <w:r>
              <w:rPr>
                <w:rFonts w:ascii="Arial" w:cs="Arial" w:eastAsia="Arial" w:hAnsi="Arial"/>
                <w:sz w:val="18"/>
                <w:szCs w:val="18"/>
                <w:color w:val="auto"/>
              </w:rPr>
              <w:t>des actions nominatives;</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Arial" w:cs="Arial" w:eastAsia="Arial" w:hAnsi="Arial"/>
                <w:sz w:val="18"/>
                <w:szCs w:val="18"/>
                <w:color w:val="auto"/>
              </w:rPr>
              <w:t>vice versa; and</w:t>
            </w:r>
          </w:p>
        </w:tc>
        <w:tc>
          <w:tcPr>
            <w:tcW w:w="5600" w:type="dxa"/>
            <w:vAlign w:val="bottom"/>
            <w:vMerge w:val="restart"/>
          </w:tcPr>
          <w:p>
            <w:pPr>
              <w:ind w:left="180"/>
              <w:spacing w:after="0"/>
              <w:rPr>
                <w:sz w:val="20"/>
                <w:szCs w:val="20"/>
                <w:color w:val="auto"/>
              </w:rPr>
            </w:pPr>
            <w:r>
              <w:rPr>
                <w:rFonts w:ascii="Arial" w:cs="Arial" w:eastAsia="Arial" w:hAnsi="Arial"/>
                <w:sz w:val="18"/>
                <w:szCs w:val="18"/>
                <w:color w:val="auto"/>
              </w:rPr>
              <w:t>d)   la conversion d'actions nominatives en actions au porteur et</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5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  the amendment or elimination of the provisions of Article 4 and</w:t>
            </w:r>
          </w:p>
        </w:tc>
        <w:tc>
          <w:tcPr>
            <w:tcW w:w="5600" w:type="dxa"/>
            <w:vAlign w:val="bottom"/>
          </w:tcPr>
          <w:p>
            <w:pPr>
              <w:ind w:left="500"/>
              <w:spacing w:after="0" w:line="202" w:lineRule="exact"/>
              <w:rPr>
                <w:sz w:val="20"/>
                <w:szCs w:val="20"/>
                <w:color w:val="auto"/>
              </w:rPr>
            </w:pPr>
            <w:r>
              <w:rPr>
                <w:rFonts w:ascii="Arial" w:cs="Arial" w:eastAsia="Arial" w:hAnsi="Arial"/>
                <w:sz w:val="18"/>
                <w:szCs w:val="18"/>
                <w:color w:val="auto"/>
              </w:rPr>
              <w:t>vice versa; et</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00" w:type="dxa"/>
            <w:vAlign w:val="bottom"/>
          </w:tcPr>
          <w:p>
            <w:pPr>
              <w:ind w:left="80"/>
              <w:spacing w:after="0" w:line="202" w:lineRule="exact"/>
              <w:rPr>
                <w:sz w:val="20"/>
                <w:szCs w:val="20"/>
                <w:color w:val="auto"/>
              </w:rPr>
            </w:pPr>
            <w:r>
              <w:rPr>
                <w:rFonts w:ascii="Arial" w:cs="Arial" w:eastAsia="Arial" w:hAnsi="Arial"/>
                <w:sz w:val="18"/>
                <w:szCs w:val="18"/>
                <w:color w:val="auto"/>
              </w:rPr>
              <w:t>29 of the Articles of Association as well as those contained in</w:t>
            </w:r>
          </w:p>
        </w:tc>
        <w:tc>
          <w:tcPr>
            <w:tcW w:w="5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00" w:type="dxa"/>
            <w:vAlign w:val="bottom"/>
          </w:tcPr>
          <w:p>
            <w:pPr>
              <w:ind w:left="80"/>
              <w:spacing w:after="0" w:line="202" w:lineRule="exact"/>
              <w:rPr>
                <w:sz w:val="20"/>
                <w:szCs w:val="20"/>
                <w:color w:val="auto"/>
              </w:rPr>
            </w:pPr>
            <w:r>
              <w:rPr>
                <w:rFonts w:ascii="Arial" w:cs="Arial" w:eastAsia="Arial" w:hAnsi="Arial"/>
                <w:sz w:val="18"/>
                <w:szCs w:val="18"/>
                <w:color w:val="auto"/>
              </w:rPr>
              <w:t>this Article 17.</w:t>
            </w:r>
          </w:p>
        </w:tc>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e)  la modification ou la suppression des dispositions des articles</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5600" w:type="dxa"/>
            <w:vAlign w:val="bottom"/>
          </w:tcPr>
          <w:p>
            <w:pPr>
              <w:ind w:left="500"/>
              <w:spacing w:after="0" w:line="202" w:lineRule="exact"/>
              <w:rPr>
                <w:sz w:val="20"/>
                <w:szCs w:val="20"/>
                <w:color w:val="auto"/>
              </w:rPr>
            </w:pPr>
            <w:r>
              <w:rPr>
                <w:rFonts w:ascii="Arial" w:cs="Arial" w:eastAsia="Arial" w:hAnsi="Arial"/>
                <w:sz w:val="18"/>
                <w:szCs w:val="18"/>
                <w:color w:val="auto"/>
              </w:rPr>
              <w:t>4 et 29 des statuts ainsi que ceux contenues dans le présent</w:t>
            </w: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5600" w:type="dxa"/>
            <w:vAlign w:val="bottom"/>
          </w:tcPr>
          <w:p>
            <w:pPr>
              <w:ind w:left="500"/>
              <w:spacing w:after="0"/>
              <w:rPr>
                <w:sz w:val="20"/>
                <w:szCs w:val="20"/>
                <w:color w:val="auto"/>
              </w:rPr>
            </w:pPr>
            <w:r>
              <w:rPr>
                <w:rFonts w:ascii="Arial" w:cs="Arial" w:eastAsia="Arial" w:hAnsi="Arial"/>
                <w:sz w:val="18"/>
                <w:szCs w:val="18"/>
                <w:color w:val="auto"/>
              </w:rPr>
              <w:t>article 17.</w:t>
            </w:r>
          </w:p>
        </w:tc>
        <w:tc>
          <w:tcPr>
            <w:tcW w:w="0" w:type="dxa"/>
            <w:vAlign w:val="bottom"/>
          </w:tcPr>
          <w:p>
            <w:pPr>
              <w:spacing w:after="0"/>
              <w:rPr>
                <w:sz w:val="1"/>
                <w:szCs w:val="1"/>
                <w:color w:val="auto"/>
              </w:rPr>
            </w:pPr>
          </w:p>
        </w:tc>
      </w:tr>
      <w:tr>
        <w:trPr>
          <w:trHeight w:val="257"/>
        </w:trPr>
        <w:tc>
          <w:tcPr>
            <w:tcW w:w="5640" w:type="dxa"/>
            <w:vAlign w:val="bottom"/>
            <w:tcBorders>
              <w:bottom w:val="single" w:sz="8" w:color="auto"/>
            </w:tcBorders>
            <w:gridSpan w:val="2"/>
          </w:tcPr>
          <w:p>
            <w:pPr>
              <w:spacing w:after="0"/>
              <w:rPr>
                <w:sz w:val="22"/>
                <w:szCs w:val="22"/>
                <w:color w:val="auto"/>
              </w:rPr>
            </w:pPr>
          </w:p>
        </w:tc>
        <w:tc>
          <w:tcPr>
            <w:tcW w:w="56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640" w:type="dxa"/>
            <w:vAlign w:val="bottom"/>
            <w:gridSpan w:val="2"/>
          </w:tcPr>
          <w:p>
            <w:pPr>
              <w:ind w:left="80"/>
              <w:spacing w:after="0"/>
              <w:rPr>
                <w:sz w:val="20"/>
                <w:szCs w:val="20"/>
                <w:color w:val="auto"/>
              </w:rPr>
            </w:pPr>
            <w:r>
              <w:rPr>
                <w:rFonts w:ascii="Arial" w:cs="Arial" w:eastAsia="Arial" w:hAnsi="Arial"/>
                <w:sz w:val="18"/>
                <w:szCs w:val="18"/>
                <w:b w:val="1"/>
                <w:bCs w:val="1"/>
                <w:color w:val="auto"/>
              </w:rPr>
              <w:t>Art. 18 Votes on Compensation</w:t>
            </w:r>
          </w:p>
        </w:tc>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Art. 18 Votes sur la rémunération</w:t>
            </w:r>
          </w:p>
        </w:tc>
        <w:tc>
          <w:tcPr>
            <w:tcW w:w="0" w:type="dxa"/>
            <w:vAlign w:val="bottom"/>
          </w:tcPr>
          <w:p>
            <w:pPr>
              <w:spacing w:after="0"/>
              <w:rPr>
                <w:sz w:val="1"/>
                <w:szCs w:val="1"/>
                <w:color w:val="auto"/>
              </w:rPr>
            </w:pPr>
          </w:p>
        </w:tc>
      </w:tr>
      <w:tr>
        <w:trPr>
          <w:trHeight w:val="391"/>
        </w:trPr>
        <w:tc>
          <w:tcPr>
            <w:tcW w:w="5640" w:type="dxa"/>
            <w:vAlign w:val="bottom"/>
            <w:gridSpan w:val="2"/>
          </w:tcPr>
          <w:p>
            <w:pPr>
              <w:ind w:left="80"/>
              <w:spacing w:after="0"/>
              <w:rPr>
                <w:sz w:val="20"/>
                <w:szCs w:val="20"/>
                <w:color w:val="auto"/>
              </w:rPr>
            </w:pPr>
            <w:r>
              <w:rPr>
                <w:rFonts w:ascii="Arial" w:cs="Arial" w:eastAsia="Arial" w:hAnsi="Arial"/>
                <w:sz w:val="18"/>
                <w:szCs w:val="18"/>
                <w:color w:val="auto"/>
              </w:rPr>
              <w:t>Each year, the General Meeting separately approves the total</w:t>
            </w:r>
          </w:p>
        </w:tc>
        <w:tc>
          <w:tcPr>
            <w:tcW w:w="5600" w:type="dxa"/>
            <w:vAlign w:val="bottom"/>
          </w:tcPr>
          <w:p>
            <w:pPr>
              <w:ind w:left="180"/>
              <w:spacing w:after="0"/>
              <w:rPr>
                <w:sz w:val="20"/>
                <w:szCs w:val="20"/>
                <w:color w:val="auto"/>
              </w:rPr>
            </w:pPr>
            <w:r>
              <w:rPr>
                <w:rFonts w:ascii="Arial" w:cs="Arial" w:eastAsia="Arial" w:hAnsi="Arial"/>
                <w:sz w:val="18"/>
                <w:szCs w:val="18"/>
                <w:color w:val="auto"/>
              </w:rPr>
              <w:t>Chaque année, l'assemblée générale approuve séparément les</w:t>
            </w:r>
          </w:p>
        </w:tc>
        <w:tc>
          <w:tcPr>
            <w:tcW w:w="0" w:type="dxa"/>
            <w:vAlign w:val="bottom"/>
          </w:tcPr>
          <w:p>
            <w:pPr>
              <w:spacing w:after="0"/>
              <w:rPr>
                <w:sz w:val="1"/>
                <w:szCs w:val="1"/>
                <w:color w:val="auto"/>
              </w:rPr>
            </w:pPr>
          </w:p>
        </w:tc>
      </w:tr>
      <w:tr>
        <w:trPr>
          <w:trHeight w:val="203"/>
        </w:trPr>
        <w:tc>
          <w:tcPr>
            <w:tcW w:w="56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maximum amounts proposed by the Board of Directors pursuant to</w:t>
            </w:r>
          </w:p>
        </w:tc>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montants   totaux   maximaux   proposés   par   le   conseil</w:t>
            </w:r>
          </w:p>
        </w:tc>
        <w:tc>
          <w:tcPr>
            <w:tcW w:w="0" w:type="dxa"/>
            <w:vAlign w:val="bottom"/>
          </w:tcPr>
          <w:p>
            <w:pPr>
              <w:spacing w:after="0"/>
              <w:rPr>
                <w:sz w:val="1"/>
                <w:szCs w:val="1"/>
                <w:color w:val="auto"/>
              </w:rPr>
            </w:pPr>
          </w:p>
        </w:tc>
      </w:tr>
      <w:tr>
        <w:trPr>
          <w:trHeight w:val="203"/>
        </w:trPr>
        <w:tc>
          <w:tcPr>
            <w:tcW w:w="56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Articles 32 and 33 of the Articles of Association for:</w:t>
            </w:r>
          </w:p>
        </w:tc>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d'administration conformément aux articles 32 et 33 des statuts</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5600" w:type="dxa"/>
            <w:vAlign w:val="bottom"/>
          </w:tcPr>
          <w:p>
            <w:pPr>
              <w:ind w:left="180"/>
              <w:spacing w:after="0" w:line="202" w:lineRule="exact"/>
              <w:rPr>
                <w:sz w:val="20"/>
                <w:szCs w:val="20"/>
                <w:color w:val="auto"/>
              </w:rPr>
            </w:pPr>
            <w:r>
              <w:rPr>
                <w:rFonts w:ascii="Arial" w:cs="Arial" w:eastAsia="Arial" w:hAnsi="Arial"/>
                <w:sz w:val="18"/>
                <w:szCs w:val="18"/>
                <w:color w:val="auto"/>
              </w:rPr>
              <w:t>pour: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-3616325</wp:posOffset>
            </wp:positionV>
            <wp:extent cx="7132320" cy="6111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6111875"/>
                    </a:xfrm>
                    <a:prstGeom prst="rect">
                      <a:avLst/>
                    </a:prstGeom>
                    <a:noFill/>
                  </pic:spPr>
                </pic:pic>
              </a:graphicData>
            </a:graphic>
          </wp:anchor>
        </w:drawing>
      </w:r>
    </w:p>
    <w:p>
      <w:pPr>
        <w:ind w:left="560" w:hanging="471"/>
        <w:spacing w:after="0" w:line="234" w:lineRule="auto"/>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non-performance-related compensation of the Board of</w:t>
      </w:r>
    </w:p>
    <w:tbl>
      <w:tblPr>
        <w:tblLayout w:type="fixed"/>
        <w:tblInd w:w="480" w:type="dxa"/>
        <w:tblCellMar>
          <w:top w:w="0" w:type="dxa"/>
          <w:left w:w="0" w:type="dxa"/>
          <w:bottom w:w="0" w:type="dxa"/>
          <w:right w:w="0" w:type="dxa"/>
        </w:tblCellMar>
      </w:tblPr>
      <w:tr>
        <w:trPr>
          <w:trHeight w:val="203"/>
        </w:trPr>
        <w:tc>
          <w:tcPr>
            <w:tcW w:w="4060" w:type="dxa"/>
            <w:vAlign w:val="bottom"/>
          </w:tcPr>
          <w:p>
            <w:pPr>
              <w:spacing w:after="0" w:line="203" w:lineRule="exact"/>
              <w:rPr>
                <w:sz w:val="20"/>
                <w:szCs w:val="20"/>
                <w:color w:val="auto"/>
              </w:rPr>
            </w:pPr>
            <w:r>
              <w:rPr>
                <w:rFonts w:ascii="Arial" w:cs="Arial" w:eastAsia="Arial" w:hAnsi="Arial"/>
                <w:sz w:val="18"/>
                <w:szCs w:val="18"/>
                <w:color w:val="auto"/>
              </w:rPr>
              <w:t>Directors for the next term of office;</w:t>
            </w:r>
          </w:p>
        </w:tc>
        <w:tc>
          <w:tcPr>
            <w:tcW w:w="1580" w:type="dxa"/>
            <w:vAlign w:val="bottom"/>
          </w:tcPr>
          <w:p>
            <w:pPr>
              <w:ind w:left="1280"/>
              <w:spacing w:after="0" w:line="203" w:lineRule="exact"/>
              <w:rPr>
                <w:sz w:val="20"/>
                <w:szCs w:val="20"/>
                <w:color w:val="auto"/>
              </w:rPr>
            </w:pPr>
            <w:r>
              <w:rPr>
                <w:rFonts w:ascii="Arial" w:cs="Arial" w:eastAsia="Arial" w:hAnsi="Arial"/>
                <w:sz w:val="18"/>
                <w:szCs w:val="18"/>
                <w:color w:val="auto"/>
              </w:rPr>
              <w:t>a)</w:t>
            </w:r>
          </w:p>
        </w:tc>
        <w:tc>
          <w:tcPr>
            <w:tcW w:w="5040" w:type="dxa"/>
            <w:vAlign w:val="bottom"/>
          </w:tcPr>
          <w:p>
            <w:pPr>
              <w:ind w:left="440"/>
              <w:spacing w:after="0" w:line="203" w:lineRule="exact"/>
              <w:rPr>
                <w:sz w:val="20"/>
                <w:szCs w:val="20"/>
                <w:color w:val="auto"/>
              </w:rPr>
            </w:pPr>
            <w:r>
              <w:rPr>
                <w:rFonts w:ascii="Arial" w:cs="Arial" w:eastAsia="Arial" w:hAnsi="Arial"/>
                <w:sz w:val="18"/>
                <w:szCs w:val="18"/>
                <w:color w:val="auto"/>
              </w:rPr>
              <w:t>la rémunération non liée à la performance du conseil</w:t>
            </w:r>
          </w:p>
        </w:tc>
      </w:tr>
      <w:tr>
        <w:trPr>
          <w:trHeight w:val="202"/>
        </w:trPr>
        <w:tc>
          <w:tcPr>
            <w:tcW w:w="4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040" w:type="dxa"/>
            <w:vAlign w:val="bottom"/>
          </w:tcPr>
          <w:p>
            <w:pPr>
              <w:ind w:left="140"/>
              <w:spacing w:after="0" w:line="202" w:lineRule="exact"/>
              <w:rPr>
                <w:sz w:val="20"/>
                <w:szCs w:val="20"/>
                <w:color w:val="auto"/>
              </w:rPr>
            </w:pPr>
            <w:r>
              <w:rPr>
                <w:rFonts w:ascii="Arial" w:cs="Arial" w:eastAsia="Arial" w:hAnsi="Arial"/>
                <w:sz w:val="18"/>
                <w:szCs w:val="18"/>
                <w:color w:val="auto"/>
              </w:rPr>
              <w:t>d'administration pour le prochain mandat;</w:t>
            </w:r>
          </w:p>
        </w:tc>
      </w:tr>
    </w:tbl>
    <w:p>
      <w:pPr>
        <w:ind w:left="520" w:hanging="431"/>
        <w:spacing w:after="0" w:line="234"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possible additional compensation of the Board of Directors</w:t>
      </w:r>
    </w:p>
    <w:tbl>
      <w:tblPr>
        <w:tblLayout w:type="fixed"/>
        <w:tblInd w:w="8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5260" w:type="dxa"/>
            <w:vAlign w:val="bottom"/>
          </w:tcPr>
          <w:p>
            <w:pPr>
              <w:ind w:left="120"/>
              <w:spacing w:after="0" w:line="203" w:lineRule="exact"/>
              <w:rPr>
                <w:sz w:val="20"/>
                <w:szCs w:val="20"/>
                <w:color w:val="auto"/>
              </w:rPr>
            </w:pPr>
            <w:r>
              <w:rPr>
                <w:rFonts w:ascii="Arial" w:cs="Arial" w:eastAsia="Arial" w:hAnsi="Arial"/>
                <w:sz w:val="18"/>
                <w:szCs w:val="18"/>
                <w:color w:val="auto"/>
              </w:rPr>
              <w:t>for the preceding business year;</w:t>
            </w:r>
          </w:p>
        </w:tc>
        <w:tc>
          <w:tcPr>
            <w:tcW w:w="500" w:type="dxa"/>
            <w:vAlign w:val="bottom"/>
          </w:tcPr>
          <w:p>
            <w:pPr>
              <w:ind w:left="200"/>
              <w:spacing w:after="0" w:line="203" w:lineRule="exact"/>
              <w:rPr>
                <w:sz w:val="20"/>
                <w:szCs w:val="20"/>
                <w:color w:val="auto"/>
              </w:rPr>
            </w:pPr>
            <w:r>
              <w:rPr>
                <w:rFonts w:ascii="Arial" w:cs="Arial" w:eastAsia="Arial" w:hAnsi="Arial"/>
                <w:sz w:val="18"/>
                <w:szCs w:val="18"/>
                <w:color w:val="auto"/>
              </w:rPr>
              <w:t>b)</w:t>
            </w:r>
          </w:p>
        </w:tc>
        <w:tc>
          <w:tcPr>
            <w:tcW w:w="5040" w:type="dxa"/>
            <w:vAlign w:val="bottom"/>
          </w:tcPr>
          <w:p>
            <w:pPr>
              <w:jc w:val="right"/>
              <w:spacing w:after="0" w:line="203" w:lineRule="exact"/>
              <w:rPr>
                <w:sz w:val="20"/>
                <w:szCs w:val="20"/>
                <w:color w:val="auto"/>
              </w:rPr>
            </w:pPr>
            <w:r>
              <w:rPr>
                <w:rFonts w:ascii="Arial" w:cs="Arial" w:eastAsia="Arial" w:hAnsi="Arial"/>
                <w:sz w:val="18"/>
                <w:szCs w:val="18"/>
                <w:color w:val="auto"/>
              </w:rPr>
              <w:t>une éventuelle rémunération supplémentaire du conseil</w:t>
            </w:r>
          </w:p>
        </w:tc>
      </w:tr>
      <w:tr>
        <w:trPr>
          <w:trHeight w:val="217"/>
        </w:trPr>
        <w:tc>
          <w:tcPr>
            <w:tcW w:w="2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d'administration pour l'exercice précédent;</w:t>
            </w:r>
          </w:p>
        </w:tc>
      </w:tr>
      <w:tr>
        <w:trPr>
          <w:trHeight w:val="391"/>
        </w:trPr>
        <w:tc>
          <w:tcPr>
            <w:tcW w:w="280" w:type="dxa"/>
            <w:vAlign w:val="bottom"/>
          </w:tcPr>
          <w:p>
            <w:pPr>
              <w:spacing w:after="0"/>
              <w:rPr>
                <w:sz w:val="20"/>
                <w:szCs w:val="20"/>
                <w:color w:val="auto"/>
              </w:rPr>
            </w:pPr>
            <w:r>
              <w:rPr>
                <w:rFonts w:ascii="Arial" w:cs="Arial" w:eastAsia="Arial" w:hAnsi="Arial"/>
                <w:sz w:val="18"/>
                <w:szCs w:val="18"/>
                <w:color w:val="auto"/>
              </w:rPr>
              <w:t>c)</w:t>
            </w:r>
          </w:p>
        </w:tc>
        <w:tc>
          <w:tcPr>
            <w:tcW w:w="5260" w:type="dxa"/>
            <w:vAlign w:val="bottom"/>
          </w:tcPr>
          <w:p>
            <w:pPr>
              <w:ind w:left="180"/>
              <w:spacing w:after="0"/>
              <w:rPr>
                <w:sz w:val="20"/>
                <w:szCs w:val="20"/>
                <w:color w:val="auto"/>
              </w:rPr>
            </w:pPr>
            <w:r>
              <w:rPr>
                <w:rFonts w:ascii="Arial" w:cs="Arial" w:eastAsia="Arial" w:hAnsi="Arial"/>
                <w:sz w:val="18"/>
                <w:szCs w:val="18"/>
                <w:color w:val="auto"/>
              </w:rPr>
              <w:t>the non-performance-related compensation of the Executive</w:t>
            </w:r>
          </w:p>
        </w:tc>
        <w:tc>
          <w:tcPr>
            <w:tcW w:w="500" w:type="dxa"/>
            <w:vAlign w:val="bottom"/>
          </w:tcPr>
          <w:p>
            <w:pPr>
              <w:ind w:left="200"/>
              <w:spacing w:after="0"/>
              <w:rPr>
                <w:sz w:val="20"/>
                <w:szCs w:val="20"/>
                <w:color w:val="auto"/>
              </w:rPr>
            </w:pPr>
            <w:r>
              <w:rPr>
                <w:rFonts w:ascii="Arial" w:cs="Arial" w:eastAsia="Arial" w:hAnsi="Arial"/>
                <w:sz w:val="18"/>
                <w:szCs w:val="18"/>
                <w:color w:val="auto"/>
              </w:rPr>
              <w:t>c)</w:t>
            </w:r>
          </w:p>
        </w:tc>
        <w:tc>
          <w:tcPr>
            <w:tcW w:w="5040" w:type="dxa"/>
            <w:vAlign w:val="bottom"/>
          </w:tcPr>
          <w:p>
            <w:pPr>
              <w:ind w:left="160"/>
              <w:spacing w:after="0"/>
              <w:rPr>
                <w:sz w:val="20"/>
                <w:szCs w:val="20"/>
                <w:color w:val="auto"/>
              </w:rPr>
            </w:pPr>
            <w:r>
              <w:rPr>
                <w:rFonts w:ascii="Arial" w:cs="Arial" w:eastAsia="Arial" w:hAnsi="Arial"/>
                <w:sz w:val="18"/>
                <w:szCs w:val="18"/>
                <w:color w:val="auto"/>
              </w:rPr>
              <w:t>la rémunération non liée à la performance du comité exécutif</w:t>
            </w:r>
          </w:p>
        </w:tc>
      </w:tr>
      <w:tr>
        <w:trPr>
          <w:trHeight w:val="203"/>
        </w:trPr>
        <w:tc>
          <w:tcPr>
            <w:tcW w:w="280" w:type="dxa"/>
            <w:vAlign w:val="bottom"/>
          </w:tcPr>
          <w:p>
            <w:pPr>
              <w:spacing w:after="0"/>
              <w:rPr>
                <w:sz w:val="17"/>
                <w:szCs w:val="17"/>
                <w:color w:val="auto"/>
              </w:rPr>
            </w:pPr>
          </w:p>
        </w:tc>
        <w:tc>
          <w:tcPr>
            <w:tcW w:w="5260" w:type="dxa"/>
            <w:vAlign w:val="bottom"/>
          </w:tcPr>
          <w:p>
            <w:pPr>
              <w:ind w:left="120"/>
              <w:spacing w:after="0" w:line="202" w:lineRule="exact"/>
              <w:rPr>
                <w:sz w:val="20"/>
                <w:szCs w:val="20"/>
                <w:color w:val="auto"/>
              </w:rPr>
            </w:pPr>
            <w:r>
              <w:rPr>
                <w:rFonts w:ascii="Arial" w:cs="Arial" w:eastAsia="Arial" w:hAnsi="Arial"/>
                <w:sz w:val="18"/>
                <w:szCs w:val="18"/>
                <w:color w:val="auto"/>
              </w:rPr>
              <w:t>Committee for the 12-month period starting on 1 July following</w:t>
            </w:r>
          </w:p>
        </w:tc>
        <w:tc>
          <w:tcPr>
            <w:tcW w:w="500" w:type="dxa"/>
            <w:vAlign w:val="bottom"/>
          </w:tcPr>
          <w:p>
            <w:pPr>
              <w:spacing w:after="0"/>
              <w:rPr>
                <w:sz w:val="17"/>
                <w:szCs w:val="17"/>
                <w:color w:val="auto"/>
              </w:rPr>
            </w:pPr>
          </w:p>
        </w:tc>
        <w:tc>
          <w:tcPr>
            <w:tcW w:w="5040" w:type="dxa"/>
            <w:vAlign w:val="bottom"/>
          </w:tcPr>
          <w:p>
            <w:pPr>
              <w:ind w:left="140"/>
              <w:spacing w:after="0" w:line="202" w:lineRule="exact"/>
              <w:rPr>
                <w:sz w:val="20"/>
                <w:szCs w:val="20"/>
                <w:color w:val="auto"/>
              </w:rPr>
            </w:pPr>
            <w:r>
              <w:rPr>
                <w:rFonts w:ascii="Arial" w:cs="Arial" w:eastAsia="Arial" w:hAnsi="Arial"/>
                <w:sz w:val="18"/>
                <w:szCs w:val="18"/>
                <w:color w:val="auto"/>
              </w:rPr>
              <w:t>pour la période de 12 mois commençant le 1er juillet après</w:t>
            </w:r>
          </w:p>
        </w:tc>
      </w:tr>
      <w:tr>
        <w:trPr>
          <w:trHeight w:val="217"/>
        </w:trPr>
        <w:tc>
          <w:tcPr>
            <w:tcW w:w="28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the Ordinary General Meeting;</w:t>
            </w:r>
          </w:p>
        </w:tc>
        <w:tc>
          <w:tcPr>
            <w:tcW w:w="50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chaque assemblée générale ordinaire;</w:t>
            </w:r>
          </w:p>
        </w:tc>
      </w:tr>
      <w:tr>
        <w:trPr>
          <w:trHeight w:val="593"/>
        </w:trPr>
        <w:tc>
          <w:tcPr>
            <w:tcW w:w="5540" w:type="dxa"/>
            <w:vAlign w:val="bottom"/>
            <w:gridSpan w:val="2"/>
          </w:tcPr>
          <w:p>
            <w:pPr>
              <w:spacing w:after="0"/>
              <w:rPr>
                <w:sz w:val="20"/>
                <w:szCs w:val="20"/>
                <w:color w:val="auto"/>
              </w:rPr>
            </w:pPr>
            <w:r>
              <w:rPr>
                <w:rFonts w:ascii="Arial" w:cs="Arial" w:eastAsia="Arial" w:hAnsi="Arial"/>
                <w:sz w:val="18"/>
                <w:szCs w:val="18"/>
                <w:color w:val="auto"/>
              </w:rPr>
              <w:t>d)  the variable compensation for the Executive Committee for the</w:t>
            </w:r>
          </w:p>
        </w:tc>
        <w:tc>
          <w:tcPr>
            <w:tcW w:w="500" w:type="dxa"/>
            <w:vAlign w:val="bottom"/>
          </w:tcPr>
          <w:p>
            <w:pPr>
              <w:ind w:left="200"/>
              <w:spacing w:after="0"/>
              <w:rPr>
                <w:sz w:val="20"/>
                <w:szCs w:val="20"/>
                <w:color w:val="auto"/>
              </w:rPr>
            </w:pPr>
            <w:r>
              <w:rPr>
                <w:rFonts w:ascii="Arial" w:cs="Arial" w:eastAsia="Arial" w:hAnsi="Arial"/>
                <w:sz w:val="18"/>
                <w:szCs w:val="18"/>
                <w:color w:val="auto"/>
              </w:rPr>
              <w:t>d)</w:t>
            </w:r>
          </w:p>
        </w:tc>
        <w:tc>
          <w:tcPr>
            <w:tcW w:w="5040" w:type="dxa"/>
            <w:vAlign w:val="bottom"/>
          </w:tcPr>
          <w:p>
            <w:pPr>
              <w:jc w:val="right"/>
              <w:spacing w:after="0"/>
              <w:rPr>
                <w:sz w:val="20"/>
                <w:szCs w:val="20"/>
                <w:color w:val="auto"/>
              </w:rPr>
            </w:pPr>
            <w:r>
              <w:rPr>
                <w:rFonts w:ascii="Arial" w:cs="Arial" w:eastAsia="Arial" w:hAnsi="Arial"/>
                <w:sz w:val="18"/>
                <w:szCs w:val="18"/>
                <w:color w:val="auto"/>
              </w:rPr>
              <w:t>la rémunération variable pour le comité exécutif pour l'année</w:t>
            </w:r>
          </w:p>
        </w:tc>
      </w:tr>
      <w:tr>
        <w:trPr>
          <w:trHeight w:val="217"/>
        </w:trPr>
        <w:tc>
          <w:tcPr>
            <w:tcW w:w="28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current year;</w:t>
            </w:r>
          </w:p>
        </w:tc>
        <w:tc>
          <w:tcPr>
            <w:tcW w:w="500" w:type="dxa"/>
            <w:vAlign w:val="bottom"/>
          </w:tcPr>
          <w:p>
            <w:pPr>
              <w:spacing w:after="0"/>
              <w:rPr>
                <w:sz w:val="18"/>
                <w:szCs w:val="18"/>
                <w:color w:val="auto"/>
              </w:rPr>
            </w:pPr>
          </w:p>
        </w:tc>
        <w:tc>
          <w:tcPr>
            <w:tcW w:w="5040" w:type="dxa"/>
            <w:vAlign w:val="bottom"/>
          </w:tcPr>
          <w:p>
            <w:pPr>
              <w:ind w:left="140"/>
              <w:spacing w:after="0"/>
              <w:rPr>
                <w:sz w:val="20"/>
                <w:szCs w:val="20"/>
                <w:color w:val="auto"/>
              </w:rPr>
            </w:pPr>
            <w:r>
              <w:rPr>
                <w:rFonts w:ascii="Arial" w:cs="Arial" w:eastAsia="Arial" w:hAnsi="Arial"/>
                <w:sz w:val="18"/>
                <w:szCs w:val="18"/>
                <w:color w:val="auto"/>
              </w:rPr>
              <w:t>en cours;</w:t>
            </w:r>
          </w:p>
        </w:tc>
      </w:tr>
    </w:tbl>
    <w:p>
      <w:pPr>
        <w:spacing w:after="0" w:line="184" w:lineRule="exact"/>
        <w:rPr>
          <w:sz w:val="20"/>
          <w:szCs w:val="20"/>
          <w:color w:val="auto"/>
        </w:rPr>
      </w:pPr>
    </w:p>
    <w:p>
      <w:pPr>
        <w:ind w:left="480" w:hanging="391"/>
        <w:spacing w:after="0"/>
        <w:tabs>
          <w:tab w:leader="none" w:pos="4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grant of options or shares in the Company to the Board of</w:t>
      </w:r>
    </w:p>
    <w:tbl>
      <w:tblPr>
        <w:tblLayout w:type="fixed"/>
        <w:tblInd w:w="0" w:type="dxa"/>
        <w:tblCellMar>
          <w:top w:w="0" w:type="dxa"/>
          <w:left w:w="0" w:type="dxa"/>
          <w:bottom w:w="0" w:type="dxa"/>
          <w:right w:w="0" w:type="dxa"/>
        </w:tblCellMar>
      </w:tblPr>
      <w:tr>
        <w:trPr>
          <w:trHeight w:val="203"/>
        </w:trPr>
        <w:tc>
          <w:tcPr>
            <w:tcW w:w="4720" w:type="dxa"/>
            <w:vAlign w:val="bottom"/>
          </w:tcPr>
          <w:p>
            <w:pPr>
              <w:ind w:left="480"/>
              <w:spacing w:after="0" w:line="202" w:lineRule="exact"/>
              <w:rPr>
                <w:sz w:val="20"/>
                <w:szCs w:val="20"/>
                <w:color w:val="auto"/>
              </w:rPr>
            </w:pPr>
            <w:r>
              <w:rPr>
                <w:rFonts w:ascii="Arial" w:cs="Arial" w:eastAsia="Arial" w:hAnsi="Arial"/>
                <w:sz w:val="18"/>
                <w:szCs w:val="18"/>
                <w:color w:val="auto"/>
              </w:rPr>
              <w:t>Directors and the Executive Committee.</w:t>
            </w:r>
          </w:p>
        </w:tc>
        <w:tc>
          <w:tcPr>
            <w:tcW w:w="1400" w:type="dxa"/>
            <w:vAlign w:val="bottom"/>
          </w:tcPr>
          <w:p>
            <w:pPr>
              <w:ind w:left="1100"/>
              <w:spacing w:after="0" w:line="202" w:lineRule="exact"/>
              <w:rPr>
                <w:sz w:val="20"/>
                <w:szCs w:val="20"/>
                <w:color w:val="auto"/>
              </w:rPr>
            </w:pPr>
            <w:r>
              <w:rPr>
                <w:rFonts w:ascii="Arial" w:cs="Arial" w:eastAsia="Arial" w:hAnsi="Arial"/>
                <w:sz w:val="18"/>
                <w:szCs w:val="18"/>
                <w:color w:val="auto"/>
              </w:rPr>
              <w:t>e)</w:t>
            </w:r>
          </w:p>
        </w:tc>
        <w:tc>
          <w:tcPr>
            <w:tcW w:w="5120" w:type="dxa"/>
            <w:vAlign w:val="bottom"/>
          </w:tcPr>
          <w:p>
            <w:pPr>
              <w:ind w:left="440"/>
              <w:spacing w:after="0" w:line="202" w:lineRule="exact"/>
              <w:rPr>
                <w:sz w:val="20"/>
                <w:szCs w:val="20"/>
                <w:color w:val="auto"/>
              </w:rPr>
            </w:pPr>
            <w:r>
              <w:rPr>
                <w:rFonts w:ascii="Arial" w:cs="Arial" w:eastAsia="Arial" w:hAnsi="Arial"/>
                <w:sz w:val="18"/>
                <w:szCs w:val="18"/>
                <w:color w:val="auto"/>
              </w:rPr>
              <w:t>l'octroi d'options ou d'actions de la société au conseil</w:t>
            </w:r>
          </w:p>
        </w:tc>
      </w:tr>
      <w:tr>
        <w:trPr>
          <w:trHeight w:val="217"/>
        </w:trPr>
        <w:tc>
          <w:tcPr>
            <w:tcW w:w="4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d'administration et au comité exécutif.</w:t>
            </w:r>
          </w:p>
        </w:tc>
      </w:tr>
      <w:tr>
        <w:trPr>
          <w:trHeight w:val="621"/>
        </w:trPr>
        <w:tc>
          <w:tcPr>
            <w:tcW w:w="47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56" w:name="page57"/>
    <w:bookmarkEnd w:id="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5240"/>
              <w:spacing w:after="0"/>
              <w:rPr>
                <w:sz w:val="20"/>
                <w:szCs w:val="20"/>
                <w:color w:val="auto"/>
              </w:rPr>
            </w:pPr>
            <w:r>
              <w:rPr>
                <w:rFonts w:ascii="Arial" w:cs="Arial" w:eastAsia="Arial" w:hAnsi="Arial"/>
                <w:sz w:val="18"/>
                <w:szCs w:val="18"/>
                <w:color w:val="auto"/>
                <w:w w:val="99"/>
              </w:rPr>
              <w:t>18</w:t>
            </w:r>
          </w:p>
        </w:tc>
      </w:tr>
      <w:tr>
        <w:trPr>
          <w:trHeight w:val="94"/>
        </w:trPr>
        <w:tc>
          <w:tcPr>
            <w:tcW w:w="5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tcPr>
          <w:p>
            <w:pPr>
              <w:spacing w:after="0"/>
              <w:rPr>
                <w:sz w:val="8"/>
                <w:szCs w:val="8"/>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respective total compensation amounts include social security</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montants totaux de rémunération respectifs comprennent la</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and  occupational  pension  contributions  for  the  benefit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sécurité sociale et les cotisations de retraite professionnelle au</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members of the Board of Directors, the Executive Committee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profit des membres du conseil d'administration, du comité exécutif</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Company.</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et de la société.</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If the General Meeting refuses to approve a respective motion by</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 l'assemblée générale refuse d'approuver une motion soumise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Board of Directors, the Board of Directors may either submit a</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par le conseil d'administration, le conseil d'administration peut, soit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new motion at the same meeting or determine a maximum total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présenter une nouvelle motion à la même séance ou déterminer</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remuneration or several maximum partial remunerations, subject to</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une rémunération maximale totale ou plusieurs rémunérations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relevant principles of the compensation, or submit a new</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maximales partielles, sous réserve des principes concernant la</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motion to the next General Meeting for approval. The Company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rémunération, soit soumettre une nouvelle motion à la prochaine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may pay remunerations within the framework of the maximum total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assemblée générale pour approbation. La société peut verser des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or partial remuneration and subject to the approval by the General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rémunérations dans le cadre de la rémunération maximale totale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Meeting.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ou partielle et sous réserve de l'approbation par l'assemblée</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générale.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19  Independent Proxy</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19  Représentant indépendant</w:t>
            </w:r>
          </w:p>
        </w:tc>
      </w:tr>
      <w:tr>
        <w:trPr>
          <w:trHeight w:val="391"/>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Independent Proxy shall be elected by the Ordinary General</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représentant indépendant est élu par l'assemblée générale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Meeting for a term of one year until the end of the next Ordinary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ordinaire pour une durée d'un an jusqu'à la fin de la prochaine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General Meeting. Re-election is permitted. The Independent Proxy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assemblée générale ordinaire. Une réélection est possible. Le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informs the Company about number, type, par value and category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représentant indépendant informe la société sur le nombre, le type,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of the represented shares. The Chairman of the Board discloses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 valeur nominale et la catégorie des actions représentées. Le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information to the General Meeting. The other duties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président du conseil d'administration communique ces informations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Independent Proxy are determined by the applicable statutory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à l'assemblée générale. Les autres fonctions du représentant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provisions.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indépendant  sont  déterminées  par  les  dispositions  statutaires</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applicables.</w:t>
            </w:r>
          </w:p>
        </w:tc>
      </w:tr>
      <w:tr>
        <w:trPr>
          <w:trHeight w:val="257"/>
        </w:trPr>
        <w:tc>
          <w:tcPr>
            <w:tcW w:w="5540" w:type="dxa"/>
            <w:vAlign w:val="bottom"/>
            <w:tcBorders>
              <w:left w:val="single" w:sz="8" w:color="auto"/>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tcPr>
          <w:p>
            <w:pPr>
              <w:spacing w:after="0"/>
              <w:rPr>
                <w:sz w:val="22"/>
                <w:szCs w:val="22"/>
                <w:color w:val="auto"/>
              </w:rPr>
            </w:pPr>
          </w:p>
        </w:tc>
      </w:tr>
      <w:tr>
        <w:trPr>
          <w:trHeight w:val="750"/>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57" w:name="page58"/>
    <w:bookmarkEnd w:id="5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7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94"/>
        </w:trPr>
        <w:tc>
          <w:tcPr>
            <w:tcW w:w="700" w:type="dxa"/>
            <w:vAlign w:val="bottom"/>
            <w:tcBorders>
              <w:bottom w:val="single" w:sz="8" w:color="auto"/>
            </w:tcBorders>
          </w:tcPr>
          <w:p>
            <w:pPr>
              <w:spacing w:after="0"/>
              <w:rPr>
                <w:sz w:val="8"/>
                <w:szCs w:val="8"/>
                <w:color w:val="auto"/>
              </w:rPr>
            </w:pPr>
          </w:p>
        </w:tc>
        <w:tc>
          <w:tcPr>
            <w:tcW w:w="4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40" w:type="dxa"/>
            <w:vAlign w:val="bottom"/>
            <w:tcBorders>
              <w:bottom w:val="single" w:sz="8" w:color="auto"/>
            </w:tcBorders>
          </w:tcPr>
          <w:p>
            <w:pPr>
              <w:spacing w:after="0"/>
              <w:rPr>
                <w:sz w:val="8"/>
                <w:szCs w:val="8"/>
                <w:color w:val="auto"/>
              </w:rPr>
            </w:pPr>
          </w:p>
        </w:tc>
      </w:tr>
      <w:tr>
        <w:trPr>
          <w:trHeight w:val="277"/>
        </w:trPr>
        <w:tc>
          <w:tcPr>
            <w:tcW w:w="700" w:type="dxa"/>
            <w:vAlign w:val="bottom"/>
            <w:tcBorders>
              <w:left w:val="single" w:sz="8" w:color="auto"/>
            </w:tcBorders>
          </w:tcPr>
          <w:p>
            <w:pPr>
              <w:ind w:left="140"/>
              <w:spacing w:after="0"/>
              <w:rPr>
                <w:sz w:val="20"/>
                <w:szCs w:val="20"/>
                <w:color w:val="auto"/>
              </w:rPr>
            </w:pPr>
            <w:r>
              <w:rPr>
                <w:rFonts w:ascii="Arial" w:cs="Arial" w:eastAsia="Arial" w:hAnsi="Arial"/>
                <w:sz w:val="18"/>
                <w:szCs w:val="18"/>
                <w:b w:val="1"/>
                <w:bCs w:val="1"/>
                <w:color w:val="auto"/>
              </w:rPr>
              <w:t>V.</w:t>
            </w:r>
          </w:p>
        </w:tc>
        <w:tc>
          <w:tcPr>
            <w:tcW w:w="48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BOARD OF DIRECTORS</w:t>
            </w:r>
          </w:p>
        </w:tc>
        <w:tc>
          <w:tcPr>
            <w:tcW w:w="220" w:type="dxa"/>
            <w:vAlign w:val="bottom"/>
            <w:tcBorders>
              <w:right w:val="single" w:sz="8" w:color="auto"/>
            </w:tcBorders>
          </w:tcPr>
          <w:p>
            <w:pPr>
              <w:spacing w:after="0"/>
              <w:rPr>
                <w:sz w:val="24"/>
                <w:szCs w:val="24"/>
                <w:color w:val="auto"/>
              </w:rPr>
            </w:pPr>
          </w:p>
        </w:tc>
        <w:tc>
          <w:tcPr>
            <w:tcW w:w="640" w:type="dxa"/>
            <w:vAlign w:val="bottom"/>
          </w:tcPr>
          <w:p>
            <w:pPr>
              <w:ind w:left="100"/>
              <w:spacing w:after="0"/>
              <w:rPr>
                <w:sz w:val="20"/>
                <w:szCs w:val="20"/>
                <w:color w:val="auto"/>
              </w:rPr>
            </w:pPr>
            <w:r>
              <w:rPr>
                <w:rFonts w:ascii="Arial" w:cs="Arial" w:eastAsia="Arial" w:hAnsi="Arial"/>
                <w:sz w:val="18"/>
                <w:szCs w:val="18"/>
                <w:b w:val="1"/>
                <w:bCs w:val="1"/>
                <w:color w:val="auto"/>
              </w:rPr>
              <w:t>V.</w:t>
            </w:r>
          </w:p>
        </w:tc>
        <w:tc>
          <w:tcPr>
            <w:tcW w:w="484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CONSEIL D'ADMINISTRATION</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20  Number of Members, Term of Office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20 Nombre de membres, durée de la fonction</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Board of Directors shall consist of at least 3 and not more than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conseil d'administration se compose d'au minimum 3 et au</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9 members. The chairman and the members of the Board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maximum 9 membres. Le président et les membres du conseil</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Directors are individually elected by the General Meeting for a term</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d'administration  sont  élus  individuellement  par  l'assemblée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of one year until the end of the next Ordinary General Meeting,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générale pour un mandat d'un an jusqu'à la fin de la prochaine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provided that he/she does not resign or is not replaced during his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assemblée générale ordinaire, à condition qu'il/elle ne démissionne</w:t>
            </w:r>
          </w:p>
        </w:tc>
      </w:tr>
      <w:tr>
        <w:trPr>
          <w:trHeight w:val="217"/>
        </w:trPr>
        <w:tc>
          <w:tcPr>
            <w:tcW w:w="7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term.</w:t>
            </w:r>
          </w:p>
        </w:tc>
        <w:tc>
          <w:tcPr>
            <w:tcW w:w="48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pas ou ne soit pas remplacé(e) durant son mandat.</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members of the Board of Directors may be re-elected without</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membres du conseil d'administration peuvent être réélus sans</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limitation. The maximum age limit of members of the Board shall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limitation. La limite d’âge des membres du conseil d'administration</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be 75 years. When a member of the Board of Directors reaches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est fixée à 75 ans. Lorsqu'un membre du conseil d'administration</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this age limit during his term of office, such term shall automatically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atteint cette limite d'âge durant son mandat, ledit mandat sera</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extend  to  the  next  ordinary  shareholders'  meeting.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automatiquement  prolongé  jusqu'à  la  prochaine  assemblée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shareholders' meeting may resolve to grant an exception to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générale ordinaire. L'assemblée générale des actionnaires peut</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age limit.</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décider d'accorder une dérogation à la limite d'âge.</w:t>
            </w: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48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840" w:type="dxa"/>
            <w:vAlign w:val="bottom"/>
            <w:tcBorders>
              <w:bottom w:val="single" w:sz="8" w:color="auto"/>
              <w:right w:val="single" w:sz="8" w:color="auto"/>
            </w:tcBorders>
          </w:tcPr>
          <w:p>
            <w:pPr>
              <w:spacing w:after="0"/>
              <w:rPr>
                <w:sz w:val="4"/>
                <w:szCs w:val="4"/>
                <w:color w:val="auto"/>
              </w:rPr>
            </w:pPr>
          </w:p>
        </w:tc>
      </w:tr>
      <w:tr>
        <w:trPr>
          <w:trHeight w:val="277"/>
        </w:trPr>
        <w:tc>
          <w:tcPr>
            <w:tcW w:w="70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Art. 21</w:t>
            </w:r>
          </w:p>
        </w:tc>
        <w:tc>
          <w:tcPr>
            <w:tcW w:w="48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Constitution</w:t>
            </w:r>
          </w:p>
        </w:tc>
        <w:tc>
          <w:tcPr>
            <w:tcW w:w="220" w:type="dxa"/>
            <w:vAlign w:val="bottom"/>
            <w:tcBorders>
              <w:right w:val="single" w:sz="8" w:color="auto"/>
            </w:tcBorders>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w w:val="99"/>
              </w:rPr>
              <w:t>Art. 21</w:t>
            </w:r>
          </w:p>
        </w:tc>
        <w:tc>
          <w:tcPr>
            <w:tcW w:w="48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Constitution</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Subject to the powers of the General Meeting, the Board of</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Sous réserve des pouvoirs de l'assemblée générale, le conseil</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Directors determines its own organization. It appoints a Secretary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d'administration détermine sa propre organisation. Il nomme un</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who needs not be a member of the Board of Directors.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secrétaire qui ne doit pas nécessairement être un membre du</w:t>
            </w:r>
          </w:p>
        </w:tc>
      </w:tr>
      <w:tr>
        <w:trPr>
          <w:trHeight w:val="217"/>
        </w:trPr>
        <w:tc>
          <w:tcPr>
            <w:tcW w:w="700" w:type="dxa"/>
            <w:vAlign w:val="bottom"/>
            <w:tcBorders>
              <w:left w:val="single" w:sz="8" w:color="auto"/>
            </w:tcBorders>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conseil d'administration.</w:t>
            </w:r>
          </w:p>
        </w:tc>
      </w:tr>
      <w:tr>
        <w:trPr>
          <w:trHeight w:val="256"/>
        </w:trPr>
        <w:tc>
          <w:tcPr>
            <w:tcW w:w="700" w:type="dxa"/>
            <w:vAlign w:val="bottom"/>
            <w:tcBorders>
              <w:left w:val="single" w:sz="8" w:color="auto"/>
              <w:bottom w:val="single" w:sz="8" w:color="auto"/>
            </w:tcBorders>
          </w:tcPr>
          <w:p>
            <w:pPr>
              <w:spacing w:after="0"/>
              <w:rPr>
                <w:sz w:val="22"/>
                <w:szCs w:val="22"/>
                <w:color w:val="auto"/>
              </w:rPr>
            </w:pPr>
          </w:p>
        </w:tc>
        <w:tc>
          <w:tcPr>
            <w:tcW w:w="484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840" w:type="dxa"/>
            <w:vAlign w:val="bottom"/>
            <w:tcBorders>
              <w:bottom w:val="single" w:sz="8" w:color="auto"/>
              <w:right w:val="single" w:sz="8" w:color="auto"/>
            </w:tcBorders>
          </w:tcPr>
          <w:p>
            <w:pPr>
              <w:spacing w:after="0"/>
              <w:rPr>
                <w:sz w:val="22"/>
                <w:szCs w:val="22"/>
                <w:color w:val="auto"/>
              </w:rPr>
            </w:pPr>
          </w:p>
        </w:tc>
      </w:tr>
      <w:tr>
        <w:trPr>
          <w:trHeight w:val="277"/>
        </w:trPr>
        <w:tc>
          <w:tcPr>
            <w:tcW w:w="70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Art. 22</w:t>
            </w:r>
          </w:p>
        </w:tc>
        <w:tc>
          <w:tcPr>
            <w:tcW w:w="48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Function, Organization</w:t>
            </w:r>
          </w:p>
        </w:tc>
        <w:tc>
          <w:tcPr>
            <w:tcW w:w="220" w:type="dxa"/>
            <w:vAlign w:val="bottom"/>
            <w:tcBorders>
              <w:right w:val="single" w:sz="8" w:color="auto"/>
            </w:tcBorders>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w w:val="99"/>
              </w:rPr>
              <w:t>Art. 22</w:t>
            </w:r>
          </w:p>
        </w:tc>
        <w:tc>
          <w:tcPr>
            <w:tcW w:w="484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rPr>
              <w:t>Fonction, organisation</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It is the Board of Director's duty to lead the Company and to</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conseil d'administration exerce la direction de la société et en</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supervise the management. The Board of Director represents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supervise la gestion. Le conseil d'administration représente la</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Company and may take decisions on all affairs which are not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société et peut prendre les décisions sur toutes les affaires qui ne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assigned to any other body of the Company by law, the Articles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sont pas attribuées à un autre organe de la société par la loi, les</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Association or the organizational regulations.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statuts ou le règlement d'organisation.</w:t>
            </w:r>
          </w:p>
        </w:tc>
      </w:tr>
      <w:tr>
        <w:trPr>
          <w:trHeight w:val="257"/>
        </w:trPr>
        <w:tc>
          <w:tcPr>
            <w:tcW w:w="554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gridSpan w:val="2"/>
          </w:tcPr>
          <w:p>
            <w:pPr>
              <w:spacing w:after="0"/>
              <w:rPr>
                <w:sz w:val="22"/>
                <w:szCs w:val="22"/>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Board of Directors shall enact the organizational regulations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conseil d'administration édicte le règlement d'organisation et</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and arrange for the appropriate contractual relationships.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s'occupe des relations contractuelles appropriées.</w:t>
            </w: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48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70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Art. 23</w:t>
            </w:r>
          </w:p>
        </w:tc>
        <w:tc>
          <w:tcPr>
            <w:tcW w:w="48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Powers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23 Pouvoirs</w:t>
            </w:r>
          </w:p>
        </w:tc>
      </w:tr>
      <w:tr>
        <w:trPr>
          <w:trHeight w:val="405"/>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Board of Directors has the following non-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conseil d'administration a les attributions</w:t>
            </w:r>
          </w:p>
        </w:tc>
      </w:tr>
      <w:tr>
        <w:trPr>
          <w:trHeight w:val="256"/>
        </w:trPr>
        <w:tc>
          <w:tcPr>
            <w:tcW w:w="700" w:type="dxa"/>
            <w:vAlign w:val="bottom"/>
            <w:tcBorders>
              <w:left w:val="single" w:sz="8" w:color="auto"/>
              <w:bottom w:val="single" w:sz="8" w:color="auto"/>
            </w:tcBorders>
          </w:tcPr>
          <w:p>
            <w:pPr>
              <w:spacing w:after="0"/>
              <w:rPr>
                <w:sz w:val="22"/>
                <w:szCs w:val="22"/>
                <w:color w:val="auto"/>
              </w:rPr>
            </w:pPr>
          </w:p>
        </w:tc>
        <w:tc>
          <w:tcPr>
            <w:tcW w:w="484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840" w:type="dxa"/>
            <w:vAlign w:val="bottom"/>
            <w:tcBorders>
              <w:bottom w:val="single" w:sz="8" w:color="auto"/>
              <w:right w:val="single" w:sz="8" w:color="auto"/>
            </w:tcBorders>
          </w:tcPr>
          <w:p>
            <w:pPr>
              <w:spacing w:after="0"/>
              <w:rPr>
                <w:sz w:val="22"/>
                <w:szCs w:val="22"/>
                <w:color w:val="auto"/>
              </w:rPr>
            </w:pPr>
          </w:p>
        </w:tc>
      </w:tr>
      <w:tr>
        <w:trPr>
          <w:trHeight w:val="750"/>
        </w:trPr>
        <w:tc>
          <w:tcPr>
            <w:tcW w:w="7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58" w:name="page59"/>
    <w:bookmarkEnd w:id="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tcPr>
          <w:p>
            <w:pPr>
              <w:ind w:left="5280"/>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94"/>
        </w:trPr>
        <w:tc>
          <w:tcPr>
            <w:tcW w:w="52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522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delegable and inalienable duties:</w:t>
            </w:r>
          </w:p>
        </w:tc>
        <w:tc>
          <w:tcPr>
            <w:tcW w:w="200" w:type="dxa"/>
            <w:vAlign w:val="bottom"/>
            <w:tcBorders>
              <w:right w:val="single" w:sz="8" w:color="auto"/>
            </w:tcBorders>
          </w:tcPr>
          <w:p>
            <w:pPr>
              <w:spacing w:after="0"/>
              <w:rPr>
                <w:sz w:val="24"/>
                <w:szCs w:val="24"/>
                <w:color w:val="auto"/>
              </w:rPr>
            </w:pPr>
          </w:p>
        </w:tc>
        <w:tc>
          <w:tcPr>
            <w:tcW w:w="58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intransmissibles et inaliénables suivantes:</w:t>
            </w:r>
          </w:p>
        </w:tc>
        <w:tc>
          <w:tcPr>
            <w:tcW w:w="0" w:type="dxa"/>
            <w:vAlign w:val="bottom"/>
          </w:tcPr>
          <w:p>
            <w:pPr>
              <w:spacing w:after="0"/>
              <w:rPr>
                <w:sz w:val="1"/>
                <w:szCs w:val="1"/>
                <w:color w:val="auto"/>
              </w:rPr>
            </w:pPr>
          </w:p>
        </w:tc>
      </w:tr>
      <w:tr>
        <w:trPr>
          <w:trHeight w:val="391"/>
        </w:trPr>
        <w:tc>
          <w:tcPr>
            <w:tcW w:w="522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  the overall management of the company and the issuing of</w:t>
            </w:r>
          </w:p>
        </w:tc>
        <w:tc>
          <w:tcPr>
            <w:tcW w:w="200" w:type="dxa"/>
            <w:vAlign w:val="bottom"/>
            <w:tcBorders>
              <w:right w:val="single" w:sz="8" w:color="auto"/>
            </w:tcBorders>
          </w:tcPr>
          <w:p>
            <w:pPr>
              <w:spacing w:after="0"/>
              <w:rPr>
                <w:sz w:val="24"/>
                <w:szCs w:val="24"/>
                <w:color w:val="auto"/>
              </w:rPr>
            </w:pPr>
          </w:p>
        </w:tc>
        <w:tc>
          <w:tcPr>
            <w:tcW w:w="58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   exercer la haute direction de la société et établir les instructions</w:t>
            </w: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48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all necessary directives;</w:t>
            </w: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nécessaires;</w:t>
            </w:r>
          </w:p>
        </w:tc>
        <w:tc>
          <w:tcPr>
            <w:tcW w:w="0" w:type="dxa"/>
            <w:vAlign w:val="bottom"/>
          </w:tcPr>
          <w:p>
            <w:pPr>
              <w:spacing w:after="0"/>
              <w:rPr>
                <w:sz w:val="1"/>
                <w:szCs w:val="1"/>
                <w:color w:val="auto"/>
              </w:rPr>
            </w:pPr>
          </w:p>
        </w:tc>
      </w:tr>
      <w:tr>
        <w:trPr>
          <w:trHeight w:val="405"/>
        </w:trPr>
        <w:tc>
          <w:tcPr>
            <w:tcW w:w="522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  determination of the company's organisation;</w:t>
            </w:r>
          </w:p>
        </w:tc>
        <w:tc>
          <w:tcPr>
            <w:tcW w:w="200" w:type="dxa"/>
            <w:vAlign w:val="bottom"/>
            <w:tcBorders>
              <w:right w:val="single" w:sz="8" w:color="auto"/>
            </w:tcBorders>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b)</w:t>
            </w:r>
          </w:p>
        </w:tc>
        <w:tc>
          <w:tcPr>
            <w:tcW w:w="55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fixer l'organisation;</w:t>
            </w:r>
          </w:p>
        </w:tc>
        <w:tc>
          <w:tcPr>
            <w:tcW w:w="0" w:type="dxa"/>
            <w:vAlign w:val="bottom"/>
          </w:tcPr>
          <w:p>
            <w:pPr>
              <w:spacing w:after="0"/>
              <w:rPr>
                <w:sz w:val="1"/>
                <w:szCs w:val="1"/>
                <w:color w:val="auto"/>
              </w:rPr>
            </w:pPr>
          </w:p>
        </w:tc>
      </w:tr>
      <w:tr>
        <w:trPr>
          <w:trHeight w:val="391"/>
        </w:trPr>
        <w:tc>
          <w:tcPr>
            <w:tcW w:w="522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   the organisation of the accounting, financial control and</w:t>
            </w:r>
          </w:p>
        </w:tc>
        <w:tc>
          <w:tcPr>
            <w:tcW w:w="200" w:type="dxa"/>
            <w:vAlign w:val="bottom"/>
            <w:tcBorders>
              <w:right w:val="single" w:sz="8" w:color="auto"/>
            </w:tcBorders>
          </w:tcPr>
          <w:p>
            <w:pPr>
              <w:spacing w:after="0"/>
              <w:rPr>
                <w:sz w:val="24"/>
                <w:szCs w:val="24"/>
                <w:color w:val="auto"/>
              </w:rPr>
            </w:pPr>
          </w:p>
        </w:tc>
        <w:tc>
          <w:tcPr>
            <w:tcW w:w="58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  fixer les principes de la comptabilité et du contrôle financier ainsi</w:t>
            </w:r>
          </w:p>
        </w:tc>
        <w:tc>
          <w:tcPr>
            <w:tcW w:w="0" w:type="dxa"/>
            <w:vAlign w:val="bottom"/>
          </w:tcPr>
          <w:p>
            <w:pPr>
              <w:spacing w:after="0"/>
              <w:rPr>
                <w:sz w:val="1"/>
                <w:szCs w:val="1"/>
                <w:color w:val="auto"/>
              </w:rPr>
            </w:pPr>
          </w:p>
        </w:tc>
      </w:tr>
      <w:tr>
        <w:trPr>
          <w:trHeight w:val="203"/>
        </w:trPr>
        <w:tc>
          <w:tcPr>
            <w:tcW w:w="340" w:type="dxa"/>
            <w:vAlign w:val="bottom"/>
            <w:tcBorders>
              <w:left w:val="single" w:sz="8" w:color="auto"/>
            </w:tcBorders>
          </w:tcPr>
          <w:p>
            <w:pPr>
              <w:spacing w:after="0"/>
              <w:rPr>
                <w:sz w:val="17"/>
                <w:szCs w:val="17"/>
                <w:color w:val="auto"/>
              </w:rPr>
            </w:pPr>
          </w:p>
        </w:tc>
        <w:tc>
          <w:tcPr>
            <w:tcW w:w="48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financial planning systems as required for management of</w:t>
            </w:r>
          </w:p>
        </w:tc>
        <w:tc>
          <w:tcPr>
            <w:tcW w:w="2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que le plan financier pour autant que celui-ci soit nécessaire à la</w:t>
            </w: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company;</w:t>
            </w: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gestion de la société;</w:t>
            </w:r>
          </w:p>
        </w:tc>
        <w:tc>
          <w:tcPr>
            <w:tcW w:w="0" w:type="dxa"/>
            <w:vAlign w:val="bottom"/>
          </w:tcPr>
          <w:p>
            <w:pPr>
              <w:spacing w:after="0"/>
              <w:rPr>
                <w:sz w:val="1"/>
                <w:szCs w:val="1"/>
                <w:color w:val="auto"/>
              </w:rPr>
            </w:pPr>
          </w:p>
        </w:tc>
      </w:tr>
      <w:tr>
        <w:trPr>
          <w:trHeight w:val="391"/>
        </w:trPr>
        <w:tc>
          <w:tcPr>
            <w:tcW w:w="522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d)   the appointment and dismissal of persons entrusted with</w:t>
            </w:r>
          </w:p>
        </w:tc>
        <w:tc>
          <w:tcPr>
            <w:tcW w:w="200" w:type="dxa"/>
            <w:vAlign w:val="bottom"/>
            <w:tcBorders>
              <w:right w:val="single" w:sz="8" w:color="auto"/>
            </w:tcBorders>
          </w:tcPr>
          <w:p>
            <w:pPr>
              <w:spacing w:after="0"/>
              <w:rPr>
                <w:sz w:val="24"/>
                <w:szCs w:val="24"/>
                <w:color w:val="auto"/>
              </w:rPr>
            </w:pPr>
          </w:p>
        </w:tc>
        <w:tc>
          <w:tcPr>
            <w:tcW w:w="58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  nommer et révoquer les personnes chargées de la gestion et de la</w:t>
            </w: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managing and representing the company;</w:t>
            </w: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représentation;</w:t>
            </w:r>
          </w:p>
        </w:tc>
        <w:tc>
          <w:tcPr>
            <w:tcW w:w="0" w:type="dxa"/>
            <w:vAlign w:val="bottom"/>
          </w:tcPr>
          <w:p>
            <w:pPr>
              <w:spacing w:after="0"/>
              <w:rPr>
                <w:sz w:val="1"/>
                <w:szCs w:val="1"/>
                <w:color w:val="auto"/>
              </w:rPr>
            </w:pPr>
          </w:p>
        </w:tc>
      </w:tr>
      <w:tr>
        <w:trPr>
          <w:trHeight w:val="391"/>
        </w:trPr>
        <w:tc>
          <w:tcPr>
            <w:tcW w:w="3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e)</w:t>
            </w:r>
          </w:p>
        </w:tc>
        <w:tc>
          <w:tcPr>
            <w:tcW w:w="4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overall  supervision  of  the  persons  entrusted  with</w:t>
            </w:r>
          </w:p>
        </w:tc>
        <w:tc>
          <w:tcPr>
            <w:tcW w:w="200" w:type="dxa"/>
            <w:vAlign w:val="bottom"/>
            <w:tcBorders>
              <w:right w:val="single" w:sz="8" w:color="auto"/>
            </w:tcBorders>
          </w:tcPr>
          <w:p>
            <w:pPr>
              <w:spacing w:after="0"/>
              <w:rPr>
                <w:sz w:val="24"/>
                <w:szCs w:val="24"/>
                <w:color w:val="auto"/>
              </w:rPr>
            </w:pPr>
          </w:p>
        </w:tc>
        <w:tc>
          <w:tcPr>
            <w:tcW w:w="58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e)   exercer la haute surveillance sur les personnes chargées de la</w:t>
            </w:r>
          </w:p>
        </w:tc>
        <w:tc>
          <w:tcPr>
            <w:tcW w:w="0" w:type="dxa"/>
            <w:vAlign w:val="bottom"/>
          </w:tcPr>
          <w:p>
            <w:pPr>
              <w:spacing w:after="0"/>
              <w:rPr>
                <w:sz w:val="1"/>
                <w:szCs w:val="1"/>
                <w:color w:val="auto"/>
              </w:rPr>
            </w:pPr>
          </w:p>
        </w:tc>
      </w:tr>
      <w:tr>
        <w:trPr>
          <w:trHeight w:val="203"/>
        </w:trPr>
        <w:tc>
          <w:tcPr>
            <w:tcW w:w="340" w:type="dxa"/>
            <w:vAlign w:val="bottom"/>
            <w:tcBorders>
              <w:left w:val="single" w:sz="8" w:color="auto"/>
            </w:tcBorders>
          </w:tcPr>
          <w:p>
            <w:pPr>
              <w:spacing w:after="0"/>
              <w:rPr>
                <w:sz w:val="17"/>
                <w:szCs w:val="17"/>
                <w:color w:val="auto"/>
              </w:rPr>
            </w:pPr>
          </w:p>
        </w:tc>
        <w:tc>
          <w:tcPr>
            <w:tcW w:w="48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managing  the  company,  in  particular  with  regard  to</w:t>
            </w:r>
          </w:p>
        </w:tc>
        <w:tc>
          <w:tcPr>
            <w:tcW w:w="2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gestion pour s'assurer notamment qu'elles observent la loi, les</w:t>
            </w:r>
          </w:p>
        </w:tc>
        <w:tc>
          <w:tcPr>
            <w:tcW w:w="0" w:type="dxa"/>
            <w:vAlign w:val="bottom"/>
          </w:tcPr>
          <w:p>
            <w:pPr>
              <w:spacing w:after="0"/>
              <w:rPr>
                <w:sz w:val="1"/>
                <w:szCs w:val="1"/>
                <w:color w:val="auto"/>
              </w:rPr>
            </w:pPr>
          </w:p>
        </w:tc>
      </w:tr>
      <w:tr>
        <w:trPr>
          <w:trHeight w:val="203"/>
        </w:trPr>
        <w:tc>
          <w:tcPr>
            <w:tcW w:w="340" w:type="dxa"/>
            <w:vAlign w:val="bottom"/>
            <w:tcBorders>
              <w:left w:val="single" w:sz="8" w:color="auto"/>
            </w:tcBorders>
          </w:tcPr>
          <w:p>
            <w:pPr>
              <w:spacing w:after="0"/>
              <w:rPr>
                <w:sz w:val="17"/>
                <w:szCs w:val="17"/>
                <w:color w:val="auto"/>
              </w:rPr>
            </w:pPr>
          </w:p>
        </w:tc>
        <w:tc>
          <w:tcPr>
            <w:tcW w:w="48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compliance with the law, articles of association, operational</w:t>
            </w:r>
          </w:p>
        </w:tc>
        <w:tc>
          <w:tcPr>
            <w:tcW w:w="2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statuts, les règlements et les instructions données;</w:t>
            </w: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regulations and directives;</w:t>
            </w:r>
          </w:p>
        </w:tc>
        <w:tc>
          <w:tcPr>
            <w:tcW w:w="200" w:type="dxa"/>
            <w:vAlign w:val="bottom"/>
            <w:tcBorders>
              <w:right w:val="single" w:sz="8" w:color="auto"/>
            </w:tcBorders>
          </w:tcPr>
          <w:p>
            <w:pPr>
              <w:spacing w:after="0"/>
              <w:rPr>
                <w:sz w:val="18"/>
                <w:szCs w:val="18"/>
                <w:color w:val="auto"/>
              </w:rPr>
            </w:pPr>
          </w:p>
        </w:tc>
        <w:tc>
          <w:tcPr>
            <w:tcW w:w="300" w:type="dxa"/>
            <w:vAlign w:val="bottom"/>
            <w:vMerge w:val="restart"/>
          </w:tcPr>
          <w:p>
            <w:pPr>
              <w:ind w:left="60"/>
              <w:spacing w:after="0"/>
              <w:rPr>
                <w:sz w:val="20"/>
                <w:szCs w:val="20"/>
                <w:color w:val="auto"/>
              </w:rPr>
            </w:pPr>
            <w:r>
              <w:rPr>
                <w:rFonts w:ascii="Arial" w:cs="Arial" w:eastAsia="Arial" w:hAnsi="Arial"/>
                <w:sz w:val="18"/>
                <w:szCs w:val="18"/>
                <w:color w:val="auto"/>
              </w:rPr>
              <w:t>f)</w:t>
            </w:r>
          </w:p>
        </w:tc>
        <w:tc>
          <w:tcPr>
            <w:tcW w:w="55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établir le rapport de gestion, préparer l'assemblée générale et</w:t>
            </w:r>
          </w:p>
        </w:tc>
        <w:tc>
          <w:tcPr>
            <w:tcW w:w="0" w:type="dxa"/>
            <w:vAlign w:val="bottom"/>
          </w:tcPr>
          <w:p>
            <w:pPr>
              <w:spacing w:after="0"/>
              <w:rPr>
                <w:sz w:val="1"/>
                <w:szCs w:val="1"/>
                <w:color w:val="auto"/>
              </w:rPr>
            </w:pPr>
          </w:p>
        </w:tc>
      </w:tr>
      <w:tr>
        <w:trPr>
          <w:trHeight w:val="188"/>
        </w:trPr>
        <w:tc>
          <w:tcPr>
            <w:tcW w:w="340" w:type="dxa"/>
            <w:vAlign w:val="bottom"/>
            <w:tcBorders>
              <w:lef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00" w:type="dxa"/>
            <w:vAlign w:val="bottom"/>
            <w:vMerge w:val="continue"/>
          </w:tcPr>
          <w:p>
            <w:pPr>
              <w:spacing w:after="0"/>
              <w:rPr>
                <w:sz w:val="16"/>
                <w:szCs w:val="16"/>
                <w:color w:val="auto"/>
              </w:rPr>
            </w:pPr>
          </w:p>
        </w:tc>
        <w:tc>
          <w:tcPr>
            <w:tcW w:w="55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 w:type="dxa"/>
            <w:vAlign w:val="bottom"/>
            <w:tcBorders>
              <w:left w:val="single" w:sz="8" w:color="auto"/>
            </w:tcBorders>
          </w:tcPr>
          <w:p>
            <w:pPr>
              <w:ind w:left="80"/>
              <w:spacing w:after="0" w:line="202" w:lineRule="exact"/>
              <w:rPr>
                <w:sz w:val="20"/>
                <w:szCs w:val="20"/>
                <w:color w:val="auto"/>
              </w:rPr>
            </w:pPr>
            <w:r>
              <w:rPr>
                <w:rFonts w:ascii="Arial" w:cs="Arial" w:eastAsia="Arial" w:hAnsi="Arial"/>
                <w:sz w:val="18"/>
                <w:szCs w:val="18"/>
                <w:color w:val="auto"/>
              </w:rPr>
              <w:t>f)</w:t>
            </w:r>
          </w:p>
        </w:tc>
        <w:tc>
          <w:tcPr>
            <w:tcW w:w="488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compilation of the annual report, preparation for the</w:t>
            </w:r>
          </w:p>
        </w:tc>
        <w:tc>
          <w:tcPr>
            <w:tcW w:w="2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exécuter ses décisions;</w:t>
            </w: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general meeting and implementation of its resolutions;</w:t>
            </w:r>
          </w:p>
        </w:tc>
        <w:tc>
          <w:tcPr>
            <w:tcW w:w="200" w:type="dxa"/>
            <w:vAlign w:val="bottom"/>
            <w:tcBorders>
              <w:right w:val="single" w:sz="8" w:color="auto"/>
            </w:tcBorders>
          </w:tcPr>
          <w:p>
            <w:pPr>
              <w:spacing w:after="0"/>
              <w:rPr>
                <w:sz w:val="18"/>
                <w:szCs w:val="18"/>
                <w:color w:val="auto"/>
              </w:rPr>
            </w:pPr>
          </w:p>
        </w:tc>
        <w:tc>
          <w:tcPr>
            <w:tcW w:w="300" w:type="dxa"/>
            <w:vAlign w:val="bottom"/>
            <w:vMerge w:val="restart"/>
          </w:tcPr>
          <w:p>
            <w:pPr>
              <w:ind w:left="60"/>
              <w:spacing w:after="0"/>
              <w:rPr>
                <w:sz w:val="20"/>
                <w:szCs w:val="20"/>
                <w:color w:val="auto"/>
              </w:rPr>
            </w:pPr>
            <w:r>
              <w:rPr>
                <w:rFonts w:ascii="Arial" w:cs="Arial" w:eastAsia="Arial" w:hAnsi="Arial"/>
                <w:sz w:val="18"/>
                <w:szCs w:val="18"/>
                <w:color w:val="auto"/>
              </w:rPr>
              <w:t>g)</w:t>
            </w:r>
          </w:p>
        </w:tc>
        <w:tc>
          <w:tcPr>
            <w:tcW w:w="55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la préparation du rapport de rémunération et de demander</w:t>
            </w:r>
          </w:p>
        </w:tc>
        <w:tc>
          <w:tcPr>
            <w:tcW w:w="0" w:type="dxa"/>
            <w:vAlign w:val="bottom"/>
          </w:tcPr>
          <w:p>
            <w:pPr>
              <w:spacing w:after="0"/>
              <w:rPr>
                <w:sz w:val="1"/>
                <w:szCs w:val="1"/>
                <w:color w:val="auto"/>
              </w:rPr>
            </w:pPr>
          </w:p>
        </w:tc>
      </w:tr>
      <w:tr>
        <w:trPr>
          <w:trHeight w:val="188"/>
        </w:trPr>
        <w:tc>
          <w:tcPr>
            <w:tcW w:w="340" w:type="dxa"/>
            <w:vAlign w:val="bottom"/>
            <w:tcBorders>
              <w:left w:val="single" w:sz="8" w:color="auto"/>
            </w:tcBorders>
          </w:tcPr>
          <w:p>
            <w:pPr>
              <w:spacing w:after="0"/>
              <w:rPr>
                <w:sz w:val="16"/>
                <w:szCs w:val="16"/>
                <w:color w:val="auto"/>
              </w:rPr>
            </w:pPr>
          </w:p>
        </w:tc>
        <w:tc>
          <w:tcPr>
            <w:tcW w:w="4880" w:type="dxa"/>
            <w:vAlign w:val="bottom"/>
            <w:tcBorders>
              <w:right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00" w:type="dxa"/>
            <w:vAlign w:val="bottom"/>
            <w:vMerge w:val="continue"/>
          </w:tcPr>
          <w:p>
            <w:pPr>
              <w:spacing w:after="0"/>
              <w:rPr>
                <w:sz w:val="16"/>
                <w:szCs w:val="16"/>
                <w:color w:val="auto"/>
              </w:rPr>
            </w:pPr>
          </w:p>
        </w:tc>
        <w:tc>
          <w:tcPr>
            <w:tcW w:w="55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2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g)  the preparation of the compensation report and to request</w:t>
            </w:r>
          </w:p>
        </w:tc>
        <w:tc>
          <w:tcPr>
            <w:tcW w:w="2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l'approbation par l'assemblée générale en ce qui concerne la</w:t>
            </w:r>
          </w:p>
        </w:tc>
        <w:tc>
          <w:tcPr>
            <w:tcW w:w="0" w:type="dxa"/>
            <w:vAlign w:val="bottom"/>
          </w:tcPr>
          <w:p>
            <w:pPr>
              <w:spacing w:after="0"/>
              <w:rPr>
                <w:sz w:val="1"/>
                <w:szCs w:val="1"/>
                <w:color w:val="auto"/>
              </w:rPr>
            </w:pPr>
          </w:p>
        </w:tc>
      </w:tr>
      <w:tr>
        <w:trPr>
          <w:trHeight w:val="203"/>
        </w:trPr>
        <w:tc>
          <w:tcPr>
            <w:tcW w:w="340" w:type="dxa"/>
            <w:vAlign w:val="bottom"/>
            <w:tcBorders>
              <w:left w:val="single" w:sz="8" w:color="auto"/>
            </w:tcBorders>
          </w:tcPr>
          <w:p>
            <w:pPr>
              <w:spacing w:after="0"/>
              <w:rPr>
                <w:sz w:val="17"/>
                <w:szCs w:val="17"/>
                <w:color w:val="auto"/>
              </w:rPr>
            </w:pPr>
          </w:p>
        </w:tc>
        <w:tc>
          <w:tcPr>
            <w:tcW w:w="48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approval by the General Meeting regarding compensation</w:t>
            </w:r>
          </w:p>
        </w:tc>
        <w:tc>
          <w:tcPr>
            <w:tcW w:w="2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5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rémunération du conseil d'administration et du comité exécutif; et</w:t>
            </w:r>
          </w:p>
        </w:tc>
        <w:tc>
          <w:tcPr>
            <w:tcW w:w="0" w:type="dxa"/>
            <w:vAlign w:val="bottom"/>
          </w:tcPr>
          <w:p>
            <w:pPr>
              <w:spacing w:after="0"/>
              <w:rPr>
                <w:sz w:val="1"/>
                <w:szCs w:val="1"/>
                <w:color w:val="auto"/>
              </w:rPr>
            </w:pPr>
          </w:p>
        </w:tc>
      </w:tr>
      <w:tr>
        <w:trPr>
          <w:trHeight w:val="203"/>
        </w:trPr>
        <w:tc>
          <w:tcPr>
            <w:tcW w:w="340" w:type="dxa"/>
            <w:vAlign w:val="bottom"/>
            <w:tcBorders>
              <w:left w:val="single" w:sz="8" w:color="auto"/>
            </w:tcBorders>
          </w:tcPr>
          <w:p>
            <w:pPr>
              <w:spacing w:after="0"/>
              <w:rPr>
                <w:sz w:val="17"/>
                <w:szCs w:val="17"/>
                <w:color w:val="auto"/>
              </w:rPr>
            </w:pPr>
          </w:p>
        </w:tc>
        <w:tc>
          <w:tcPr>
            <w:tcW w:w="488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of the Board of Directors and the Executive Committee;</w:t>
            </w:r>
          </w:p>
        </w:tc>
        <w:tc>
          <w:tcPr>
            <w:tcW w:w="2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and</w:t>
            </w:r>
          </w:p>
        </w:tc>
        <w:tc>
          <w:tcPr>
            <w:tcW w:w="200" w:type="dxa"/>
            <w:vAlign w:val="bottom"/>
            <w:tcBorders>
              <w:right w:val="single" w:sz="8" w:color="auto"/>
            </w:tcBorders>
          </w:tcPr>
          <w:p>
            <w:pPr>
              <w:spacing w:after="0"/>
              <w:rPr>
                <w:sz w:val="18"/>
                <w:szCs w:val="18"/>
                <w:color w:val="auto"/>
              </w:rPr>
            </w:pPr>
          </w:p>
        </w:tc>
        <w:tc>
          <w:tcPr>
            <w:tcW w:w="58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h)  informer le juge en cas de surendettement.</w:t>
            </w:r>
          </w:p>
        </w:tc>
        <w:tc>
          <w:tcPr>
            <w:tcW w:w="0" w:type="dxa"/>
            <w:vAlign w:val="bottom"/>
          </w:tcPr>
          <w:p>
            <w:pPr>
              <w:spacing w:after="0"/>
              <w:rPr>
                <w:sz w:val="1"/>
                <w:szCs w:val="1"/>
                <w:color w:val="auto"/>
              </w:rPr>
            </w:pPr>
          </w:p>
        </w:tc>
      </w:tr>
      <w:tr>
        <w:trPr>
          <w:trHeight w:val="391"/>
        </w:trPr>
        <w:tc>
          <w:tcPr>
            <w:tcW w:w="522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h)   notification of the court in the event that the company is</w:t>
            </w:r>
          </w:p>
        </w:tc>
        <w:tc>
          <w:tcPr>
            <w:tcW w:w="20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4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overindebted.</w:t>
            </w:r>
          </w:p>
        </w:tc>
        <w:tc>
          <w:tcPr>
            <w:tcW w:w="2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220" w:type="dxa"/>
            <w:vAlign w:val="bottom"/>
            <w:tcBorders>
              <w:left w:val="single" w:sz="8" w:color="auto"/>
              <w:bottom w:val="single" w:sz="8" w:color="auto"/>
              <w:right w:val="single" w:sz="8" w:color="auto"/>
            </w:tcBorders>
            <w:gridSpan w:val="2"/>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82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22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board of directors may assign responsibility for preparing</w:t>
            </w:r>
          </w:p>
        </w:tc>
        <w:tc>
          <w:tcPr>
            <w:tcW w:w="200" w:type="dxa"/>
            <w:vAlign w:val="bottom"/>
            <w:tcBorders>
              <w:right w:val="single" w:sz="8" w:color="auto"/>
            </w:tcBorders>
          </w:tcPr>
          <w:p>
            <w:pPr>
              <w:spacing w:after="0"/>
              <w:rPr>
                <w:sz w:val="22"/>
                <w:szCs w:val="22"/>
                <w:color w:val="auto"/>
              </w:rPr>
            </w:pPr>
          </w:p>
        </w:tc>
        <w:tc>
          <w:tcPr>
            <w:tcW w:w="58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conseil d'administration peut déléguer à un ou plusieurs membres,</w:t>
            </w:r>
          </w:p>
        </w:tc>
        <w:tc>
          <w:tcPr>
            <w:tcW w:w="0" w:type="dxa"/>
            <w:vAlign w:val="bottom"/>
          </w:tcPr>
          <w:p>
            <w:pPr>
              <w:spacing w:after="0"/>
              <w:rPr>
                <w:sz w:val="1"/>
                <w:szCs w:val="1"/>
                <w:color w:val="auto"/>
              </w:rPr>
            </w:pPr>
          </w:p>
        </w:tc>
      </w:tr>
      <w:tr>
        <w:trPr>
          <w:trHeight w:val="203"/>
        </w:trPr>
        <w:tc>
          <w:tcPr>
            <w:tcW w:w="522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and implementing its resolutions or monitoring transactions to</w:t>
            </w:r>
          </w:p>
        </w:tc>
        <w:tc>
          <w:tcPr>
            <w:tcW w:w="200" w:type="dxa"/>
            <w:vAlign w:val="bottom"/>
            <w:tcBorders>
              <w:right w:val="single" w:sz="8" w:color="auto"/>
            </w:tcBorders>
          </w:tcPr>
          <w:p>
            <w:pPr>
              <w:spacing w:after="0"/>
              <w:rPr>
                <w:sz w:val="17"/>
                <w:szCs w:val="17"/>
                <w:color w:val="auto"/>
              </w:rPr>
            </w:pPr>
          </w:p>
        </w:tc>
        <w:tc>
          <w:tcPr>
            <w:tcW w:w="582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regroupés  en  comités,  la  charge  de  préparer  et  d'exécuter  ses</w:t>
            </w:r>
          </w:p>
        </w:tc>
        <w:tc>
          <w:tcPr>
            <w:tcW w:w="0" w:type="dxa"/>
            <w:vAlign w:val="bottom"/>
          </w:tcPr>
          <w:p>
            <w:pPr>
              <w:spacing w:after="0"/>
              <w:rPr>
                <w:sz w:val="1"/>
                <w:szCs w:val="1"/>
                <w:color w:val="auto"/>
              </w:rPr>
            </w:pPr>
          </w:p>
        </w:tc>
      </w:tr>
      <w:tr>
        <w:trPr>
          <w:trHeight w:val="203"/>
        </w:trPr>
        <w:tc>
          <w:tcPr>
            <w:tcW w:w="522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committees or individual members. It must ensure appropriate</w:t>
            </w:r>
          </w:p>
        </w:tc>
        <w:tc>
          <w:tcPr>
            <w:tcW w:w="200" w:type="dxa"/>
            <w:vAlign w:val="bottom"/>
            <w:tcBorders>
              <w:right w:val="single" w:sz="8" w:color="auto"/>
            </w:tcBorders>
          </w:tcPr>
          <w:p>
            <w:pPr>
              <w:spacing w:after="0"/>
              <w:rPr>
                <w:sz w:val="17"/>
                <w:szCs w:val="17"/>
                <w:color w:val="auto"/>
              </w:rPr>
            </w:pPr>
          </w:p>
        </w:tc>
        <w:tc>
          <w:tcPr>
            <w:tcW w:w="582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décisions ou de surveiller certaines affaires. Il veille à ce que ses</w:t>
            </w:r>
          </w:p>
        </w:tc>
        <w:tc>
          <w:tcPr>
            <w:tcW w:w="0" w:type="dxa"/>
            <w:vAlign w:val="bottom"/>
          </w:tcPr>
          <w:p>
            <w:pPr>
              <w:spacing w:after="0"/>
              <w:rPr>
                <w:sz w:val="1"/>
                <w:szCs w:val="1"/>
                <w:color w:val="auto"/>
              </w:rPr>
            </w:pPr>
          </w:p>
        </w:tc>
      </w:tr>
      <w:tr>
        <w:trPr>
          <w:trHeight w:val="217"/>
        </w:trPr>
        <w:tc>
          <w:tcPr>
            <w:tcW w:w="522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reporting to its members.</w:t>
            </w:r>
          </w:p>
        </w:tc>
        <w:tc>
          <w:tcPr>
            <w:tcW w:w="200" w:type="dxa"/>
            <w:vAlign w:val="bottom"/>
            <w:tcBorders>
              <w:right w:val="single" w:sz="8" w:color="auto"/>
            </w:tcBorders>
          </w:tcPr>
          <w:p>
            <w:pPr>
              <w:spacing w:after="0"/>
              <w:rPr>
                <w:sz w:val="18"/>
                <w:szCs w:val="18"/>
                <w:color w:val="auto"/>
              </w:rPr>
            </w:pPr>
          </w:p>
        </w:tc>
        <w:tc>
          <w:tcPr>
            <w:tcW w:w="58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membres soient convenablement informés.</w:t>
            </w:r>
          </w:p>
        </w:tc>
        <w:tc>
          <w:tcPr>
            <w:tcW w:w="0" w:type="dxa"/>
            <w:vAlign w:val="bottom"/>
          </w:tcPr>
          <w:p>
            <w:pPr>
              <w:spacing w:after="0"/>
              <w:rPr>
                <w:sz w:val="1"/>
                <w:szCs w:val="1"/>
                <w:color w:val="auto"/>
              </w:rPr>
            </w:pPr>
          </w:p>
        </w:tc>
      </w:tr>
      <w:tr>
        <w:trPr>
          <w:trHeight w:val="54"/>
        </w:trPr>
        <w:tc>
          <w:tcPr>
            <w:tcW w:w="5220" w:type="dxa"/>
            <w:vAlign w:val="bottom"/>
            <w:tcBorders>
              <w:left w:val="single" w:sz="8" w:color="auto"/>
              <w:bottom w:val="single" w:sz="8" w:color="auto"/>
              <w:right w:val="single" w:sz="8" w:color="auto"/>
            </w:tcBorders>
            <w:gridSpan w:val="2"/>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82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22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24 Representation of the Company</w:t>
            </w:r>
          </w:p>
        </w:tc>
        <w:tc>
          <w:tcPr>
            <w:tcW w:w="200" w:type="dxa"/>
            <w:vAlign w:val="bottom"/>
            <w:tcBorders>
              <w:right w:val="single" w:sz="8" w:color="auto"/>
            </w:tcBorders>
          </w:tcPr>
          <w:p>
            <w:pPr>
              <w:spacing w:after="0"/>
              <w:rPr>
                <w:sz w:val="24"/>
                <w:szCs w:val="24"/>
                <w:color w:val="auto"/>
              </w:rPr>
            </w:pPr>
          </w:p>
        </w:tc>
        <w:tc>
          <w:tcPr>
            <w:tcW w:w="58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24 Représentation de la société</w:t>
            </w:r>
          </w:p>
        </w:tc>
        <w:tc>
          <w:tcPr>
            <w:tcW w:w="0" w:type="dxa"/>
            <w:vAlign w:val="bottom"/>
          </w:tcPr>
          <w:p>
            <w:pPr>
              <w:spacing w:after="0"/>
              <w:rPr>
                <w:sz w:val="1"/>
                <w:szCs w:val="1"/>
                <w:color w:val="auto"/>
              </w:rPr>
            </w:pPr>
          </w:p>
        </w:tc>
      </w:tr>
      <w:tr>
        <w:trPr>
          <w:trHeight w:val="391"/>
        </w:trPr>
        <w:tc>
          <w:tcPr>
            <w:tcW w:w="522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Board of Directors shall assign the persons with signatory</w:t>
            </w:r>
          </w:p>
        </w:tc>
        <w:tc>
          <w:tcPr>
            <w:tcW w:w="200" w:type="dxa"/>
            <w:vAlign w:val="bottom"/>
            <w:tcBorders>
              <w:right w:val="single" w:sz="8" w:color="auto"/>
            </w:tcBorders>
          </w:tcPr>
          <w:p>
            <w:pPr>
              <w:spacing w:after="0"/>
              <w:rPr>
                <w:sz w:val="24"/>
                <w:szCs w:val="24"/>
                <w:color w:val="auto"/>
              </w:rPr>
            </w:pPr>
          </w:p>
        </w:tc>
        <w:tc>
          <w:tcPr>
            <w:tcW w:w="58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 conseil d'administration nomme les personnes pouvant représenter</w:t>
            </w:r>
          </w:p>
        </w:tc>
        <w:tc>
          <w:tcPr>
            <w:tcW w:w="0" w:type="dxa"/>
            <w:vAlign w:val="bottom"/>
          </w:tcPr>
          <w:p>
            <w:pPr>
              <w:spacing w:after="0"/>
              <w:rPr>
                <w:sz w:val="1"/>
                <w:szCs w:val="1"/>
                <w:color w:val="auto"/>
              </w:rPr>
            </w:pPr>
          </w:p>
        </w:tc>
      </w:tr>
      <w:tr>
        <w:trPr>
          <w:trHeight w:val="217"/>
        </w:trPr>
        <w:tc>
          <w:tcPr>
            <w:tcW w:w="522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power for the company and the kind of signatory power.</w:t>
            </w:r>
          </w:p>
        </w:tc>
        <w:tc>
          <w:tcPr>
            <w:tcW w:w="200" w:type="dxa"/>
            <w:vAlign w:val="bottom"/>
            <w:tcBorders>
              <w:right w:val="single" w:sz="8" w:color="auto"/>
            </w:tcBorders>
          </w:tcPr>
          <w:p>
            <w:pPr>
              <w:spacing w:after="0"/>
              <w:rPr>
                <w:sz w:val="18"/>
                <w:szCs w:val="18"/>
                <w:color w:val="auto"/>
              </w:rPr>
            </w:pPr>
          </w:p>
        </w:tc>
        <w:tc>
          <w:tcPr>
            <w:tcW w:w="58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société ainsi que le mode de signature.</w:t>
            </w:r>
          </w:p>
        </w:tc>
        <w:tc>
          <w:tcPr>
            <w:tcW w:w="0" w:type="dxa"/>
            <w:vAlign w:val="bottom"/>
          </w:tcPr>
          <w:p>
            <w:pPr>
              <w:spacing w:after="0"/>
              <w:rPr>
                <w:sz w:val="1"/>
                <w:szCs w:val="1"/>
                <w:color w:val="auto"/>
              </w:rPr>
            </w:pPr>
          </w:p>
        </w:tc>
      </w:tr>
      <w:tr>
        <w:trPr>
          <w:trHeight w:val="257"/>
        </w:trPr>
        <w:tc>
          <w:tcPr>
            <w:tcW w:w="340" w:type="dxa"/>
            <w:vAlign w:val="bottom"/>
            <w:tcBorders>
              <w:left w:val="single" w:sz="8" w:color="auto"/>
              <w:bottom w:val="single" w:sz="8" w:color="auto"/>
            </w:tcBorders>
          </w:tcPr>
          <w:p>
            <w:pPr>
              <w:spacing w:after="0"/>
              <w:rPr>
                <w:sz w:val="22"/>
                <w:szCs w:val="22"/>
                <w:color w:val="auto"/>
              </w:rPr>
            </w:pPr>
          </w:p>
        </w:tc>
        <w:tc>
          <w:tcPr>
            <w:tcW w:w="4880" w:type="dxa"/>
            <w:vAlign w:val="bottom"/>
            <w:tcBorders>
              <w:bottom w:val="single" w:sz="8" w:color="auto"/>
              <w:right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55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49"/>
        </w:trPr>
        <w:tc>
          <w:tcPr>
            <w:tcW w:w="3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7" w:right="339" w:bottom="1440" w:gutter="0" w:footer="0" w:header="0"/>
        </w:sectPr>
      </w:pPr>
    </w:p>
    <w:bookmarkStart w:id="59" w:name="page60"/>
    <w:bookmarkEnd w:id="5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7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5240"/>
              <w:spacing w:after="0"/>
              <w:rPr>
                <w:sz w:val="20"/>
                <w:szCs w:val="20"/>
                <w:color w:val="auto"/>
              </w:rPr>
            </w:pPr>
            <w:r>
              <w:rPr>
                <w:rFonts w:ascii="Arial" w:cs="Arial" w:eastAsia="Arial" w:hAnsi="Arial"/>
                <w:sz w:val="18"/>
                <w:szCs w:val="18"/>
                <w:color w:val="auto"/>
                <w:w w:val="99"/>
              </w:rPr>
              <w:t>21</w:t>
            </w:r>
          </w:p>
        </w:tc>
      </w:tr>
      <w:tr>
        <w:trPr>
          <w:trHeight w:val="94"/>
        </w:trPr>
        <w:tc>
          <w:tcPr>
            <w:tcW w:w="700" w:type="dxa"/>
            <w:vAlign w:val="bottom"/>
            <w:tcBorders>
              <w:bottom w:val="single" w:sz="8" w:color="auto"/>
            </w:tcBorders>
          </w:tcPr>
          <w:p>
            <w:pPr>
              <w:spacing w:after="0"/>
              <w:rPr>
                <w:sz w:val="8"/>
                <w:szCs w:val="8"/>
                <w:color w:val="auto"/>
              </w:rPr>
            </w:pPr>
          </w:p>
        </w:tc>
        <w:tc>
          <w:tcPr>
            <w:tcW w:w="4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tcPr>
          <w:p>
            <w:pPr>
              <w:spacing w:after="0"/>
              <w:rPr>
                <w:sz w:val="8"/>
                <w:szCs w:val="8"/>
                <w:color w:val="auto"/>
              </w:rPr>
            </w:pPr>
          </w:p>
        </w:tc>
      </w:tr>
      <w:tr>
        <w:trPr>
          <w:trHeight w:val="277"/>
        </w:trPr>
        <w:tc>
          <w:tcPr>
            <w:tcW w:w="70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Art. 25</w:t>
            </w:r>
          </w:p>
        </w:tc>
        <w:tc>
          <w:tcPr>
            <w:tcW w:w="484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Delegation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25 Délégation</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Moreover, the Board of Directors is authorized to delegate, in part</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 outre, le conseil d'administration peut, dans les limites de la loi,</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or  entirely,  the  management  and  the  representation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déléguer, en partie ou entièrement, la gestion et la représentation</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Company, within the limits of the law, to one or more individual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la société à un ou plusieurs administrateurs (délégués) ou à</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directors (Delegates) or to third parties pursuant to organizational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tiers conformément au règlement d'organisation.</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regulations.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spacing w:after="0"/>
              <w:rPr>
                <w:sz w:val="18"/>
                <w:szCs w:val="18"/>
                <w:color w:val="auto"/>
              </w:rPr>
            </w:pPr>
          </w:p>
        </w:tc>
      </w:tr>
      <w:tr>
        <w:trPr>
          <w:trHeight w:val="257"/>
        </w:trPr>
        <w:tc>
          <w:tcPr>
            <w:tcW w:w="554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tcPr>
          <w:p>
            <w:pPr>
              <w:spacing w:after="0"/>
              <w:rPr>
                <w:sz w:val="22"/>
                <w:szCs w:val="22"/>
                <w:color w:val="auto"/>
              </w:rPr>
            </w:pPr>
          </w:p>
        </w:tc>
      </w:tr>
      <w:tr>
        <w:trPr>
          <w:trHeight w:val="27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26 Meetings, Resolutions and Minutes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26 Réunions, décisions et procès-verbal</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organization of the meetings, the presence quorum and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L'organisation des réunions, le quorum de présence et l'adoption</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passing of resolutions of the Board of Directors is determined by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décisions du conseil d'administration sont prévus dans le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the organizational regulations. No presence quorum is required for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règlement  d'organisation.  Aucun  quorum  de  présence  n'est</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the approval of the capital increase.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nécessaire  pour  l'approbation  d'un  rapport  d'augmentation de</w:t>
            </w:r>
          </w:p>
        </w:tc>
      </w:tr>
      <w:tr>
        <w:trPr>
          <w:trHeight w:val="217"/>
        </w:trPr>
        <w:tc>
          <w:tcPr>
            <w:tcW w:w="700" w:type="dxa"/>
            <w:vAlign w:val="bottom"/>
            <w:tcBorders>
              <w:left w:val="single" w:sz="8" w:color="auto"/>
            </w:tcBorders>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capital.</w:t>
            </w:r>
          </w:p>
        </w:tc>
      </w:tr>
      <w:tr>
        <w:trPr>
          <w:trHeight w:val="257"/>
        </w:trPr>
        <w:tc>
          <w:tcPr>
            <w:tcW w:w="554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tcPr>
          <w:p>
            <w:pPr>
              <w:spacing w:after="0"/>
              <w:rPr>
                <w:sz w:val="22"/>
                <w:szCs w:val="22"/>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Resolutions may be passed via telephone or videoconference.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Les décisions peuvent être prises par téléphone ou par</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Resolutions may also be passed by way of circulation, provided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vidéoconférence. Les décisions peuvent également être prises par</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that no member requests oral deliberation.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222222"/>
              </w:rPr>
              <w:t>voie de circulation, à condition qu'aucun membre ne demande une</w:t>
            </w:r>
          </w:p>
        </w:tc>
      </w:tr>
      <w:tr>
        <w:trPr>
          <w:trHeight w:val="217"/>
        </w:trPr>
        <w:tc>
          <w:tcPr>
            <w:tcW w:w="700" w:type="dxa"/>
            <w:vAlign w:val="bottom"/>
            <w:tcBorders>
              <w:left w:val="single" w:sz="8" w:color="auto"/>
            </w:tcBorders>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222222"/>
              </w:rPr>
              <w:t>délibération orale.</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Minutes are kept of the board's discussions and resolutions and</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délibérations et les décisions du conseil d'administration sont</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signed by the chairman and the minute-taker.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consignées dans un procès-verbal signé par le président et le</w:t>
            </w:r>
          </w:p>
        </w:tc>
      </w:tr>
      <w:tr>
        <w:trPr>
          <w:trHeight w:val="217"/>
        </w:trPr>
        <w:tc>
          <w:tcPr>
            <w:tcW w:w="700" w:type="dxa"/>
            <w:vAlign w:val="bottom"/>
            <w:tcBorders>
              <w:left w:val="single" w:sz="8" w:color="auto"/>
            </w:tcBorders>
          </w:tcPr>
          <w:p>
            <w:pPr>
              <w:spacing w:after="0"/>
              <w:rPr>
                <w:sz w:val="18"/>
                <w:szCs w:val="18"/>
                <w:color w:val="auto"/>
              </w:rPr>
            </w:pPr>
          </w:p>
        </w:tc>
        <w:tc>
          <w:tcPr>
            <w:tcW w:w="48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rédacteur du procès-verbal.</w:t>
            </w: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48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70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Art. 27</w:t>
            </w:r>
          </w:p>
        </w:tc>
        <w:tc>
          <w:tcPr>
            <w:tcW w:w="48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Right to information and inspection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27 Droit aux renseignements et à la consultation</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Any member of the board of directors may request information 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Chaque membre du conseil d'administration a le droit d'obtenir des</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any company business.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renseignements sur toutes les affaires de la société.</w:t>
            </w:r>
          </w:p>
        </w:tc>
      </w:tr>
      <w:tr>
        <w:trPr>
          <w:trHeight w:val="256"/>
        </w:trPr>
        <w:tc>
          <w:tcPr>
            <w:tcW w:w="554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tcPr>
          <w:p>
            <w:pPr>
              <w:spacing w:after="0"/>
              <w:rPr>
                <w:sz w:val="22"/>
                <w:szCs w:val="22"/>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Outside meetings, any member may request information from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 dehors des séances, chaque membre du conseil</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persons  entrusted  with  managing  the  company's  business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peut exiger des personnes chargées de la gestion</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concerning the company's business performance and, with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renseignements sur la marche de l'entreprise et, avec</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chairman's authorisation, specific transactions.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l'autorisation du président, sur des affaires déterminées.</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Where required for the performance of his duties, any member</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la mesure où cela est nécessaire à l'accomplissement de ses</w:t>
            </w:r>
          </w:p>
        </w:tc>
      </w:tr>
      <w:tr>
        <w:trPr>
          <w:trHeight w:val="202"/>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may  request  the  chairman  to  have  books  of  account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tâches, chaque membre du conseil d'administration peut</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documents made available to him for inspection.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demander au président la production des livres ou des dossiers.</w:t>
            </w:r>
          </w:p>
        </w:tc>
      </w:tr>
      <w:tr>
        <w:trPr>
          <w:trHeight w:val="54"/>
        </w:trPr>
        <w:tc>
          <w:tcPr>
            <w:tcW w:w="700" w:type="dxa"/>
            <w:vAlign w:val="bottom"/>
            <w:tcBorders>
              <w:left w:val="single" w:sz="8" w:color="auto"/>
              <w:bottom w:val="single" w:sz="8" w:color="auto"/>
            </w:tcBorders>
          </w:tcPr>
          <w:p>
            <w:pPr>
              <w:spacing w:after="0"/>
              <w:rPr>
                <w:sz w:val="4"/>
                <w:szCs w:val="4"/>
                <w:color w:val="auto"/>
              </w:rPr>
            </w:pPr>
          </w:p>
        </w:tc>
        <w:tc>
          <w:tcPr>
            <w:tcW w:w="48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547"/>
        </w:trPr>
        <w:tc>
          <w:tcPr>
            <w:tcW w:w="7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80" w:type="dxa"/>
            <w:vAlign w:val="bottom"/>
          </w:tcPr>
          <w:p>
            <w:pPr>
              <w:ind w:left="49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94"/>
        </w:trPr>
        <w:tc>
          <w:tcPr>
            <w:tcW w:w="5620" w:type="dxa"/>
            <w:vAlign w:val="bottom"/>
            <w:tcBorders>
              <w:bottom w:val="single" w:sz="8" w:color="auto"/>
            </w:tcBorders>
            <w:gridSpan w:val="2"/>
          </w:tcPr>
          <w:p>
            <w:pPr>
              <w:spacing w:after="0"/>
              <w:rPr>
                <w:sz w:val="8"/>
                <w:szCs w:val="8"/>
                <w:color w:val="auto"/>
              </w:rPr>
            </w:pPr>
          </w:p>
        </w:tc>
        <w:tc>
          <w:tcPr>
            <w:tcW w:w="562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620" w:type="dxa"/>
            <w:vAlign w:val="bottom"/>
            <w:gridSpan w:val="2"/>
          </w:tcPr>
          <w:p>
            <w:pPr>
              <w:ind w:left="80"/>
              <w:spacing w:after="0"/>
              <w:rPr>
                <w:sz w:val="20"/>
                <w:szCs w:val="20"/>
                <w:color w:val="auto"/>
              </w:rPr>
            </w:pPr>
            <w:r>
              <w:rPr>
                <w:rFonts w:ascii="Arial" w:cs="Arial" w:eastAsia="Arial" w:hAnsi="Arial"/>
                <w:sz w:val="18"/>
                <w:szCs w:val="18"/>
                <w:color w:val="auto"/>
              </w:rPr>
              <w:t>If the chairman refuses a request for information, a request to be</w:t>
            </w: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Si le président rejette une demande de renseignement, d'audition</w:t>
            </w:r>
          </w:p>
        </w:tc>
        <w:tc>
          <w:tcPr>
            <w:tcW w:w="0" w:type="dxa"/>
            <w:vAlign w:val="bottom"/>
          </w:tcPr>
          <w:p>
            <w:pPr>
              <w:spacing w:after="0"/>
              <w:rPr>
                <w:sz w:val="1"/>
                <w:szCs w:val="1"/>
                <w:color w:val="auto"/>
              </w:rPr>
            </w:pPr>
          </w:p>
        </w:tc>
      </w:tr>
      <w:tr>
        <w:trPr>
          <w:trHeight w:val="203"/>
        </w:trPr>
        <w:tc>
          <w:tcPr>
            <w:tcW w:w="56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heard  or  an  application  to  inspect  documents,  the  board  of</w:t>
            </w:r>
          </w:p>
        </w:tc>
        <w:tc>
          <w:tcPr>
            <w:tcW w:w="56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ou de consultation, le conseil d'administration tranche.</w:t>
            </w:r>
          </w:p>
        </w:tc>
        <w:tc>
          <w:tcPr>
            <w:tcW w:w="0" w:type="dxa"/>
            <w:vAlign w:val="bottom"/>
          </w:tcPr>
          <w:p>
            <w:pPr>
              <w:spacing w:after="0"/>
              <w:rPr>
                <w:sz w:val="1"/>
                <w:szCs w:val="1"/>
                <w:color w:val="auto"/>
              </w:rPr>
            </w:pPr>
          </w:p>
        </w:tc>
      </w:tr>
      <w:tr>
        <w:trPr>
          <w:trHeight w:val="217"/>
        </w:trPr>
        <w:tc>
          <w:tcPr>
            <w:tcW w:w="5620" w:type="dxa"/>
            <w:vAlign w:val="bottom"/>
            <w:gridSpan w:val="2"/>
          </w:tcPr>
          <w:p>
            <w:pPr>
              <w:ind w:left="80"/>
              <w:spacing w:after="0"/>
              <w:rPr>
                <w:sz w:val="20"/>
                <w:szCs w:val="20"/>
                <w:color w:val="auto"/>
              </w:rPr>
            </w:pPr>
            <w:r>
              <w:rPr>
                <w:rFonts w:ascii="Arial" w:cs="Arial" w:eastAsia="Arial" w:hAnsi="Arial"/>
                <w:sz w:val="18"/>
                <w:szCs w:val="18"/>
                <w:color w:val="auto"/>
              </w:rPr>
              <w:t>directors rules on the matter.</w:t>
            </w:r>
          </w:p>
        </w:tc>
        <w:tc>
          <w:tcPr>
            <w:tcW w:w="4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620" w:type="dxa"/>
            <w:vAlign w:val="bottom"/>
            <w:tcBorders>
              <w:bottom w:val="single" w:sz="8" w:color="auto"/>
            </w:tcBorders>
            <w:gridSpan w:val="2"/>
          </w:tcPr>
          <w:p>
            <w:pPr>
              <w:spacing w:after="0"/>
              <w:rPr>
                <w:sz w:val="4"/>
                <w:szCs w:val="4"/>
                <w:color w:val="auto"/>
              </w:rPr>
            </w:pPr>
          </w:p>
        </w:tc>
        <w:tc>
          <w:tcPr>
            <w:tcW w:w="56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620" w:type="dxa"/>
            <w:vAlign w:val="bottom"/>
            <w:gridSpan w:val="2"/>
          </w:tcPr>
          <w:p>
            <w:pPr>
              <w:ind w:left="80"/>
              <w:spacing w:after="0"/>
              <w:rPr>
                <w:sz w:val="20"/>
                <w:szCs w:val="20"/>
                <w:color w:val="auto"/>
              </w:rPr>
            </w:pPr>
            <w:r>
              <w:rPr>
                <w:rFonts w:ascii="Arial" w:cs="Arial" w:eastAsia="Arial" w:hAnsi="Arial"/>
                <w:sz w:val="18"/>
                <w:szCs w:val="18"/>
                <w:b w:val="1"/>
                <w:bCs w:val="1"/>
                <w:color w:val="auto"/>
              </w:rPr>
              <w:t>Art. 28 Compensation Committee</w:t>
            </w:r>
          </w:p>
        </w:tc>
        <w:tc>
          <w:tcPr>
            <w:tcW w:w="5620" w:type="dxa"/>
            <w:vAlign w:val="bottom"/>
            <w:gridSpan w:val="2"/>
          </w:tcPr>
          <w:p>
            <w:pPr>
              <w:ind w:left="200"/>
              <w:spacing w:after="0"/>
              <w:rPr>
                <w:sz w:val="20"/>
                <w:szCs w:val="20"/>
                <w:color w:val="auto"/>
              </w:rPr>
            </w:pPr>
            <w:r>
              <w:rPr>
                <w:rFonts w:ascii="Arial" w:cs="Arial" w:eastAsia="Arial" w:hAnsi="Arial"/>
                <w:sz w:val="18"/>
                <w:szCs w:val="18"/>
                <w:b w:val="1"/>
                <w:bCs w:val="1"/>
                <w:color w:val="auto"/>
              </w:rPr>
              <w:t>Art. 28  Comité de rémunération</w:t>
            </w:r>
          </w:p>
        </w:tc>
        <w:tc>
          <w:tcPr>
            <w:tcW w:w="0" w:type="dxa"/>
            <w:vAlign w:val="bottom"/>
          </w:tcPr>
          <w:p>
            <w:pPr>
              <w:spacing w:after="0"/>
              <w:rPr>
                <w:sz w:val="1"/>
                <w:szCs w:val="1"/>
                <w:color w:val="auto"/>
              </w:rPr>
            </w:pPr>
          </w:p>
        </w:tc>
      </w:tr>
      <w:tr>
        <w:trPr>
          <w:trHeight w:val="391"/>
        </w:trPr>
        <w:tc>
          <w:tcPr>
            <w:tcW w:w="5620" w:type="dxa"/>
            <w:vAlign w:val="bottom"/>
            <w:gridSpan w:val="2"/>
          </w:tcPr>
          <w:p>
            <w:pPr>
              <w:ind w:left="80"/>
              <w:spacing w:after="0"/>
              <w:rPr>
                <w:sz w:val="20"/>
                <w:szCs w:val="20"/>
                <w:color w:val="auto"/>
              </w:rPr>
            </w:pPr>
            <w:r>
              <w:rPr>
                <w:rFonts w:ascii="Arial" w:cs="Arial" w:eastAsia="Arial" w:hAnsi="Arial"/>
                <w:sz w:val="18"/>
                <w:szCs w:val="18"/>
                <w:color w:val="auto"/>
              </w:rPr>
              <w:t>The Compensation Committee shall comprise at least 2 members.</w:t>
            </w: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Le comité de rémunération se compose d'au moins 2 membres.</w:t>
            </w:r>
          </w:p>
        </w:tc>
        <w:tc>
          <w:tcPr>
            <w:tcW w:w="0" w:type="dxa"/>
            <w:vAlign w:val="bottom"/>
          </w:tcPr>
          <w:p>
            <w:pPr>
              <w:spacing w:after="0"/>
              <w:rPr>
                <w:sz w:val="1"/>
                <w:szCs w:val="1"/>
                <w:color w:val="auto"/>
              </w:rPr>
            </w:pPr>
          </w:p>
        </w:tc>
      </w:tr>
      <w:tr>
        <w:trPr>
          <w:trHeight w:val="203"/>
        </w:trPr>
        <w:tc>
          <w:tcPr>
            <w:tcW w:w="56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The members of the Compensation Committee shall be individually</w:t>
            </w:r>
          </w:p>
        </w:tc>
        <w:tc>
          <w:tcPr>
            <w:tcW w:w="56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Les  membres  du  comité  de  rémunération  sont  élus  par</w:t>
            </w:r>
          </w:p>
        </w:tc>
        <w:tc>
          <w:tcPr>
            <w:tcW w:w="0" w:type="dxa"/>
            <w:vAlign w:val="bottom"/>
          </w:tcPr>
          <w:p>
            <w:pPr>
              <w:spacing w:after="0"/>
              <w:rPr>
                <w:sz w:val="1"/>
                <w:szCs w:val="1"/>
                <w:color w:val="auto"/>
              </w:rPr>
            </w:pPr>
          </w:p>
        </w:tc>
      </w:tr>
      <w:tr>
        <w:trPr>
          <w:trHeight w:val="203"/>
        </w:trPr>
        <w:tc>
          <w:tcPr>
            <w:tcW w:w="56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elected by the Ordinary General Meeting from among the members</w:t>
            </w:r>
          </w:p>
        </w:tc>
        <w:tc>
          <w:tcPr>
            <w:tcW w:w="56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l'assemblée générale ordinaire parmi les membres du conseil</w:t>
            </w:r>
          </w:p>
        </w:tc>
        <w:tc>
          <w:tcPr>
            <w:tcW w:w="0" w:type="dxa"/>
            <w:vAlign w:val="bottom"/>
          </w:tcPr>
          <w:p>
            <w:pPr>
              <w:spacing w:after="0"/>
              <w:rPr>
                <w:sz w:val="1"/>
                <w:szCs w:val="1"/>
                <w:color w:val="auto"/>
              </w:rPr>
            </w:pPr>
          </w:p>
        </w:tc>
      </w:tr>
      <w:tr>
        <w:trPr>
          <w:trHeight w:val="203"/>
        </w:trPr>
        <w:tc>
          <w:tcPr>
            <w:tcW w:w="56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of the Board of Directors for a term of one year until the next</w:t>
            </w:r>
          </w:p>
        </w:tc>
        <w:tc>
          <w:tcPr>
            <w:tcW w:w="56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d'administration pour un mandat d'un an jusqu'à la prochaine</w:t>
            </w:r>
          </w:p>
        </w:tc>
        <w:tc>
          <w:tcPr>
            <w:tcW w:w="0" w:type="dxa"/>
            <w:vAlign w:val="bottom"/>
          </w:tcPr>
          <w:p>
            <w:pPr>
              <w:spacing w:after="0"/>
              <w:rPr>
                <w:sz w:val="1"/>
                <w:szCs w:val="1"/>
                <w:color w:val="auto"/>
              </w:rPr>
            </w:pPr>
          </w:p>
        </w:tc>
      </w:tr>
      <w:tr>
        <w:trPr>
          <w:trHeight w:val="203"/>
        </w:trPr>
        <w:tc>
          <w:tcPr>
            <w:tcW w:w="56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Ordinary  General  Meeting.  Re-election  is  permitted.  The</w:t>
            </w:r>
          </w:p>
        </w:tc>
        <w:tc>
          <w:tcPr>
            <w:tcW w:w="56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assemblée générale ordinaire. Une réélection est possible. Le</w:t>
            </w:r>
          </w:p>
        </w:tc>
        <w:tc>
          <w:tcPr>
            <w:tcW w:w="0" w:type="dxa"/>
            <w:vAlign w:val="bottom"/>
          </w:tcPr>
          <w:p>
            <w:pPr>
              <w:spacing w:after="0"/>
              <w:rPr>
                <w:sz w:val="1"/>
                <w:szCs w:val="1"/>
                <w:color w:val="auto"/>
              </w:rPr>
            </w:pPr>
          </w:p>
        </w:tc>
      </w:tr>
      <w:tr>
        <w:trPr>
          <w:trHeight w:val="217"/>
        </w:trPr>
        <w:tc>
          <w:tcPr>
            <w:tcW w:w="5620" w:type="dxa"/>
            <w:vAlign w:val="bottom"/>
            <w:gridSpan w:val="2"/>
          </w:tcPr>
          <w:p>
            <w:pPr>
              <w:ind w:left="80"/>
              <w:spacing w:after="0"/>
              <w:rPr>
                <w:sz w:val="20"/>
                <w:szCs w:val="20"/>
                <w:color w:val="auto"/>
              </w:rPr>
            </w:pPr>
            <w:r>
              <w:rPr>
                <w:rFonts w:ascii="Arial" w:cs="Arial" w:eastAsia="Arial" w:hAnsi="Arial"/>
                <w:sz w:val="18"/>
                <w:szCs w:val="18"/>
                <w:color w:val="auto"/>
              </w:rPr>
              <w:t>Compensation Committee has the following duties:</w:t>
            </w: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comité de rémunération a les fonctions suivantes:</w:t>
            </w:r>
          </w:p>
        </w:tc>
        <w:tc>
          <w:tcPr>
            <w:tcW w:w="0" w:type="dxa"/>
            <w:vAlign w:val="bottom"/>
          </w:tcPr>
          <w:p>
            <w:pPr>
              <w:spacing w:after="0"/>
              <w:rPr>
                <w:sz w:val="1"/>
                <w:szCs w:val="1"/>
                <w:color w:val="auto"/>
              </w:rPr>
            </w:pPr>
          </w:p>
        </w:tc>
      </w:tr>
      <w:tr>
        <w:trPr>
          <w:trHeight w:val="391"/>
        </w:trPr>
        <w:tc>
          <w:tcPr>
            <w:tcW w:w="360" w:type="dxa"/>
            <w:vAlign w:val="bottom"/>
          </w:tcPr>
          <w:p>
            <w:pPr>
              <w:ind w:left="80"/>
              <w:spacing w:after="0"/>
              <w:rPr>
                <w:sz w:val="20"/>
                <w:szCs w:val="20"/>
                <w:color w:val="auto"/>
              </w:rPr>
            </w:pPr>
            <w:r>
              <w:rPr>
                <w:rFonts w:ascii="Arial" w:cs="Arial" w:eastAsia="Arial" w:hAnsi="Arial"/>
                <w:sz w:val="18"/>
                <w:szCs w:val="18"/>
                <w:color w:val="auto"/>
              </w:rPr>
              <w:t>a)</w:t>
            </w:r>
          </w:p>
        </w:tc>
        <w:tc>
          <w:tcPr>
            <w:tcW w:w="5260" w:type="dxa"/>
            <w:vAlign w:val="bottom"/>
          </w:tcPr>
          <w:p>
            <w:pPr>
              <w:jc w:val="right"/>
              <w:ind w:right="90"/>
              <w:spacing w:after="0"/>
              <w:rPr>
                <w:sz w:val="20"/>
                <w:szCs w:val="20"/>
                <w:color w:val="auto"/>
              </w:rPr>
            </w:pPr>
            <w:r>
              <w:rPr>
                <w:rFonts w:ascii="Arial" w:cs="Arial" w:eastAsia="Arial" w:hAnsi="Arial"/>
                <w:sz w:val="18"/>
                <w:szCs w:val="18"/>
                <w:color w:val="auto"/>
              </w:rPr>
              <w:t>to draw up principles for compensation of members of the</w:t>
            </w:r>
          </w:p>
        </w:tc>
        <w:tc>
          <w:tcPr>
            <w:tcW w:w="440" w:type="dxa"/>
            <w:vAlign w:val="bottom"/>
          </w:tcPr>
          <w:p>
            <w:pPr>
              <w:ind w:left="200"/>
              <w:spacing w:after="0"/>
              <w:rPr>
                <w:sz w:val="20"/>
                <w:szCs w:val="20"/>
                <w:color w:val="auto"/>
              </w:rPr>
            </w:pPr>
            <w:r>
              <w:rPr>
                <w:rFonts w:ascii="Arial" w:cs="Arial" w:eastAsia="Arial" w:hAnsi="Arial"/>
                <w:sz w:val="18"/>
                <w:szCs w:val="18"/>
                <w:color w:val="auto"/>
              </w:rPr>
              <w:t>a)</w:t>
            </w:r>
          </w:p>
        </w:tc>
        <w:tc>
          <w:tcPr>
            <w:tcW w:w="5180" w:type="dxa"/>
            <w:vAlign w:val="bottom"/>
          </w:tcPr>
          <w:p>
            <w:pPr>
              <w:ind w:left="220"/>
              <w:spacing w:after="0"/>
              <w:rPr>
                <w:sz w:val="20"/>
                <w:szCs w:val="20"/>
                <w:color w:val="auto"/>
              </w:rPr>
            </w:pPr>
            <w:r>
              <w:rPr>
                <w:rFonts w:ascii="Arial" w:cs="Arial" w:eastAsia="Arial" w:hAnsi="Arial"/>
                <w:sz w:val="18"/>
                <w:szCs w:val="18"/>
                <w:color w:val="auto"/>
              </w:rPr>
              <w:t>élaborer des principes de rémunération des membres du</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260" w:type="dxa"/>
            <w:vAlign w:val="bottom"/>
          </w:tcPr>
          <w:p>
            <w:pPr>
              <w:ind w:left="120"/>
              <w:spacing w:after="0" w:line="202" w:lineRule="exact"/>
              <w:rPr>
                <w:sz w:val="20"/>
                <w:szCs w:val="20"/>
                <w:color w:val="auto"/>
              </w:rPr>
            </w:pPr>
            <w:r>
              <w:rPr>
                <w:rFonts w:ascii="Arial" w:cs="Arial" w:eastAsia="Arial" w:hAnsi="Arial"/>
                <w:sz w:val="18"/>
                <w:szCs w:val="18"/>
                <w:color w:val="auto"/>
              </w:rPr>
              <w:t>Board  of  Directors  and  the  Executive  Committee  and  to</w:t>
            </w:r>
          </w:p>
        </w:tc>
        <w:tc>
          <w:tcPr>
            <w:tcW w:w="440" w:type="dxa"/>
            <w:vAlign w:val="bottom"/>
          </w:tcPr>
          <w:p>
            <w:pPr>
              <w:spacing w:after="0"/>
              <w:rPr>
                <w:sz w:val="17"/>
                <w:szCs w:val="17"/>
                <w:color w:val="auto"/>
              </w:rPr>
            </w:pPr>
          </w:p>
        </w:tc>
        <w:tc>
          <w:tcPr>
            <w:tcW w:w="5180" w:type="dxa"/>
            <w:vAlign w:val="bottom"/>
          </w:tcPr>
          <w:p>
            <w:pPr>
              <w:ind w:left="80"/>
              <w:spacing w:after="0" w:line="202" w:lineRule="exact"/>
              <w:rPr>
                <w:sz w:val="20"/>
                <w:szCs w:val="20"/>
                <w:color w:val="auto"/>
              </w:rPr>
            </w:pPr>
            <w:r>
              <w:rPr>
                <w:rFonts w:ascii="Arial" w:cs="Arial" w:eastAsia="Arial" w:hAnsi="Arial"/>
                <w:sz w:val="18"/>
                <w:szCs w:val="18"/>
                <w:color w:val="auto"/>
              </w:rPr>
              <w:t>conseil  d'administration  et  du  comité  exécutif  et  de  les</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submit them to the Board of Directors for approval;</w:t>
            </w:r>
          </w:p>
        </w:tc>
        <w:tc>
          <w:tcPr>
            <w:tcW w:w="440" w:type="dxa"/>
            <w:vAlign w:val="bottom"/>
          </w:tcPr>
          <w:p>
            <w:pPr>
              <w:spacing w:after="0"/>
              <w:rPr>
                <w:sz w:val="18"/>
                <w:szCs w:val="18"/>
                <w:color w:val="auto"/>
              </w:rPr>
            </w:pPr>
          </w:p>
        </w:tc>
        <w:tc>
          <w:tcPr>
            <w:tcW w:w="5180" w:type="dxa"/>
            <w:vAlign w:val="bottom"/>
          </w:tcPr>
          <w:p>
            <w:pPr>
              <w:ind w:left="80"/>
              <w:spacing w:after="0"/>
              <w:rPr>
                <w:sz w:val="20"/>
                <w:szCs w:val="20"/>
                <w:color w:val="auto"/>
              </w:rPr>
            </w:pPr>
            <w:r>
              <w:rPr>
                <w:rFonts w:ascii="Arial" w:cs="Arial" w:eastAsia="Arial" w:hAnsi="Arial"/>
                <w:sz w:val="18"/>
                <w:szCs w:val="18"/>
                <w:color w:val="auto"/>
              </w:rPr>
              <w:t>soumettre au conseil d'administration pour approbation;</w:t>
            </w:r>
          </w:p>
        </w:tc>
        <w:tc>
          <w:tcPr>
            <w:tcW w:w="0" w:type="dxa"/>
            <w:vAlign w:val="bottom"/>
          </w:tcPr>
          <w:p>
            <w:pPr>
              <w:spacing w:after="0"/>
              <w:rPr>
                <w:sz w:val="1"/>
                <w:szCs w:val="1"/>
                <w:color w:val="auto"/>
              </w:rPr>
            </w:pPr>
          </w:p>
        </w:tc>
      </w:tr>
      <w:tr>
        <w:trPr>
          <w:trHeight w:val="391"/>
        </w:trPr>
        <w:tc>
          <w:tcPr>
            <w:tcW w:w="360" w:type="dxa"/>
            <w:vAlign w:val="bottom"/>
          </w:tcPr>
          <w:p>
            <w:pPr>
              <w:ind w:left="80"/>
              <w:spacing w:after="0"/>
              <w:rPr>
                <w:sz w:val="20"/>
                <w:szCs w:val="20"/>
                <w:color w:val="auto"/>
              </w:rPr>
            </w:pPr>
            <w:r>
              <w:rPr>
                <w:rFonts w:ascii="Arial" w:cs="Arial" w:eastAsia="Arial" w:hAnsi="Arial"/>
                <w:sz w:val="18"/>
                <w:szCs w:val="18"/>
                <w:color w:val="auto"/>
              </w:rPr>
              <w:t>b)</w:t>
            </w:r>
          </w:p>
        </w:tc>
        <w:tc>
          <w:tcPr>
            <w:tcW w:w="5260" w:type="dxa"/>
            <w:vAlign w:val="bottom"/>
          </w:tcPr>
          <w:p>
            <w:pPr>
              <w:jc w:val="right"/>
              <w:ind w:right="90"/>
              <w:spacing w:after="0"/>
              <w:rPr>
                <w:sz w:val="20"/>
                <w:szCs w:val="20"/>
                <w:color w:val="auto"/>
              </w:rPr>
            </w:pPr>
            <w:r>
              <w:rPr>
                <w:rFonts w:ascii="Arial" w:cs="Arial" w:eastAsia="Arial" w:hAnsi="Arial"/>
                <w:sz w:val="18"/>
                <w:szCs w:val="18"/>
                <w:color w:val="auto"/>
              </w:rPr>
              <w:t>to propose to the Board of Directors the resolution to be</w:t>
            </w:r>
          </w:p>
        </w:tc>
        <w:tc>
          <w:tcPr>
            <w:tcW w:w="5620" w:type="dxa"/>
            <w:vAlign w:val="bottom"/>
            <w:gridSpan w:val="2"/>
          </w:tcPr>
          <w:p>
            <w:pPr>
              <w:ind w:left="200"/>
              <w:spacing w:after="0"/>
              <w:rPr>
                <w:sz w:val="20"/>
                <w:szCs w:val="20"/>
                <w:color w:val="auto"/>
              </w:rPr>
            </w:pPr>
            <w:r>
              <w:rPr>
                <w:rFonts w:ascii="Arial" w:cs="Arial" w:eastAsia="Arial" w:hAnsi="Arial"/>
                <w:sz w:val="18"/>
                <w:szCs w:val="18"/>
                <w:color w:val="auto"/>
              </w:rPr>
              <w:t>b)  proposer au conseil d'administration la décision sera soumise</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260" w:type="dxa"/>
            <w:vAlign w:val="bottom"/>
          </w:tcPr>
          <w:p>
            <w:pPr>
              <w:ind w:left="120"/>
              <w:spacing w:after="0" w:line="202" w:lineRule="exact"/>
              <w:rPr>
                <w:sz w:val="20"/>
                <w:szCs w:val="20"/>
                <w:color w:val="auto"/>
              </w:rPr>
            </w:pPr>
            <w:r>
              <w:rPr>
                <w:rFonts w:ascii="Arial" w:cs="Arial" w:eastAsia="Arial" w:hAnsi="Arial"/>
                <w:sz w:val="18"/>
                <w:szCs w:val="18"/>
                <w:color w:val="auto"/>
              </w:rPr>
              <w:t>submitted to the Ordinary General Meeting for the maximum</w:t>
            </w:r>
          </w:p>
        </w:tc>
        <w:tc>
          <w:tcPr>
            <w:tcW w:w="440" w:type="dxa"/>
            <w:vAlign w:val="bottom"/>
          </w:tcPr>
          <w:p>
            <w:pPr>
              <w:spacing w:after="0"/>
              <w:rPr>
                <w:sz w:val="17"/>
                <w:szCs w:val="17"/>
                <w:color w:val="auto"/>
              </w:rPr>
            </w:pPr>
          </w:p>
        </w:tc>
        <w:tc>
          <w:tcPr>
            <w:tcW w:w="5180" w:type="dxa"/>
            <w:vAlign w:val="bottom"/>
          </w:tcPr>
          <w:p>
            <w:pPr>
              <w:ind w:left="80"/>
              <w:spacing w:after="0" w:line="202" w:lineRule="exact"/>
              <w:rPr>
                <w:sz w:val="20"/>
                <w:szCs w:val="20"/>
                <w:color w:val="auto"/>
              </w:rPr>
            </w:pPr>
            <w:r>
              <w:rPr>
                <w:rFonts w:ascii="Arial" w:cs="Arial" w:eastAsia="Arial" w:hAnsi="Arial"/>
                <w:sz w:val="18"/>
                <w:szCs w:val="18"/>
                <w:color w:val="auto"/>
              </w:rPr>
              <w:t>à l'assemblée générale ordinaire pour la rémunération totale</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260" w:type="dxa"/>
            <w:vAlign w:val="bottom"/>
          </w:tcPr>
          <w:p>
            <w:pPr>
              <w:ind w:left="120"/>
              <w:spacing w:after="0" w:line="202" w:lineRule="exact"/>
              <w:rPr>
                <w:sz w:val="20"/>
                <w:szCs w:val="20"/>
                <w:color w:val="auto"/>
              </w:rPr>
            </w:pPr>
            <w:r>
              <w:rPr>
                <w:rFonts w:ascii="Arial" w:cs="Arial" w:eastAsia="Arial" w:hAnsi="Arial"/>
                <w:sz w:val="18"/>
                <w:szCs w:val="18"/>
                <w:color w:val="auto"/>
              </w:rPr>
              <w:t>total compensation of the Board of Directors and Executive</w:t>
            </w:r>
          </w:p>
        </w:tc>
        <w:tc>
          <w:tcPr>
            <w:tcW w:w="440" w:type="dxa"/>
            <w:vAlign w:val="bottom"/>
          </w:tcPr>
          <w:p>
            <w:pPr>
              <w:spacing w:after="0"/>
              <w:rPr>
                <w:sz w:val="17"/>
                <w:szCs w:val="17"/>
                <w:color w:val="auto"/>
              </w:rPr>
            </w:pPr>
          </w:p>
        </w:tc>
        <w:tc>
          <w:tcPr>
            <w:tcW w:w="5180" w:type="dxa"/>
            <w:vAlign w:val="bottom"/>
          </w:tcPr>
          <w:p>
            <w:pPr>
              <w:ind w:left="80"/>
              <w:spacing w:after="0" w:line="202" w:lineRule="exact"/>
              <w:rPr>
                <w:sz w:val="20"/>
                <w:szCs w:val="20"/>
                <w:color w:val="auto"/>
              </w:rPr>
            </w:pPr>
            <w:r>
              <w:rPr>
                <w:rFonts w:ascii="Arial" w:cs="Arial" w:eastAsia="Arial" w:hAnsi="Arial"/>
                <w:sz w:val="18"/>
                <w:szCs w:val="18"/>
                <w:color w:val="auto"/>
              </w:rPr>
              <w:t>maximale du conseil d'administration et du comité exécutif;</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Committee;</w:t>
            </w:r>
          </w:p>
        </w:tc>
        <w:tc>
          <w:tcPr>
            <w:tcW w:w="5620" w:type="dxa"/>
            <w:vAlign w:val="bottom"/>
            <w:gridSpan w:val="2"/>
            <w:vMerge w:val="restart"/>
          </w:tcPr>
          <w:p>
            <w:pPr>
              <w:ind w:left="200"/>
              <w:spacing w:after="0"/>
              <w:rPr>
                <w:sz w:val="20"/>
                <w:szCs w:val="20"/>
                <w:color w:val="auto"/>
              </w:rPr>
            </w:pPr>
            <w:r>
              <w:rPr>
                <w:rFonts w:ascii="Arial" w:cs="Arial" w:eastAsia="Arial" w:hAnsi="Arial"/>
                <w:sz w:val="18"/>
                <w:szCs w:val="18"/>
                <w:color w:val="auto"/>
              </w:rPr>
              <w:t>c)  sous réserve et dans les limites de la rémunération maximale</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5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ind w:left="80"/>
              <w:spacing w:after="0" w:line="202" w:lineRule="exact"/>
              <w:rPr>
                <w:sz w:val="20"/>
                <w:szCs w:val="20"/>
                <w:color w:val="auto"/>
              </w:rPr>
            </w:pPr>
            <w:r>
              <w:rPr>
                <w:rFonts w:ascii="Arial" w:cs="Arial" w:eastAsia="Arial" w:hAnsi="Arial"/>
                <w:sz w:val="18"/>
                <w:szCs w:val="18"/>
                <w:color w:val="auto"/>
              </w:rPr>
              <w:t>c)</w:t>
            </w:r>
          </w:p>
        </w:tc>
        <w:tc>
          <w:tcPr>
            <w:tcW w:w="5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subject  to  and  within  the  bounds  of  the  maximum</w:t>
            </w:r>
          </w:p>
        </w:tc>
        <w:tc>
          <w:tcPr>
            <w:tcW w:w="440" w:type="dxa"/>
            <w:vAlign w:val="bottom"/>
          </w:tcPr>
          <w:p>
            <w:pPr>
              <w:spacing w:after="0"/>
              <w:rPr>
                <w:sz w:val="17"/>
                <w:szCs w:val="17"/>
                <w:color w:val="auto"/>
              </w:rPr>
            </w:pPr>
          </w:p>
        </w:tc>
        <w:tc>
          <w:tcPr>
            <w:tcW w:w="5180" w:type="dxa"/>
            <w:vAlign w:val="bottom"/>
          </w:tcPr>
          <w:p>
            <w:pPr>
              <w:ind w:left="80"/>
              <w:spacing w:after="0" w:line="202" w:lineRule="exact"/>
              <w:rPr>
                <w:sz w:val="20"/>
                <w:szCs w:val="20"/>
                <w:color w:val="auto"/>
              </w:rPr>
            </w:pPr>
            <w:r>
              <w:rPr>
                <w:rFonts w:ascii="Arial" w:cs="Arial" w:eastAsia="Arial" w:hAnsi="Arial"/>
                <w:sz w:val="18"/>
                <w:szCs w:val="18"/>
                <w:color w:val="auto"/>
              </w:rPr>
              <w:t>approuvée  par  l'assemblée  générale  ordinaire,  demander</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260" w:type="dxa"/>
            <w:vAlign w:val="bottom"/>
          </w:tcPr>
          <w:p>
            <w:pPr>
              <w:ind w:left="120"/>
              <w:spacing w:after="0" w:line="202" w:lineRule="exact"/>
              <w:rPr>
                <w:sz w:val="20"/>
                <w:szCs w:val="20"/>
                <w:color w:val="auto"/>
              </w:rPr>
            </w:pPr>
            <w:r>
              <w:rPr>
                <w:rFonts w:ascii="Arial" w:cs="Arial" w:eastAsia="Arial" w:hAnsi="Arial"/>
                <w:sz w:val="18"/>
                <w:szCs w:val="18"/>
                <w:color w:val="auto"/>
              </w:rPr>
              <w:t>compensation approved by the Ordinary General Meeting, to</w:t>
            </w:r>
          </w:p>
        </w:tc>
        <w:tc>
          <w:tcPr>
            <w:tcW w:w="440" w:type="dxa"/>
            <w:vAlign w:val="bottom"/>
          </w:tcPr>
          <w:p>
            <w:pPr>
              <w:spacing w:after="0"/>
              <w:rPr>
                <w:sz w:val="17"/>
                <w:szCs w:val="17"/>
                <w:color w:val="auto"/>
              </w:rPr>
            </w:pPr>
          </w:p>
        </w:tc>
        <w:tc>
          <w:tcPr>
            <w:tcW w:w="5180" w:type="dxa"/>
            <w:vAlign w:val="bottom"/>
          </w:tcPr>
          <w:p>
            <w:pPr>
              <w:ind w:left="80"/>
              <w:spacing w:after="0" w:line="202" w:lineRule="exact"/>
              <w:rPr>
                <w:sz w:val="20"/>
                <w:szCs w:val="20"/>
                <w:color w:val="auto"/>
              </w:rPr>
            </w:pPr>
            <w:r>
              <w:rPr>
                <w:rFonts w:ascii="Arial" w:cs="Arial" w:eastAsia="Arial" w:hAnsi="Arial"/>
                <w:sz w:val="18"/>
                <w:szCs w:val="18"/>
                <w:color w:val="auto"/>
              </w:rPr>
              <w:t>l'approbation du conseil d'administration quant aux paquets de</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260" w:type="dxa"/>
            <w:vAlign w:val="bottom"/>
          </w:tcPr>
          <w:p>
            <w:pPr>
              <w:ind w:left="120"/>
              <w:spacing w:after="0" w:line="202" w:lineRule="exact"/>
              <w:rPr>
                <w:sz w:val="20"/>
                <w:szCs w:val="20"/>
                <w:color w:val="auto"/>
              </w:rPr>
            </w:pPr>
            <w:r>
              <w:rPr>
                <w:rFonts w:ascii="Arial" w:cs="Arial" w:eastAsia="Arial" w:hAnsi="Arial"/>
                <w:sz w:val="18"/>
                <w:szCs w:val="18"/>
                <w:color w:val="auto"/>
              </w:rPr>
              <w:t>request approval by the Board of Directors of the individual</w:t>
            </w:r>
          </w:p>
        </w:tc>
        <w:tc>
          <w:tcPr>
            <w:tcW w:w="440" w:type="dxa"/>
            <w:vAlign w:val="bottom"/>
          </w:tcPr>
          <w:p>
            <w:pPr>
              <w:spacing w:after="0"/>
              <w:rPr>
                <w:sz w:val="17"/>
                <w:szCs w:val="17"/>
                <w:color w:val="auto"/>
              </w:rPr>
            </w:pPr>
          </w:p>
        </w:tc>
        <w:tc>
          <w:tcPr>
            <w:tcW w:w="5180" w:type="dxa"/>
            <w:vAlign w:val="bottom"/>
          </w:tcPr>
          <w:p>
            <w:pPr>
              <w:ind w:left="80"/>
              <w:spacing w:after="0" w:line="202" w:lineRule="exact"/>
              <w:rPr>
                <w:sz w:val="20"/>
                <w:szCs w:val="20"/>
                <w:color w:val="auto"/>
              </w:rPr>
            </w:pPr>
            <w:r>
              <w:rPr>
                <w:rFonts w:ascii="Arial" w:cs="Arial" w:eastAsia="Arial" w:hAnsi="Arial"/>
                <w:sz w:val="18"/>
                <w:szCs w:val="18"/>
                <w:color w:val="auto"/>
              </w:rPr>
              <w:t>rémunération individuels devant être versés aux membres du</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260" w:type="dxa"/>
            <w:vAlign w:val="bottom"/>
          </w:tcPr>
          <w:p>
            <w:pPr>
              <w:ind w:left="120"/>
              <w:spacing w:after="0" w:line="202" w:lineRule="exact"/>
              <w:rPr>
                <w:sz w:val="20"/>
                <w:szCs w:val="20"/>
                <w:color w:val="auto"/>
              </w:rPr>
            </w:pPr>
            <w:r>
              <w:rPr>
                <w:rFonts w:ascii="Arial" w:cs="Arial" w:eastAsia="Arial" w:hAnsi="Arial"/>
                <w:sz w:val="18"/>
                <w:szCs w:val="18"/>
                <w:color w:val="auto"/>
              </w:rPr>
              <w:t>remuneration packages to be paid to members of the Board of</w:t>
            </w:r>
          </w:p>
        </w:tc>
        <w:tc>
          <w:tcPr>
            <w:tcW w:w="440" w:type="dxa"/>
            <w:vAlign w:val="bottom"/>
          </w:tcPr>
          <w:p>
            <w:pPr>
              <w:spacing w:after="0"/>
              <w:rPr>
                <w:sz w:val="17"/>
                <w:szCs w:val="17"/>
                <w:color w:val="auto"/>
              </w:rPr>
            </w:pPr>
          </w:p>
        </w:tc>
        <w:tc>
          <w:tcPr>
            <w:tcW w:w="5180" w:type="dxa"/>
            <w:vAlign w:val="bottom"/>
          </w:tcPr>
          <w:p>
            <w:pPr>
              <w:ind w:left="80"/>
              <w:spacing w:after="0" w:line="202" w:lineRule="exact"/>
              <w:rPr>
                <w:sz w:val="20"/>
                <w:szCs w:val="20"/>
                <w:color w:val="auto"/>
              </w:rPr>
            </w:pPr>
            <w:r>
              <w:rPr>
                <w:rFonts w:ascii="Arial" w:cs="Arial" w:eastAsia="Arial" w:hAnsi="Arial"/>
                <w:sz w:val="18"/>
                <w:szCs w:val="18"/>
                <w:color w:val="auto"/>
              </w:rPr>
              <w:t>conseil d'administration et aux membres du comité exécutif;</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Directors and members of the Executive Committee;</w:t>
            </w:r>
          </w:p>
        </w:tc>
        <w:tc>
          <w:tcPr>
            <w:tcW w:w="5620" w:type="dxa"/>
            <w:vAlign w:val="bottom"/>
            <w:gridSpan w:val="2"/>
            <w:vMerge w:val="restart"/>
          </w:tcPr>
          <w:p>
            <w:pPr>
              <w:ind w:left="200"/>
              <w:spacing w:after="0"/>
              <w:rPr>
                <w:sz w:val="20"/>
                <w:szCs w:val="20"/>
                <w:color w:val="auto"/>
              </w:rPr>
            </w:pPr>
            <w:r>
              <w:rPr>
                <w:rFonts w:ascii="Arial" w:cs="Arial" w:eastAsia="Arial" w:hAnsi="Arial"/>
                <w:sz w:val="18"/>
                <w:szCs w:val="18"/>
                <w:color w:val="auto"/>
              </w:rPr>
              <w:t>d)  requérir l'approbation du conseil d'administration sur la fixation</w:t>
            </w:r>
          </w:p>
        </w:tc>
        <w:tc>
          <w:tcPr>
            <w:tcW w:w="0" w:type="dxa"/>
            <w:vAlign w:val="bottom"/>
          </w:tcPr>
          <w:p>
            <w:pPr>
              <w:spacing w:after="0"/>
              <w:rPr>
                <w:sz w:val="1"/>
                <w:szCs w:val="1"/>
                <w:color w:val="auto"/>
              </w:rPr>
            </w:pPr>
          </w:p>
        </w:tc>
      </w:tr>
      <w:tr>
        <w:trPr>
          <w:trHeight w:val="188"/>
        </w:trPr>
        <w:tc>
          <w:tcPr>
            <w:tcW w:w="3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5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80" w:type="dxa"/>
            <w:vAlign w:val="bottom"/>
          </w:tcPr>
          <w:p>
            <w:pPr>
              <w:ind w:left="80"/>
              <w:spacing w:after="0" w:line="202" w:lineRule="exact"/>
              <w:rPr>
                <w:sz w:val="20"/>
                <w:szCs w:val="20"/>
                <w:color w:val="auto"/>
              </w:rPr>
            </w:pPr>
            <w:r>
              <w:rPr>
                <w:rFonts w:ascii="Arial" w:cs="Arial" w:eastAsia="Arial" w:hAnsi="Arial"/>
                <w:sz w:val="18"/>
                <w:szCs w:val="18"/>
                <w:color w:val="auto"/>
              </w:rPr>
              <w:t>d'objectifs liés à la rémunération pour le comité exécutif;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-3745230</wp:posOffset>
            </wp:positionV>
            <wp:extent cx="7132320" cy="5340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5340350"/>
                    </a:xfrm>
                    <a:prstGeom prst="rect">
                      <a:avLst/>
                    </a:prstGeom>
                    <a:noFill/>
                  </pic:spPr>
                </pic:pic>
              </a:graphicData>
            </a:graphic>
          </wp:anchor>
        </w:drawing>
      </w:r>
    </w:p>
    <w:p>
      <w:pPr>
        <w:ind w:left="540" w:hanging="451"/>
        <w:spacing w:after="0" w:line="234"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request approval by the Board of Directors regarding the</w:t>
      </w:r>
    </w:p>
    <w:tbl>
      <w:tblPr>
        <w:tblLayout w:type="fixed"/>
        <w:tblInd w:w="8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5280" w:type="dxa"/>
            <w:vAlign w:val="bottom"/>
          </w:tcPr>
          <w:p>
            <w:pPr>
              <w:ind w:left="120"/>
              <w:spacing w:after="0" w:line="203" w:lineRule="exact"/>
              <w:rPr>
                <w:sz w:val="20"/>
                <w:szCs w:val="20"/>
                <w:color w:val="auto"/>
              </w:rPr>
            </w:pPr>
            <w:r>
              <w:rPr>
                <w:rFonts w:ascii="Arial" w:cs="Arial" w:eastAsia="Arial" w:hAnsi="Arial"/>
                <w:sz w:val="18"/>
                <w:szCs w:val="18"/>
                <w:color w:val="auto"/>
              </w:rPr>
              <w:t>determination  of  the  compensation-related  targets  for  the</w:t>
            </w:r>
          </w:p>
        </w:tc>
        <w:tc>
          <w:tcPr>
            <w:tcW w:w="420" w:type="dxa"/>
            <w:vAlign w:val="bottom"/>
          </w:tcPr>
          <w:p>
            <w:pPr>
              <w:ind w:left="180"/>
              <w:spacing w:after="0" w:line="203" w:lineRule="exact"/>
              <w:rPr>
                <w:sz w:val="20"/>
                <w:szCs w:val="20"/>
                <w:color w:val="auto"/>
              </w:rPr>
            </w:pPr>
            <w:r>
              <w:rPr>
                <w:rFonts w:ascii="Arial" w:cs="Arial" w:eastAsia="Arial" w:hAnsi="Arial"/>
                <w:sz w:val="18"/>
                <w:szCs w:val="18"/>
                <w:color w:val="auto"/>
              </w:rPr>
              <w:t>e)</w:t>
            </w:r>
          </w:p>
        </w:tc>
        <w:tc>
          <w:tcPr>
            <w:tcW w:w="5100" w:type="dxa"/>
            <w:vAlign w:val="bottom"/>
          </w:tcPr>
          <w:p>
            <w:pPr>
              <w:ind w:left="260"/>
              <w:spacing w:after="0" w:line="203" w:lineRule="exact"/>
              <w:rPr>
                <w:sz w:val="20"/>
                <w:szCs w:val="20"/>
                <w:color w:val="auto"/>
              </w:rPr>
            </w:pPr>
            <w:r>
              <w:rPr>
                <w:rFonts w:ascii="Arial" w:cs="Arial" w:eastAsia="Arial" w:hAnsi="Arial"/>
                <w:sz w:val="18"/>
                <w:szCs w:val="18"/>
                <w:color w:val="auto"/>
              </w:rPr>
              <w:t>requérir l'approbation du conseil d'administration sur les</w:t>
            </w:r>
          </w:p>
        </w:tc>
      </w:tr>
      <w:tr>
        <w:trPr>
          <w:trHeight w:val="217"/>
        </w:trPr>
        <w:tc>
          <w:tcPr>
            <w:tcW w:w="28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Executive Committee;</w:t>
            </w:r>
          </w:p>
        </w:tc>
        <w:tc>
          <w:tcPr>
            <w:tcW w:w="42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adaptations des statuts relatives à la rémunération; et</w:t>
            </w:r>
          </w:p>
        </w:tc>
      </w:tr>
      <w:tr>
        <w:trPr>
          <w:trHeight w:val="391"/>
        </w:trPr>
        <w:tc>
          <w:tcPr>
            <w:tcW w:w="280" w:type="dxa"/>
            <w:vAlign w:val="bottom"/>
          </w:tcPr>
          <w:p>
            <w:pPr>
              <w:spacing w:after="0"/>
              <w:rPr>
                <w:sz w:val="20"/>
                <w:szCs w:val="20"/>
                <w:color w:val="auto"/>
              </w:rPr>
            </w:pPr>
            <w:r>
              <w:rPr>
                <w:rFonts w:ascii="Arial" w:cs="Arial" w:eastAsia="Arial" w:hAnsi="Arial"/>
                <w:sz w:val="18"/>
                <w:szCs w:val="18"/>
                <w:color w:val="auto"/>
              </w:rPr>
              <w:t>e)</w:t>
            </w:r>
          </w:p>
        </w:tc>
        <w:tc>
          <w:tcPr>
            <w:tcW w:w="5280" w:type="dxa"/>
            <w:vAlign w:val="bottom"/>
          </w:tcPr>
          <w:p>
            <w:pPr>
              <w:ind w:left="180"/>
              <w:spacing w:after="0"/>
              <w:rPr>
                <w:sz w:val="20"/>
                <w:szCs w:val="20"/>
                <w:color w:val="auto"/>
              </w:rPr>
            </w:pPr>
            <w:r>
              <w:rPr>
                <w:rFonts w:ascii="Arial" w:cs="Arial" w:eastAsia="Arial" w:hAnsi="Arial"/>
                <w:sz w:val="18"/>
                <w:szCs w:val="18"/>
                <w:color w:val="auto"/>
              </w:rPr>
              <w:t>to request approval by the Board of Directors regarding the</w:t>
            </w:r>
          </w:p>
        </w:tc>
        <w:tc>
          <w:tcPr>
            <w:tcW w:w="420" w:type="dxa"/>
            <w:vAlign w:val="bottom"/>
          </w:tcPr>
          <w:p>
            <w:pPr>
              <w:ind w:left="180"/>
              <w:spacing w:after="0"/>
              <w:rPr>
                <w:sz w:val="20"/>
                <w:szCs w:val="20"/>
                <w:color w:val="auto"/>
              </w:rPr>
            </w:pPr>
            <w:r>
              <w:rPr>
                <w:rFonts w:ascii="Arial" w:cs="Arial" w:eastAsia="Arial" w:hAnsi="Arial"/>
                <w:sz w:val="18"/>
                <w:szCs w:val="18"/>
                <w:color w:val="auto"/>
              </w:rPr>
              <w:t>f)</w:t>
            </w:r>
          </w:p>
        </w:tc>
        <w:tc>
          <w:tcPr>
            <w:tcW w:w="5100" w:type="dxa"/>
            <w:vAlign w:val="bottom"/>
          </w:tcPr>
          <w:p>
            <w:pPr>
              <w:ind w:left="260"/>
              <w:spacing w:after="0"/>
              <w:rPr>
                <w:sz w:val="20"/>
                <w:szCs w:val="20"/>
                <w:color w:val="auto"/>
              </w:rPr>
            </w:pPr>
            <w:r>
              <w:rPr>
                <w:rFonts w:ascii="Arial" w:cs="Arial" w:eastAsia="Arial" w:hAnsi="Arial"/>
                <w:sz w:val="18"/>
                <w:szCs w:val="18"/>
                <w:color w:val="auto"/>
              </w:rPr>
              <w:t>préparer le rapport de rémunération et de le soumettre au</w:t>
            </w:r>
          </w:p>
        </w:tc>
      </w:tr>
      <w:tr>
        <w:trPr>
          <w:trHeight w:val="203"/>
        </w:trPr>
        <w:tc>
          <w:tcPr>
            <w:tcW w:w="280" w:type="dxa"/>
            <w:vAlign w:val="bottom"/>
          </w:tcPr>
          <w:p>
            <w:pPr>
              <w:spacing w:after="0"/>
              <w:rPr>
                <w:sz w:val="17"/>
                <w:szCs w:val="17"/>
                <w:color w:val="auto"/>
              </w:rPr>
            </w:pPr>
          </w:p>
        </w:tc>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adjustments  to  the  Articles  of  Association  relating  to</w:t>
            </w:r>
          </w:p>
        </w:tc>
        <w:tc>
          <w:tcPr>
            <w:tcW w:w="420" w:type="dxa"/>
            <w:vAlign w:val="bottom"/>
          </w:tcPr>
          <w:p>
            <w:pPr>
              <w:spacing w:after="0"/>
              <w:rPr>
                <w:sz w:val="17"/>
                <w:szCs w:val="17"/>
                <w:color w:val="auto"/>
              </w:rPr>
            </w:pPr>
          </w:p>
        </w:tc>
        <w:tc>
          <w:tcPr>
            <w:tcW w:w="5100" w:type="dxa"/>
            <w:vAlign w:val="bottom"/>
          </w:tcPr>
          <w:p>
            <w:pPr>
              <w:ind w:left="80"/>
              <w:spacing w:after="0" w:line="202" w:lineRule="exact"/>
              <w:rPr>
                <w:sz w:val="20"/>
                <w:szCs w:val="20"/>
                <w:color w:val="auto"/>
              </w:rPr>
            </w:pPr>
            <w:r>
              <w:rPr>
                <w:rFonts w:ascii="Arial" w:cs="Arial" w:eastAsia="Arial" w:hAnsi="Arial"/>
                <w:sz w:val="18"/>
                <w:szCs w:val="18"/>
                <w:color w:val="auto"/>
              </w:rPr>
              <w:t>conseil d'administration.</w:t>
            </w:r>
          </w:p>
        </w:tc>
      </w:tr>
      <w:tr>
        <w:trPr>
          <w:trHeight w:val="217"/>
        </w:trPr>
        <w:tc>
          <w:tcPr>
            <w:tcW w:w="28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Arial" w:cs="Arial" w:eastAsia="Arial" w:hAnsi="Arial"/>
                <w:sz w:val="18"/>
                <w:szCs w:val="18"/>
                <w:color w:val="auto"/>
              </w:rPr>
              <w:t>remuneration; and</w:t>
            </w:r>
          </w:p>
        </w:tc>
        <w:tc>
          <w:tcPr>
            <w:tcW w:w="420" w:type="dxa"/>
            <w:vAlign w:val="bottom"/>
          </w:tcPr>
          <w:p>
            <w:pPr>
              <w:spacing w:after="0"/>
              <w:rPr>
                <w:sz w:val="18"/>
                <w:szCs w:val="18"/>
                <w:color w:val="auto"/>
              </w:rPr>
            </w:pPr>
          </w:p>
        </w:tc>
        <w:tc>
          <w:tcPr>
            <w:tcW w:w="5100" w:type="dxa"/>
            <w:vAlign w:val="bottom"/>
          </w:tcPr>
          <w:p>
            <w:pPr>
              <w:spacing w:after="0"/>
              <w:rPr>
                <w:sz w:val="18"/>
                <w:szCs w:val="18"/>
                <w:color w:val="auto"/>
              </w:rPr>
            </w:pPr>
          </w:p>
        </w:tc>
      </w:tr>
    </w:tbl>
    <w:p>
      <w:pPr>
        <w:spacing w:after="0" w:line="188" w:lineRule="exact"/>
        <w:rPr>
          <w:sz w:val="20"/>
          <w:szCs w:val="20"/>
          <w:color w:val="auto"/>
        </w:rPr>
      </w:pPr>
    </w:p>
    <w:p>
      <w:pPr>
        <w:ind w:left="480" w:right="5800" w:hanging="391"/>
        <w:spacing w:after="0" w:line="246" w:lineRule="auto"/>
        <w:tabs>
          <w:tab w:leader="none" w:pos="6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prepare the Compensation Report and submit it to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777240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5240"/>
              <w:spacing w:after="0"/>
              <w:rPr>
                <w:sz w:val="20"/>
                <w:szCs w:val="20"/>
                <w:color w:val="auto"/>
              </w:rPr>
            </w:pPr>
            <w:r>
              <w:rPr>
                <w:rFonts w:ascii="Arial" w:cs="Arial" w:eastAsia="Arial" w:hAnsi="Arial"/>
                <w:sz w:val="18"/>
                <w:szCs w:val="18"/>
                <w:color w:val="auto"/>
                <w:w w:val="99"/>
              </w:rPr>
              <w:t>23</w:t>
            </w:r>
          </w:p>
        </w:tc>
      </w:tr>
      <w:tr>
        <w:trPr>
          <w:trHeight w:val="94"/>
        </w:trPr>
        <w:tc>
          <w:tcPr>
            <w:tcW w:w="5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tcPr>
          <w:p>
            <w:pPr>
              <w:spacing w:after="0"/>
              <w:rPr>
                <w:sz w:val="8"/>
                <w:szCs w:val="8"/>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Board  of  Directors  shall  set  out  any  further  duties  and</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fixe toutes les autres fonctions et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responsibilities vested on the Compensation Committee in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responsabilités  dévolues  au  comité  de  rémunération  dans  le</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Company's Organizational Rules.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règlement d'organisation de la société.</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29  Indemnification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29  Indemnisation</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As far as is permissible under applicable law, the Company shall</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la  mesure  permise  par  la  loi  applicable,  la  société</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indemnify any current or former member of the Board of Directors,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indemnisera  tout  membre  actuel  ou  ancien  du  conseil</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former members of the Executive Committee, or any person who is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les anciens membres du comité exécutif, ou toute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serving or has served at the request of the Company as a member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 qui sert ou a servi à la demande de la société en tant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of the Board of Directors or member of the Executive Committee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que membre du conseil d'administration ou membre du comité</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(each individually, a "Covered Person"), against any expenses,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exécutif (chacun individuellement, une "Personne Couverte"), pour</w:t>
            </w:r>
          </w:p>
        </w:tc>
      </w:tr>
      <w:tr>
        <w:trPr>
          <w:trHeight w:val="202"/>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including attorneys' fees, judgments, fines, and amounts paid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toutes les dépenses, y compris les honoraires d'avocat, jugements,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settlement actually and reasonably incurred by him or her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amendes, et montants versés effectivement et raisonnablement à</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connection with any threatened, pending, or completed action, suit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titre de règlement dans le cadre de toute action, poursuite ou</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or proceeding, whether civil, criminal or administrative, to which 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procédure imminente, pendante ou terminée, qu'elle soit civile,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or she was, is, or is threatened to be made a party, or is otherwise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pénale ou administrative, à laquelle il ou elle a été, est, ou est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involved (a "Proceeding"). This provision shall not indemnify 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menacé d'être partie, ou est impliqué de toute autre manière (une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Covered Person against any liability arising out of (a) any fraud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"Procédure").  Cette  disposition  ne  doit  pas  indemniser  une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dishonesty in the performance of such Covered Person's duty to</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 Couverte contre une responsabilité découlant de (a) une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Company, or (b) such Covered Party's conscious, intentional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fraude ou une malhonnêteté de cette Personne Couverte dans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willful or grossly negligent breach of the obligation to act honestly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l'exercice de ses fonctions vis-à-vis de la société, ou (b) une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and in good faith with a view to the best interests of the Company.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violation consciente, intentionnelle ou volontaire ou gravement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Notwithstanding the preceding sentence, this section shall not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négligente de l'obligation de cette Personne Couverte d'agir avec</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extend to any person holding the office of auditor or special auditor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honnêteté en tenant compte du meilleur intérêt de la société.</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of the Company.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Nonobstant ce qui précède, cette disposition ne s'étend pas aux</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personnes qui occupent le poste de réviseur ou de réviseur spécial</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 la société.</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 the case of any Proceeding by or in the name of the Company,</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le cas de toute Procédure intentée par ou au nom de la</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Company  shall  indemnify  each  Covered  Person  against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société, la société doit indemniser chaque Personne Couverte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expenses,  including  attorneys'  fees,  actually  and  reasonably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pour  les  dépenses,  y  compris  les  honoraires  d'avocat,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incurred in connection with the defense or settlement thereof,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effectivement et raisonnablement encourus dans le cadre de la</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except no indemnification shall be made in respect of any claim,</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défense ou du règlement dans le cadre de la Procédure. Aucune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issue or matter as to which a Covered Person shall have been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indemnisation ne sera octroyée pour une réclamation, problème ou</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adjudged to be liable for fraud or dishonesty in the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affaire pour laquelle une Personne Couverte est tenue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750"/>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62" w:name="page63"/>
    <w:bookmarkEnd w:id="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5240"/>
              <w:spacing w:after="0"/>
              <w:rPr>
                <w:sz w:val="20"/>
                <w:szCs w:val="20"/>
                <w:color w:val="auto"/>
              </w:rPr>
            </w:pPr>
            <w:r>
              <w:rPr>
                <w:rFonts w:ascii="Arial" w:cs="Arial" w:eastAsia="Arial" w:hAnsi="Arial"/>
                <w:sz w:val="18"/>
                <w:szCs w:val="18"/>
                <w:color w:val="auto"/>
                <w:w w:val="99"/>
              </w:rPr>
              <w:t>24</w:t>
            </w:r>
          </w:p>
        </w:tc>
      </w:tr>
      <w:tr>
        <w:trPr>
          <w:trHeight w:val="94"/>
        </w:trPr>
        <w:tc>
          <w:tcPr>
            <w:tcW w:w="5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tcPr>
          <w:p>
            <w:pPr>
              <w:spacing w:after="0"/>
              <w:rPr>
                <w:sz w:val="8"/>
                <w:szCs w:val="8"/>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performance of his or her duty to the Company, or for conscious,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responsable  à  la  suite  de  fraude  ou  de  malhonnêteté  dans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intentional or willful or grossly negligent breach of his or her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l'exercice de ses fonctions vis-à-vis de la société, ou à cause d'une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obligation to act honestly and in good faith with a view to the best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violation consciente, intentionnelle ou volontaire ou gravement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interests of the Company, unless and only to the extent that a court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négligente de l'obligation de la Personne Couverte d'agir avec</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 which such action or suit was brought shall determine upon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honnêteté en tenant compte du meilleur intérêt de la société, sauf</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application that despite the adjudication of liability, but in view of all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et uniquement si un tribunal auquel une telle action ou poursuite a</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circumstances of the case, such Covered Person is fairly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été  porté  détermine  que,  malgré  la  reconnaissance  de  la</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reasonably entitled to indemnity for such expenses as the court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responsabilité, mais compte tenu de toutes les circonstances du</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shall deem proper. Notwithstanding the preceding sentence, this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cas  d'espèce,  cette  Personne  Couverte  a  équitablement  et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section shall not extend to any person holding the office of auditor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raisonnablement droit à une indemnisation de ces dépenses, mais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or special auditor of the Company.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uniquement  à  hauteur  du  montant  que  le  tribunal  jugera</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convenable. Nonobstant la phrase précédente, cette disposition ne</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s'étend pas aux personnes qui occupent le poste de réviseur ou de</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réviseur spécial de la société.</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Any indemnification under this Article 29 (unless ordered by a</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Toute  indemnisation  en  vertu  du  présent  article  29  (sauf  si</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court) shall be made by the Company only as authorized in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ordonnée par un tribunal) doit être octroyée par la société dans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specific case upon a determination that indemnification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chaque cas dans les limites de l'autorisation sur la base d'une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Covered Person is proper in the circumstances because such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détermination que l'indemnisation de la Personne Couverte est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person has met the applicable Standard of conduct set forth in this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appropriée dans les circonstances parce que cette personne a</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Article 29. Such determination shall be made, with respect to a</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satisfait  au  standard  de  conduite  applicable  énoncé  dans  le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Covered Person (a) by a majority vote of the members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présent article 29. Une telle décision concernant une Personne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Board of Directors who are not parties to such proceeding, even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Couverte doit être prise (a) par la majorité des votes des membres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though less than a quorum; (b) by a committee of such members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  conseil  d'administration  qui  ne  sont  pas  parties  à  cette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Board of Directors designated by a majority vote of such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procédure, même si le quorum requis n'est pas réuni; (b) par un</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Board of Directors, even though less than a quorum; (c) if there 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comité de membres du conseil d'administration désignés par une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 such member of the Board of Directors, or if such member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majorité des votes du conseil d'administration, même si le quorum</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Board of Directors so direct, by independent legal counsel in a</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requis n'est pas réuni; (c) s'il n'y a pas de tel membre du conseil</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written opinion; or (d) by the General Meeting of Shareholders.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ou si ce membre du conseil d'administration</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Such determination shall be made, with respect to any other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l'ordonne, par un conseiller juridique indépendant dans un avis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Covered Person, by any person or persons having the authority to</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écrit; ou (d) par l'assemblée générale des actionnaires. Une telle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act on the matter on behalf of the Company. To the extent,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décision concernant une Personne Couverte doit être prise par</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however, that any Covered Person has been successful on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une personne ou des personnes ayant le pouvoir d'agir dans cet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merits or otherwise in defense of 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affaire au nom de la société. Dans la mesure, cependant, où une</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Personne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749"/>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63" w:name="page64"/>
    <w:bookmarkEnd w:id="6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5240"/>
              <w:spacing w:after="0"/>
              <w:rPr>
                <w:sz w:val="20"/>
                <w:szCs w:val="20"/>
                <w:color w:val="auto"/>
              </w:rPr>
            </w:pPr>
            <w:r>
              <w:rPr>
                <w:rFonts w:ascii="Arial" w:cs="Arial" w:eastAsia="Arial" w:hAnsi="Arial"/>
                <w:sz w:val="18"/>
                <w:szCs w:val="18"/>
                <w:color w:val="auto"/>
                <w:w w:val="99"/>
              </w:rPr>
              <w:t>25</w:t>
            </w:r>
          </w:p>
        </w:tc>
      </w:tr>
      <w:tr>
        <w:trPr>
          <w:trHeight w:val="94"/>
        </w:trPr>
        <w:tc>
          <w:tcPr>
            <w:tcW w:w="5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tcPr>
          <w:p>
            <w:pPr>
              <w:spacing w:after="0"/>
              <w:rPr>
                <w:sz w:val="8"/>
                <w:szCs w:val="8"/>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proceeding, or in defense of any claim, issue or matter therein,</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Couverte a gagné sur le fond ou autrement dans la défense d'une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such  Covered  Person  shall  be  indemnified  against  expenses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procédure, ou dans la défense de toute réclamation, problème ou</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(including attorneys' fees) actually and reasonably incurred by such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affaire dans cette procédure, cette Personne Couverte doit être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person  in  connection  therewith,  without  the  necessity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indemnisée pour les dépenses (y compris les honoraires d'avocat)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authorization in the specific case.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effectivement  et  raisonnablement  encourus  dans  le  cadre  de</w:t>
            </w:r>
          </w:p>
        </w:tc>
      </w:tr>
      <w:tr>
        <w:trPr>
          <w:trHeight w:val="203"/>
        </w:trPr>
        <w:tc>
          <w:tcPr>
            <w:tcW w:w="554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l'affaire  en  question  sans  qu'il  soit  nécessaire  d'avoir  une</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autorisation dans le cas spécifique.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As far as is permissible under applicable law, expenses, including</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la mesure permise par la loi applicable, les dépenses, y</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attorneys' fees, incurred in defending any proceeding for which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compris les honoraires d'avocats, encourus dans la défense de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indemnification is permitted pursuant to this Article 29 shall be paid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toute procédure pour laquelle l'indemnisation est permise en vertu</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by  the  Company  in  advance  of  the  final  disposition  of  such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du présent article 29, doivent être payées par la société avant la</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proceeding  upon  receipt  by  the  Board  of  Directors  of  an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décision finale dans cette procédure à réception par le conseil</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undertaking by or on behalf of the Covered Person to repay such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d'une  promesse  faite  par  ou  au  nom  de  la</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amount if it shall ultimately be determined that he or she is not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  Couverte  de  rembourser  ce  montant  s'il  s'avère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entitled to be indemnified by the Company under these Articles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finalement  que  cette  Personne  Couverte  n'a  pas  droit  à</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Association.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l'indemnisation par la société en vertu de ces statuts.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It being the policy of the Company that indemnification of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  politique  de  la  société  prévoit  que  l'indemnisation  des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persons specified in this Article 29 shall be made to the fullest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personnes visées au présent article 29 doit être payée dans toute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extent permitted by law and the indemnification provided by this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 mesure autorisée par la loi et l'indemnisation prévue par cet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Article 29 shall not be deemed exclusive (a) of any other rights to</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article 29 ne sera pas considérée comme exclusive (a) d'autres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which those seeking indemnification or advancement of expenses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droits auxquels les personnes demandant une indemnisation ou</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may  be  entitled  under  these  Articles  of  Association,  any</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une avance des dépenses ont droit en vertu de ces statuts, d'un</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agreement, any insurance purchased by the Company, vote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accord,  d'une  assurance  souscrite  par  la  société,  d'un  vote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shareholders or disinterested members of the Board of Directors,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d'actionnaires ou de membres du conseil d'administration n'ayant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or pursuant to the decision of any court of competent jurisdiction,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pas  d'intérêt  direct,  ou  en  vertu  d'une  décision  d'un  tribunal</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or otherwise, both as to action in his or her official capacity and as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compétent, ou autrement, soit à l'égard d'actions faites en sa</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 action in another capacity while holding such office, or (b)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capacité officielle, soit à l'égard d'actions faites à un autre titre tout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power of the Company to indemnify any person who is or was an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en ayant une telle fonction, ou (b) du pouvoir de la société</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employee or agent of the Company or of another corporation, joint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d'indemniser toute personne qui est ou était un employé ou un</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venture, trust or other enterprise which he or she is serving or has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mandataire  de  la  société  ou  d'une  autre  société,  d'une joint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served at the request of the Company, to the same extent and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venture, d'une fiducie ou d'une autre entreprise pour laquelle il ou</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same situations and subject to the same determinations as 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elle travaille ou a travaillé à la demande de la société, dans la</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hereinabove set forth with respect to a</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même mesure et dans les mêmes situations</w:t>
            </w:r>
          </w:p>
        </w:tc>
      </w:tr>
      <w:tr>
        <w:trPr>
          <w:trHeight w:val="256"/>
        </w:trPr>
        <w:tc>
          <w:tcPr>
            <w:tcW w:w="5540" w:type="dxa"/>
            <w:vAlign w:val="bottom"/>
            <w:tcBorders>
              <w:left w:val="single" w:sz="8" w:color="auto"/>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tcPr>
          <w:p>
            <w:pPr>
              <w:spacing w:after="0"/>
              <w:rPr>
                <w:sz w:val="22"/>
                <w:szCs w:val="22"/>
                <w:color w:val="auto"/>
              </w:rPr>
            </w:pPr>
          </w:p>
        </w:tc>
      </w:tr>
      <w:tr>
        <w:trPr>
          <w:trHeight w:val="750"/>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64" w:name="page65"/>
    <w:bookmarkEnd w:id="6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94"/>
        </w:trPr>
        <w:tc>
          <w:tcPr>
            <w:tcW w:w="554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Covered Person.</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et sous réserve des mêmes principes concernant une Personne</w:t>
            </w:r>
          </w:p>
        </w:tc>
        <w:tc>
          <w:tcPr>
            <w:tcW w:w="0" w:type="dxa"/>
            <w:vAlign w:val="bottom"/>
          </w:tcPr>
          <w:p>
            <w:pPr>
              <w:spacing w:after="0"/>
              <w:rPr>
                <w:sz w:val="1"/>
                <w:szCs w:val="1"/>
                <w:color w:val="auto"/>
              </w:rPr>
            </w:pPr>
          </w:p>
        </w:tc>
      </w:tr>
      <w:tr>
        <w:trPr>
          <w:trHeight w:val="217"/>
        </w:trPr>
        <w:tc>
          <w:tcPr>
            <w:tcW w:w="500" w:type="dxa"/>
            <w:vAlign w:val="bottom"/>
            <w:tcBorders>
              <w:left w:val="single" w:sz="8" w:color="auto"/>
            </w:tcBorders>
          </w:tcPr>
          <w:p>
            <w:pPr>
              <w:spacing w:after="0"/>
              <w:rPr>
                <w:sz w:val="18"/>
                <w:szCs w:val="18"/>
                <w:color w:val="auto"/>
              </w:rPr>
            </w:pPr>
          </w:p>
        </w:tc>
        <w:tc>
          <w:tcPr>
            <w:tcW w:w="50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Couverte évoquées ci-dessus.</w:t>
            </w: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As used in this Article 29, references to the "Company" include all</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Tel  qu'utilisé  dans  le  présent  article  29,  les  références  à  la</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constituent corporations in a consolidation or merger in which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"société" comprennent toutes les sociétés ayant fait l'objet d'un</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Company or a predecessor to the Company by consolidation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regroupement ou d'une fusion dans laquelle la société ou un</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merger was involved.</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prédécesseur à la société a été impliqué.</w:t>
            </w: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indemnification provided by this Article 29 shall continue as to</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L'indemnisation prévue par cet article 29 est maintenue à l'égard</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 person who has ceased to be a member of the Board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d'une  personne  qui  a  cessé  d'être  un  membre  du  conseil</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Directors or the Executive Committee and shall inure to the benefit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d'administration  ou  le  comité  exécutif  et  sera  en  vigueur  au</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of their heirs, executors, and administrators.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bénéfice de ses héritiers, exécuteurs et administrateurs.</w:t>
            </w: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50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0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VI.</w:t>
            </w:r>
          </w:p>
        </w:tc>
        <w:tc>
          <w:tcPr>
            <w:tcW w:w="504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AUDITORS</w:t>
            </w:r>
          </w:p>
        </w:tc>
        <w:tc>
          <w:tcPr>
            <w:tcW w:w="220" w:type="dxa"/>
            <w:vAlign w:val="bottom"/>
            <w:tcBorders>
              <w:right w:val="single" w:sz="8" w:color="auto"/>
            </w:tcBorders>
          </w:tcPr>
          <w:p>
            <w:pPr>
              <w:spacing w:after="0"/>
              <w:rPr>
                <w:sz w:val="24"/>
                <w:szCs w:val="24"/>
                <w:color w:val="auto"/>
              </w:rPr>
            </w:pPr>
          </w:p>
        </w:tc>
        <w:tc>
          <w:tcPr>
            <w:tcW w:w="460" w:type="dxa"/>
            <w:vAlign w:val="bottom"/>
          </w:tcPr>
          <w:p>
            <w:pPr>
              <w:ind w:left="60"/>
              <w:spacing w:after="0"/>
              <w:rPr>
                <w:sz w:val="20"/>
                <w:szCs w:val="20"/>
                <w:color w:val="auto"/>
              </w:rPr>
            </w:pPr>
            <w:r>
              <w:rPr>
                <w:rFonts w:ascii="Arial" w:cs="Arial" w:eastAsia="Arial" w:hAnsi="Arial"/>
                <w:sz w:val="18"/>
                <w:szCs w:val="18"/>
                <w:b w:val="1"/>
                <w:bCs w:val="1"/>
                <w:color w:val="auto"/>
              </w:rPr>
              <w:t>VI.</w:t>
            </w:r>
          </w:p>
        </w:tc>
        <w:tc>
          <w:tcPr>
            <w:tcW w:w="502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ORGANE DE RÉVISION</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30 Election, Term</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30 Élection, durée</w:t>
            </w:r>
          </w:p>
        </w:tc>
        <w:tc>
          <w:tcPr>
            <w:tcW w:w="0" w:type="dxa"/>
            <w:vAlign w:val="bottom"/>
          </w:tcPr>
          <w:p>
            <w:pPr>
              <w:spacing w:after="0"/>
              <w:rPr>
                <w:sz w:val="1"/>
                <w:szCs w:val="1"/>
                <w:color w:val="auto"/>
              </w:rPr>
            </w:pPr>
          </w:p>
        </w:tc>
      </w:tr>
      <w:tr>
        <w:trPr>
          <w:trHeight w:val="37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General Meeting shall elect one or more accountants as its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L'assemblée générale nomme chaque année un ou plusieurs</w:t>
            </w:r>
          </w:p>
        </w:tc>
        <w:tc>
          <w:tcPr>
            <w:tcW w:w="0" w:type="dxa"/>
            <w:vAlign w:val="bottom"/>
          </w:tcPr>
          <w:p>
            <w:pPr>
              <w:spacing w:after="0"/>
              <w:rPr>
                <w:sz w:val="1"/>
                <w:szCs w:val="1"/>
                <w:color w:val="auto"/>
              </w:rPr>
            </w:pPr>
          </w:p>
        </w:tc>
      </w:tr>
      <w:tr>
        <w:trPr>
          <w:trHeight w:val="22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 xml:space="preserve">Auditors in terms of Articles 727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CO every year with the</w:t>
            </w:r>
          </w:p>
        </w:tc>
        <w:tc>
          <w:tcPr>
            <w:tcW w:w="220" w:type="dxa"/>
            <w:vAlign w:val="bottom"/>
            <w:tcBorders>
              <w:right w:val="single" w:sz="8" w:color="auto"/>
            </w:tcBorders>
          </w:tcPr>
          <w:p>
            <w:pPr>
              <w:spacing w:after="0"/>
              <w:rPr>
                <w:sz w:val="19"/>
                <w:szCs w:val="19"/>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réviseurs comme organe de révision selon les articles 727 ss. CO</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rights and duties determined by law.</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avec les droits et les devoirs déterminés par la loi.</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General Meeting may appoint Special Auditors for a term of up</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L'assemblée générale peut nommer des réviseurs spéciaux pour</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to three years who provide the attestations required for capital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une durée de trois ans au maximum qui fournissent les attestations</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increases.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requises pour les augmentations de capital.</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31 Duties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31 Fonctions</w:t>
            </w: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Auditors shall perform their duties to audit and report whether</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L'organe de révision vérifie et rapporte si la comptabilité, les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the accounting, the annual accounts and the proposal regarding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comptes annuels et la proposition relative à la répartition des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allocation of profits are in accordance with law and the Articles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bénéfices sont en conformité avec la loi et les statuts.</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Association.</w:t>
            </w:r>
          </w:p>
        </w:tc>
        <w:tc>
          <w:tcPr>
            <w:tcW w:w="2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00" w:type="dxa"/>
            <w:vAlign w:val="bottom"/>
            <w:tcBorders>
              <w:left w:val="single" w:sz="8" w:color="auto"/>
              <w:bottom w:val="single" w:sz="8" w:color="auto"/>
            </w:tcBorders>
          </w:tcPr>
          <w:p>
            <w:pPr>
              <w:spacing w:after="0"/>
              <w:rPr>
                <w:sz w:val="4"/>
                <w:szCs w:val="4"/>
                <w:color w:val="auto"/>
              </w:rPr>
            </w:pPr>
          </w:p>
        </w:tc>
        <w:tc>
          <w:tcPr>
            <w:tcW w:w="50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0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VII.</w:t>
            </w:r>
          </w:p>
        </w:tc>
        <w:tc>
          <w:tcPr>
            <w:tcW w:w="504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COMPENSATION AND RELATED PROVISIONS</w:t>
            </w:r>
          </w:p>
        </w:tc>
        <w:tc>
          <w:tcPr>
            <w:tcW w:w="220" w:type="dxa"/>
            <w:vAlign w:val="bottom"/>
            <w:tcBorders>
              <w:right w:val="single" w:sz="8" w:color="auto"/>
            </w:tcBorders>
          </w:tcPr>
          <w:p>
            <w:pPr>
              <w:spacing w:after="0"/>
              <w:rPr>
                <w:sz w:val="24"/>
                <w:szCs w:val="24"/>
                <w:color w:val="auto"/>
              </w:rPr>
            </w:pP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VII.</w:t>
            </w:r>
          </w:p>
        </w:tc>
        <w:tc>
          <w:tcPr>
            <w:tcW w:w="5020" w:type="dxa"/>
            <w:vAlign w:val="bottom"/>
            <w:tcBorders>
              <w:right w:val="single" w:sz="8" w:color="auto"/>
            </w:tcBorders>
          </w:tcPr>
          <w:p>
            <w:pPr>
              <w:ind w:left="140"/>
              <w:spacing w:after="0"/>
              <w:rPr>
                <w:sz w:val="20"/>
                <w:szCs w:val="20"/>
                <w:color w:val="auto"/>
              </w:rPr>
            </w:pPr>
            <w:r>
              <w:rPr>
                <w:rFonts w:ascii="Arial" w:cs="Arial" w:eastAsia="Arial" w:hAnsi="Arial"/>
                <w:sz w:val="18"/>
                <w:szCs w:val="18"/>
                <w:b w:val="1"/>
                <w:bCs w:val="1"/>
                <w:color w:val="auto"/>
              </w:rPr>
              <w:t>RÉMUNÉRATION ET DISPOSITIONS ANALOGUES</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32 Principles of the Compensation of the Board of</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32 Principes de rémunération du conseil d'administration</w:t>
            </w: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tcPr>
          <w:p>
            <w:pPr>
              <w:spacing w:after="0"/>
              <w:rPr>
                <w:sz w:val="20"/>
                <w:szCs w:val="20"/>
                <w:color w:val="auto"/>
              </w:rPr>
            </w:pPr>
          </w:p>
        </w:tc>
        <w:tc>
          <w:tcPr>
            <w:tcW w:w="504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Directors</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La  rémunération  des  membres  du  conseil  d'administration</w:t>
            </w:r>
          </w:p>
        </w:tc>
        <w:tc>
          <w:tcPr>
            <w:tcW w:w="0" w:type="dxa"/>
            <w:vAlign w:val="bottom"/>
          </w:tcPr>
          <w:p>
            <w:pPr>
              <w:spacing w:after="0"/>
              <w:rPr>
                <w:sz w:val="1"/>
                <w:szCs w:val="1"/>
                <w:color w:val="auto"/>
              </w:rPr>
            </w:pPr>
          </w:p>
        </w:tc>
      </w:tr>
      <w:tr>
        <w:trPr>
          <w:trHeight w:val="188"/>
        </w:trPr>
        <w:tc>
          <w:tcPr>
            <w:tcW w:w="500" w:type="dxa"/>
            <w:vAlign w:val="bottom"/>
            <w:tcBorders>
              <w:left w:val="single" w:sz="8" w:color="auto"/>
            </w:tcBorders>
          </w:tcPr>
          <w:p>
            <w:pPr>
              <w:spacing w:after="0"/>
              <w:rPr>
                <w:sz w:val="16"/>
                <w:szCs w:val="16"/>
                <w:color w:val="auto"/>
              </w:rPr>
            </w:pPr>
          </w:p>
        </w:tc>
        <w:tc>
          <w:tcPr>
            <w:tcW w:w="504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The  compensation  payable  to  the  members  of  the  Board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comprend, sous réserve et dans les limites de l'approbation de la</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Directors comprises, subject to and within the bounds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rémunération  totale  par  l'assemblée  générale,  les  éléments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approval by the General Meeting of the total compensation,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suivants:</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following elements:</w:t>
            </w:r>
          </w:p>
        </w:tc>
        <w:tc>
          <w:tcPr>
            <w:tcW w:w="22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0" w:type="dxa"/>
            <w:vAlign w:val="bottom"/>
            <w:tcBorders>
              <w:left w:val="single" w:sz="8" w:color="auto"/>
              <w:bottom w:val="single" w:sz="8" w:color="auto"/>
            </w:tcBorders>
          </w:tcPr>
          <w:p>
            <w:pPr>
              <w:spacing w:after="0"/>
              <w:rPr>
                <w:sz w:val="22"/>
                <w:szCs w:val="22"/>
                <w:color w:val="auto"/>
              </w:rPr>
            </w:pPr>
          </w:p>
        </w:tc>
        <w:tc>
          <w:tcPr>
            <w:tcW w:w="504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0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49"/>
        </w:trPr>
        <w:tc>
          <w:tcPr>
            <w:tcW w:w="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7" w:right="339" w:bottom="1440" w:gutter="0" w:footer="0" w:header="0"/>
        </w:sectPr>
      </w:pPr>
    </w:p>
    <w:bookmarkStart w:id="65" w:name="page66"/>
    <w:bookmarkEnd w:id="6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94"/>
        </w:trPr>
        <w:tc>
          <w:tcPr>
            <w:tcW w:w="554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gridSpan w:val="2"/>
          </w:tcPr>
          <w:p>
            <w:pPr>
              <w:spacing w:after="0"/>
              <w:rPr>
                <w:sz w:val="8"/>
                <w:szCs w:val="8"/>
                <w:color w:val="auto"/>
              </w:rPr>
            </w:pPr>
          </w:p>
        </w:tc>
      </w:tr>
      <w:tr>
        <w:trPr>
          <w:trHeight w:val="27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  a fixed basic remuneration;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  une rémunération fixe de base;</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   a fixed committee fee for work in a committee of the Board of</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b)   des frais de commission fixes pour le travail dans un comité</w:t>
            </w: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Directors;</w:t>
            </w:r>
          </w:p>
        </w:tc>
        <w:tc>
          <w:tcPr>
            <w:tcW w:w="2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du conseil d'administration;</w:t>
            </w:r>
          </w:p>
        </w:tc>
      </w:tr>
      <w:tr>
        <w:trPr>
          <w:trHeight w:val="405"/>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  a lump sum compensation for expenses;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  une compensation forfaitaire pour les dépenses;</w:t>
            </w:r>
          </w:p>
        </w:tc>
      </w:tr>
      <w:tr>
        <w:trPr>
          <w:trHeight w:val="391"/>
        </w:trPr>
        <w:tc>
          <w:tcPr>
            <w:tcW w:w="36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d)</w:t>
            </w:r>
          </w:p>
        </w:tc>
        <w:tc>
          <w:tcPr>
            <w:tcW w:w="51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 number of options or shares in the Company, as further</w:t>
            </w:r>
          </w:p>
        </w:tc>
        <w:tc>
          <w:tcPr>
            <w:tcW w:w="220" w:type="dxa"/>
            <w:vAlign w:val="bottom"/>
            <w:tcBorders>
              <w:right w:val="single" w:sz="8" w:color="auto"/>
            </w:tcBorders>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d)</w:t>
            </w:r>
          </w:p>
        </w:tc>
        <w:tc>
          <w:tcPr>
            <w:tcW w:w="516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un nombre d'actions ou d'options dans la société, comme</w:t>
            </w: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outlined in Art. 41.</w:t>
            </w:r>
          </w:p>
        </w:tc>
        <w:tc>
          <w:tcPr>
            <w:tcW w:w="2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détaillée à l'art. 41.</w:t>
            </w:r>
          </w:p>
        </w:tc>
      </w:tr>
      <w:tr>
        <w:trPr>
          <w:trHeight w:val="256"/>
        </w:trPr>
        <w:tc>
          <w:tcPr>
            <w:tcW w:w="554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gridSpan w:val="2"/>
          </w:tcPr>
          <w:p>
            <w:pPr>
              <w:spacing w:after="0"/>
              <w:rPr>
                <w:sz w:val="22"/>
                <w:szCs w:val="22"/>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compensation is paid in cash and in form of options or shares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rémunération est versée en espèces et sous forme d'options ou</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in the Company. The board of directors or, to the extent delegated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d'actions de la société. Le conseil d'administration ou, en cas de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to it, the compensation committee shall determine grant, exercise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délégation des fonctions, le comité de rémunération doit fixer les</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and  forfeiture  conditions.  In  particular,  they  may  provide  for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conditions  de  l'octroi,  de  l'exercice  et  de  la  péremption.  En</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continuation, acceleration or removal of vesting, exercise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particulier,  il  peut  prévoir  la  poursuite,  l'accélération  ou  la</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forfeiture conditions, for payment or grant of compensation based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suppression  des  conditions  d'acquisition,  d'exercice  et  de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upon assumed target achievement, or for forfeiture, in each case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péremption, pour le paiement ou l'octroi d'une rémunération basée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the event of pre-determined events such as a change-of-control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sur la réalisation des objectifs supposés, ou pour la péremption,</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termination  of  an  employment  or  mandate  agreement.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dans chaque cas, dans le cas d'événements prédéterminés tels</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Company may procure the required shares through purchases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qu'un changement de contrôle ou la résiliation d'un contrat de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the  market,  from  treasury  shares  or  by  using  contingent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travail  ou  d'un  mandat.  La  société  peut  fournir  les  actions</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authorized share capital.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nécessaires par des achats sur le marché, par ses actions propres</w:t>
            </w: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ou en utilisant du capital conditionnel ou autorisé.</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Subject to the approval by the General Meeting, the members of</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Sous  réserve  de  l'approbation  par  l'assemblée  générale,  les</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the  Board  of  Directors  may  receive  remuneration  in  cash  at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membres  du  conseil  d'administration  peuvent  recevoir  une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customary conditions for advisory services rendered outside their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rémunération en espèces dans les conditions habituelles pour des</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capacity as Board member for the benefit of the Company or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services consultatifs rendus en-dehors de leur qualité de membre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companies under its control. The General Meeting may approve an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du conseil pour le bénéfice de la société ou des sociétés sous son</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additional bonus for the members of the Board of Directors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contrôle.  L'assemblée  générale  peut  approuver  un  bonus</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exceptional cases.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supplémentaire pour les membres du conseil d'administration dans</w:t>
            </w: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des cas exceptionnels.</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compensation may also be paid for activities in companies that</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rémunération peut également être accordée pour des activités</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are directly or indirectly controlled by the Company and may be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dans  des  entreprises  qui  sont  contrôlées  directement  ou</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paid by the Company or by a company controlled by it.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indirectement par la société et peuvent être versées par la société</w:t>
            </w: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ou par une société contrôlée par elle.</w:t>
            </w:r>
          </w:p>
        </w:tc>
      </w:tr>
      <w:tr>
        <w:trPr>
          <w:trHeight w:val="54"/>
        </w:trPr>
        <w:tc>
          <w:tcPr>
            <w:tcW w:w="360" w:type="dxa"/>
            <w:vAlign w:val="bottom"/>
            <w:tcBorders>
              <w:left w:val="single" w:sz="8" w:color="auto"/>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160" w:type="dxa"/>
            <w:vAlign w:val="bottom"/>
            <w:tcBorders>
              <w:bottom w:val="single" w:sz="8" w:color="auto"/>
              <w:right w:val="single" w:sz="8" w:color="auto"/>
            </w:tcBorders>
          </w:tcPr>
          <w:p>
            <w:pPr>
              <w:spacing w:after="0"/>
              <w:rPr>
                <w:sz w:val="4"/>
                <w:szCs w:val="4"/>
                <w:color w:val="auto"/>
              </w:rPr>
            </w:pPr>
          </w:p>
        </w:tc>
      </w:tr>
      <w:tr>
        <w:trPr>
          <w:trHeight w:val="344"/>
        </w:trPr>
        <w:tc>
          <w:tcPr>
            <w:tcW w:w="3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66" w:name="page67"/>
    <w:bookmarkEnd w:id="6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Pr>
          <w:p>
            <w:pPr>
              <w:ind w:left="4920"/>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94"/>
        </w:trPr>
        <w:tc>
          <w:tcPr>
            <w:tcW w:w="554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33 Principles of the Compensation of the Executive</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33 Principe de rémunération du comité exécutif</w:t>
            </w:r>
          </w:p>
        </w:tc>
        <w:tc>
          <w:tcPr>
            <w:tcW w:w="0" w:type="dxa"/>
            <w:vAlign w:val="bottom"/>
          </w:tcPr>
          <w:p>
            <w:pPr>
              <w:spacing w:after="0"/>
              <w:rPr>
                <w:sz w:val="1"/>
                <w:szCs w:val="1"/>
                <w:color w:val="auto"/>
              </w:rPr>
            </w:pPr>
          </w:p>
        </w:tc>
      </w:tr>
      <w:tr>
        <w:trPr>
          <w:trHeight w:val="239"/>
        </w:trPr>
        <w:tc>
          <w:tcPr>
            <w:tcW w:w="360" w:type="dxa"/>
            <w:vAlign w:val="bottom"/>
            <w:tcBorders>
              <w:left w:val="single" w:sz="8" w:color="auto"/>
            </w:tcBorders>
          </w:tcPr>
          <w:p>
            <w:pPr>
              <w:spacing w:after="0"/>
              <w:rPr>
                <w:sz w:val="20"/>
                <w:szCs w:val="20"/>
                <w:color w:val="auto"/>
              </w:rPr>
            </w:pPr>
          </w:p>
        </w:tc>
        <w:tc>
          <w:tcPr>
            <w:tcW w:w="5180" w:type="dxa"/>
            <w:vAlign w:val="bottom"/>
            <w:tcBorders>
              <w:right w:val="single" w:sz="8" w:color="auto"/>
            </w:tcBorders>
          </w:tcPr>
          <w:p>
            <w:pPr>
              <w:jc w:val="center"/>
              <w:ind w:right="3410"/>
              <w:spacing w:after="0"/>
              <w:rPr>
                <w:sz w:val="20"/>
                <w:szCs w:val="20"/>
                <w:color w:val="auto"/>
              </w:rPr>
            </w:pPr>
            <w:r>
              <w:rPr>
                <w:rFonts w:ascii="Arial" w:cs="Arial" w:eastAsia="Arial" w:hAnsi="Arial"/>
                <w:sz w:val="18"/>
                <w:szCs w:val="18"/>
                <w:b w:val="1"/>
                <w:bCs w:val="1"/>
                <w:color w:val="auto"/>
                <w:w w:val="98"/>
              </w:rPr>
              <w:t>Committee</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La rémunération des membres du comité exécutif est soumis à</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tcBorders>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The compensation payable to the members of  the  Executive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l'approbation  l'assemblée  générale  et  comprend  les  éléments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Committee is subject to the approval by the General Meeting and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suivants</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comprises the following elements: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a)  une rémunération fixe payable en espèces;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a)  a fixed remuneration payable in cash;</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b)   une rémunération liée à la performance payable en espèces</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tcBorders>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ind w:left="80"/>
              <w:spacing w:after="0" w:line="202" w:lineRule="exact"/>
              <w:rPr>
                <w:sz w:val="20"/>
                <w:szCs w:val="20"/>
                <w:color w:val="auto"/>
              </w:rPr>
            </w:pPr>
            <w:r>
              <w:rPr>
                <w:rFonts w:ascii="Arial" w:cs="Arial" w:eastAsia="Arial" w:hAnsi="Arial"/>
                <w:sz w:val="18"/>
                <w:szCs w:val="18"/>
                <w:color w:val="auto"/>
              </w:rPr>
              <w:t>b)</w:t>
            </w:r>
          </w:p>
        </w:tc>
        <w:tc>
          <w:tcPr>
            <w:tcW w:w="5180" w:type="dxa"/>
            <w:vAlign w:val="bottom"/>
            <w:tcBorders>
              <w:right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a  performance-related  remuneration  payable  in  cash</w:t>
            </w:r>
          </w:p>
        </w:tc>
        <w:tc>
          <w:tcPr>
            <w:tcW w:w="2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(variable);</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jc w:val="right"/>
              <w:ind w:right="4170"/>
              <w:spacing w:after="0"/>
              <w:rPr>
                <w:sz w:val="20"/>
                <w:szCs w:val="20"/>
                <w:color w:val="auto"/>
              </w:rPr>
            </w:pPr>
            <w:r>
              <w:rPr>
                <w:rFonts w:ascii="Arial" w:cs="Arial" w:eastAsia="Arial" w:hAnsi="Arial"/>
                <w:sz w:val="18"/>
                <w:szCs w:val="18"/>
                <w:color w:val="auto"/>
              </w:rPr>
              <w:t>(variable);</w:t>
            </w:r>
          </w:p>
        </w:tc>
        <w:tc>
          <w:tcPr>
            <w:tcW w:w="220" w:type="dxa"/>
            <w:vAlign w:val="bottom"/>
            <w:tcBorders>
              <w:right w:val="single" w:sz="8" w:color="auto"/>
            </w:tcBorders>
          </w:tcPr>
          <w:p>
            <w:pPr>
              <w:spacing w:after="0"/>
              <w:rPr>
                <w:sz w:val="18"/>
                <w:szCs w:val="18"/>
                <w:color w:val="auto"/>
              </w:rPr>
            </w:pPr>
          </w:p>
        </w:tc>
        <w:tc>
          <w:tcPr>
            <w:tcW w:w="320" w:type="dxa"/>
            <w:vAlign w:val="bottom"/>
            <w:vMerge w:val="restart"/>
          </w:tcPr>
          <w:p>
            <w:pPr>
              <w:ind w:left="60"/>
              <w:spacing w:after="0"/>
              <w:rPr>
                <w:sz w:val="20"/>
                <w:szCs w:val="20"/>
                <w:color w:val="auto"/>
              </w:rPr>
            </w:pPr>
            <w:r>
              <w:rPr>
                <w:rFonts w:ascii="Arial" w:cs="Arial" w:eastAsia="Arial" w:hAnsi="Arial"/>
                <w:sz w:val="18"/>
                <w:szCs w:val="18"/>
                <w:color w:val="auto"/>
              </w:rPr>
              <w:t>c)</w:t>
            </w:r>
          </w:p>
        </w:tc>
        <w:tc>
          <w:tcPr>
            <w:tcW w:w="51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un nombre d'actions ou d'options dans la société, comme</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tcBorders>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20" w:type="dxa"/>
            <w:vAlign w:val="bottom"/>
            <w:vMerge w:val="continue"/>
          </w:tcPr>
          <w:p>
            <w:pPr>
              <w:spacing w:after="0"/>
              <w:rPr>
                <w:sz w:val="16"/>
                <w:szCs w:val="16"/>
                <w:color w:val="auto"/>
              </w:rPr>
            </w:pPr>
          </w:p>
        </w:tc>
        <w:tc>
          <w:tcPr>
            <w:tcW w:w="51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ind w:left="80"/>
              <w:spacing w:after="0" w:line="202" w:lineRule="exact"/>
              <w:rPr>
                <w:sz w:val="20"/>
                <w:szCs w:val="20"/>
                <w:color w:val="auto"/>
              </w:rPr>
            </w:pPr>
            <w:r>
              <w:rPr>
                <w:rFonts w:ascii="Arial" w:cs="Arial" w:eastAsia="Arial" w:hAnsi="Arial"/>
                <w:sz w:val="18"/>
                <w:szCs w:val="18"/>
                <w:color w:val="auto"/>
              </w:rPr>
              <w:t>c)</w:t>
            </w:r>
          </w:p>
        </w:tc>
        <w:tc>
          <w:tcPr>
            <w:tcW w:w="5180" w:type="dxa"/>
            <w:vAlign w:val="bottom"/>
            <w:tcBorders>
              <w:right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a number of options or shares in the Company, as further</w:t>
            </w:r>
          </w:p>
        </w:tc>
        <w:tc>
          <w:tcPr>
            <w:tcW w:w="2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détaillée à l'art. 41.</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jc w:val="center"/>
              <w:ind w:right="3410"/>
              <w:spacing w:after="0"/>
              <w:rPr>
                <w:sz w:val="20"/>
                <w:szCs w:val="20"/>
                <w:color w:val="auto"/>
              </w:rPr>
            </w:pPr>
            <w:r>
              <w:rPr>
                <w:rFonts w:ascii="Arial" w:cs="Arial" w:eastAsia="Arial" w:hAnsi="Arial"/>
                <w:sz w:val="18"/>
                <w:szCs w:val="18"/>
                <w:color w:val="auto"/>
                <w:w w:val="99"/>
              </w:rPr>
              <w:t>outlined in Art. 41.</w:t>
            </w:r>
          </w:p>
        </w:tc>
        <w:tc>
          <w:tcPr>
            <w:tcW w:w="2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54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performance-related remuneration depends on the Company's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rémunération liée à la performance dépend de la réussite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business success and the individual performance of the member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économique de la société et de la performance individuelle du</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the  Executive  Committee  based  on  the  achievement  of  pre-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membre du comité exécutif sur la base de la réalisation des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determined targets during a business year. The Board of Directors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objectifs prédéterminés au cours d'une année d'activité. Le conseil</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determines annually at the beginning of each relevant business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d'administration  détermine  au  début  de  chaque  exercice  les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year the decisive targets and their weighting upon proposal by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objectifs décisifs et leur pondération sur proposition du comité de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Compensation Committee. The amount of the performance-related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rémunération. Le montant de la rémunération liée à la performance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remuneration for each member of the Executive Committee is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pour chaque membre du comité exécutif est déterminé par le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determined by the Board of Directors and may not exceed 100</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conseil d'administration et ne peut dépasser 100 pour cent de la</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percent of the respective individual fixed remuneration for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rémunération fixe individuelle respective pour la même année.</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same year.</w:t>
            </w:r>
          </w:p>
        </w:tc>
        <w:tc>
          <w:tcPr>
            <w:tcW w:w="2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compensation may also be paid for activities in companies that</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rémunération peut également être versée pour activités dans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are directly or indirectly controlled by the Company and may be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des entreprises qui sont contrôlées directement ou indirectement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paid by the Company or by a company controlled by it.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par la société et peut être versée par la société ou par une société</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contrôlée par elle.</w:t>
            </w:r>
          </w:p>
        </w:tc>
        <w:tc>
          <w:tcPr>
            <w:tcW w:w="0" w:type="dxa"/>
            <w:vAlign w:val="bottom"/>
          </w:tcPr>
          <w:p>
            <w:pPr>
              <w:spacing w:after="0"/>
              <w:rPr>
                <w:sz w:val="1"/>
                <w:szCs w:val="1"/>
                <w:color w:val="auto"/>
              </w:rPr>
            </w:pP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34 Compensation for new Members of the Executive</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34 Rémunération pour les nouveaux membres du comité</w:t>
            </w:r>
          </w:p>
        </w:tc>
        <w:tc>
          <w:tcPr>
            <w:tcW w:w="0" w:type="dxa"/>
            <w:vAlign w:val="bottom"/>
          </w:tcPr>
          <w:p>
            <w:pPr>
              <w:spacing w:after="0"/>
              <w:rPr>
                <w:sz w:val="1"/>
                <w:szCs w:val="1"/>
                <w:color w:val="auto"/>
              </w:rPr>
            </w:pPr>
          </w:p>
        </w:tc>
      </w:tr>
      <w:tr>
        <w:trPr>
          <w:trHeight w:val="239"/>
        </w:trPr>
        <w:tc>
          <w:tcPr>
            <w:tcW w:w="360" w:type="dxa"/>
            <w:vAlign w:val="bottom"/>
            <w:tcBorders>
              <w:left w:val="single" w:sz="8" w:color="auto"/>
            </w:tcBorders>
          </w:tcPr>
          <w:p>
            <w:pPr>
              <w:spacing w:after="0"/>
              <w:rPr>
                <w:sz w:val="20"/>
                <w:szCs w:val="20"/>
                <w:color w:val="auto"/>
              </w:rPr>
            </w:pPr>
          </w:p>
        </w:tc>
        <w:tc>
          <w:tcPr>
            <w:tcW w:w="5180" w:type="dxa"/>
            <w:vAlign w:val="bottom"/>
            <w:tcBorders>
              <w:right w:val="single" w:sz="8" w:color="auto"/>
            </w:tcBorders>
          </w:tcPr>
          <w:p>
            <w:pPr>
              <w:jc w:val="center"/>
              <w:ind w:right="3410"/>
              <w:spacing w:after="0"/>
              <w:rPr>
                <w:sz w:val="20"/>
                <w:szCs w:val="20"/>
                <w:color w:val="auto"/>
              </w:rPr>
            </w:pPr>
            <w:r>
              <w:rPr>
                <w:rFonts w:ascii="Arial" w:cs="Arial" w:eastAsia="Arial" w:hAnsi="Arial"/>
                <w:sz w:val="18"/>
                <w:szCs w:val="18"/>
                <w:b w:val="1"/>
                <w:bCs w:val="1"/>
                <w:color w:val="auto"/>
                <w:w w:val="98"/>
              </w:rPr>
              <w:t>Committee</w:t>
            </w:r>
          </w:p>
        </w:tc>
        <w:tc>
          <w:tcPr>
            <w:tcW w:w="22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tcBorders>
              <w:right w:val="single" w:sz="8" w:color="auto"/>
            </w:tcBorders>
          </w:tcPr>
          <w:p>
            <w:pPr>
              <w:ind w:left="380"/>
              <w:spacing w:after="0"/>
              <w:rPr>
                <w:sz w:val="20"/>
                <w:szCs w:val="20"/>
                <w:color w:val="auto"/>
              </w:rPr>
            </w:pPr>
            <w:r>
              <w:rPr>
                <w:rFonts w:ascii="Arial" w:cs="Arial" w:eastAsia="Arial" w:hAnsi="Arial"/>
                <w:sz w:val="18"/>
                <w:szCs w:val="18"/>
                <w:b w:val="1"/>
                <w:bCs w:val="1"/>
                <w:color w:val="auto"/>
              </w:rPr>
              <w:t>exécutif</w:t>
            </w: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If new members of the Executive Committee are appointed and</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Si de nouveaux membres du comité exécutif sont nommés et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take up their position in the Company after the General Meeting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prennent leur position dans la société après que l'assemblée</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has approved the maximum total compensation for members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générale a approuvé la rémunération totale maximale pour les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Executive Committee for the year in question, the new members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membres  du  comité  exécutif  pour  l'année  en  question,  les</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may be paid an additional amount for the period until the next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nouveaux membres peuvent être payés au moyen d'un montant</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Ordinary Meeting of Shareholder. The additional amount payable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additionnel pour la période allant jusqu'à la prochaine assemblée</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ordinaire des</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1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0"/>
        </w:trPr>
        <w:tc>
          <w:tcPr>
            <w:tcW w:w="3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7" w:right="339" w:bottom="1440" w:gutter="0" w:footer="0" w:header="0"/>
        </w:sectPr>
      </w:pPr>
    </w:p>
    <w:bookmarkStart w:id="67" w:name="page68"/>
    <w:bookmarkEnd w:id="6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80" w:type="dxa"/>
            <w:vAlign w:val="bottom"/>
          </w:tcPr>
          <w:p>
            <w:pPr>
              <w:ind w:left="5540"/>
              <w:spacing w:after="0"/>
              <w:rPr>
                <w:sz w:val="20"/>
                <w:szCs w:val="20"/>
                <w:color w:val="auto"/>
              </w:rPr>
            </w:pPr>
            <w:r>
              <w:rPr>
                <w:rFonts w:ascii="Arial" w:cs="Arial" w:eastAsia="Arial" w:hAnsi="Arial"/>
                <w:sz w:val="18"/>
                <w:szCs w:val="18"/>
                <w:color w:val="auto"/>
                <w:w w:val="99"/>
              </w:rPr>
              <w:t>29</w:t>
            </w:r>
          </w:p>
        </w:tc>
      </w:tr>
      <w:tr>
        <w:trPr>
          <w:trHeight w:val="94"/>
        </w:trPr>
        <w:tc>
          <w:tcPr>
            <w:tcW w:w="5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780" w:type="dxa"/>
            <w:vAlign w:val="bottom"/>
            <w:tcBorders>
              <w:bottom w:val="single" w:sz="8" w:color="auto"/>
            </w:tcBorders>
          </w:tcPr>
          <w:p>
            <w:pPr>
              <w:spacing w:after="0"/>
              <w:rPr>
                <w:sz w:val="8"/>
                <w:szCs w:val="8"/>
                <w:color w:val="auto"/>
              </w:rPr>
            </w:pPr>
          </w:p>
        </w:tc>
      </w:tr>
      <w:tr>
        <w:trPr>
          <w:trHeight w:val="263"/>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to all new members of the Executive Committee may not</w:t>
            </w:r>
          </w:p>
        </w:tc>
        <w:tc>
          <w:tcPr>
            <w:tcW w:w="200" w:type="dxa"/>
            <w:vAlign w:val="bottom"/>
            <w:tcBorders>
              <w:right w:val="single" w:sz="8" w:color="auto"/>
            </w:tcBorders>
          </w:tcPr>
          <w:p>
            <w:pPr>
              <w:spacing w:after="0"/>
              <w:rPr>
                <w:sz w:val="22"/>
                <w:szCs w:val="22"/>
                <w:color w:val="auto"/>
              </w:rPr>
            </w:pPr>
          </w:p>
        </w:tc>
        <w:tc>
          <w:tcPr>
            <w:tcW w:w="5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actionnaires. Le montant additionnel payable à tous les nouveaux</w:t>
            </w:r>
          </w:p>
        </w:tc>
      </w:tr>
      <w:tr>
        <w:trPr>
          <w:trHeight w:val="202"/>
        </w:trPr>
        <w:tc>
          <w:tcPr>
            <w:tcW w:w="52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exceed 50 percent of the respective total compensation already</w:t>
            </w:r>
          </w:p>
        </w:tc>
        <w:tc>
          <w:tcPr>
            <w:tcW w:w="200" w:type="dxa"/>
            <w:vAlign w:val="bottom"/>
            <w:tcBorders>
              <w:right w:val="single" w:sz="8" w:color="auto"/>
            </w:tcBorders>
          </w:tcPr>
          <w:p>
            <w:pPr>
              <w:spacing w:after="0"/>
              <w:rPr>
                <w:sz w:val="17"/>
                <w:szCs w:val="17"/>
                <w:color w:val="auto"/>
              </w:rPr>
            </w:pPr>
          </w:p>
        </w:tc>
        <w:tc>
          <w:tcPr>
            <w:tcW w:w="57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membres du comité exécutif ne peut pas dépasser 50 pour cent de la</w:t>
            </w:r>
          </w:p>
        </w:tc>
      </w:tr>
      <w:tr>
        <w:trPr>
          <w:trHeight w:val="203"/>
        </w:trPr>
        <w:tc>
          <w:tcPr>
            <w:tcW w:w="52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approved by the General Meeting. The additional compensation</w:t>
            </w:r>
          </w:p>
        </w:tc>
        <w:tc>
          <w:tcPr>
            <w:tcW w:w="200" w:type="dxa"/>
            <w:vAlign w:val="bottom"/>
            <w:tcBorders>
              <w:right w:val="single" w:sz="8" w:color="auto"/>
            </w:tcBorders>
          </w:tcPr>
          <w:p>
            <w:pPr>
              <w:spacing w:after="0"/>
              <w:rPr>
                <w:sz w:val="17"/>
                <w:szCs w:val="17"/>
                <w:color w:val="auto"/>
              </w:rPr>
            </w:pPr>
          </w:p>
        </w:tc>
        <w:tc>
          <w:tcPr>
            <w:tcW w:w="57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rémunération  totale  respective  déjà  approuvé  par  l'assemblée</w:t>
            </w:r>
          </w:p>
        </w:tc>
      </w:tr>
      <w:tr>
        <w:trPr>
          <w:trHeight w:val="203"/>
        </w:trPr>
        <w:tc>
          <w:tcPr>
            <w:tcW w:w="52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may only be paid if the total compensation amount that has</w:t>
            </w:r>
          </w:p>
        </w:tc>
        <w:tc>
          <w:tcPr>
            <w:tcW w:w="200" w:type="dxa"/>
            <w:vAlign w:val="bottom"/>
            <w:tcBorders>
              <w:right w:val="single" w:sz="8" w:color="auto"/>
            </w:tcBorders>
          </w:tcPr>
          <w:p>
            <w:pPr>
              <w:spacing w:after="0"/>
              <w:rPr>
                <w:sz w:val="17"/>
                <w:szCs w:val="17"/>
                <w:color w:val="auto"/>
              </w:rPr>
            </w:pPr>
          </w:p>
        </w:tc>
        <w:tc>
          <w:tcPr>
            <w:tcW w:w="57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générale. La rémunération additionnelle ne peut être versée que si le</w:t>
            </w:r>
          </w:p>
        </w:tc>
      </w:tr>
      <w:tr>
        <w:trPr>
          <w:trHeight w:val="203"/>
        </w:trPr>
        <w:tc>
          <w:tcPr>
            <w:tcW w:w="52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been approved by the General Meeting for the compensation of</w:t>
            </w:r>
          </w:p>
        </w:tc>
        <w:tc>
          <w:tcPr>
            <w:tcW w:w="200" w:type="dxa"/>
            <w:vAlign w:val="bottom"/>
            <w:tcBorders>
              <w:right w:val="single" w:sz="8" w:color="auto"/>
            </w:tcBorders>
          </w:tcPr>
          <w:p>
            <w:pPr>
              <w:spacing w:after="0"/>
              <w:rPr>
                <w:sz w:val="17"/>
                <w:szCs w:val="17"/>
                <w:color w:val="auto"/>
              </w:rPr>
            </w:pPr>
          </w:p>
        </w:tc>
        <w:tc>
          <w:tcPr>
            <w:tcW w:w="57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montant total de la rémunération qui a été approuvé par l'assemblée</w:t>
            </w:r>
          </w:p>
        </w:tc>
      </w:tr>
      <w:tr>
        <w:trPr>
          <w:trHeight w:val="203"/>
        </w:trPr>
        <w:tc>
          <w:tcPr>
            <w:tcW w:w="52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members of the Executive Committee is insufficient to</w:t>
            </w:r>
          </w:p>
        </w:tc>
        <w:tc>
          <w:tcPr>
            <w:tcW w:w="200" w:type="dxa"/>
            <w:vAlign w:val="bottom"/>
            <w:tcBorders>
              <w:right w:val="single" w:sz="8" w:color="auto"/>
            </w:tcBorders>
          </w:tcPr>
          <w:p>
            <w:pPr>
              <w:spacing w:after="0"/>
              <w:rPr>
                <w:sz w:val="17"/>
                <w:szCs w:val="17"/>
                <w:color w:val="auto"/>
              </w:rPr>
            </w:pPr>
          </w:p>
        </w:tc>
        <w:tc>
          <w:tcPr>
            <w:tcW w:w="57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générale pour la rémunération des membres du comité exécutif est</w:t>
            </w:r>
          </w:p>
        </w:tc>
      </w:tr>
      <w:tr>
        <w:trPr>
          <w:trHeight w:val="203"/>
        </w:trPr>
        <w:tc>
          <w:tcPr>
            <w:tcW w:w="52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compensate  the  newly  appointed  members.  The  General</w:t>
            </w:r>
          </w:p>
        </w:tc>
        <w:tc>
          <w:tcPr>
            <w:tcW w:w="200" w:type="dxa"/>
            <w:vAlign w:val="bottom"/>
            <w:tcBorders>
              <w:right w:val="single" w:sz="8" w:color="auto"/>
            </w:tcBorders>
          </w:tcPr>
          <w:p>
            <w:pPr>
              <w:spacing w:after="0"/>
              <w:rPr>
                <w:sz w:val="17"/>
                <w:szCs w:val="17"/>
                <w:color w:val="auto"/>
              </w:rPr>
            </w:pPr>
          </w:p>
        </w:tc>
        <w:tc>
          <w:tcPr>
            <w:tcW w:w="57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insuffisant  pour  rémunérer  les  membres  nouvellement  nommés.</w:t>
            </w:r>
          </w:p>
        </w:tc>
      </w:tr>
      <w:tr>
        <w:trPr>
          <w:trHeight w:val="203"/>
        </w:trPr>
        <w:tc>
          <w:tcPr>
            <w:tcW w:w="52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Meeting is not required to vote on this additional amount.</w:t>
            </w:r>
          </w:p>
        </w:tc>
        <w:tc>
          <w:tcPr>
            <w:tcW w:w="200" w:type="dxa"/>
            <w:vAlign w:val="bottom"/>
            <w:tcBorders>
              <w:right w:val="single" w:sz="8" w:color="auto"/>
            </w:tcBorders>
          </w:tcPr>
          <w:p>
            <w:pPr>
              <w:spacing w:after="0"/>
              <w:rPr>
                <w:sz w:val="17"/>
                <w:szCs w:val="17"/>
                <w:color w:val="auto"/>
              </w:rPr>
            </w:pPr>
          </w:p>
        </w:tc>
        <w:tc>
          <w:tcPr>
            <w:tcW w:w="57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L'assemblée  générale  n'a  pas  à  se  prononcer  sur  ce  montant</w:t>
            </w:r>
          </w:p>
        </w:tc>
      </w:tr>
      <w:tr>
        <w:trPr>
          <w:trHeight w:val="217"/>
        </w:trPr>
        <w:tc>
          <w:tcPr>
            <w:tcW w:w="5260" w:type="dxa"/>
            <w:vAlign w:val="bottom"/>
            <w:tcBorders>
              <w:left w:val="single" w:sz="8" w:color="auto"/>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supplémentaire.</w:t>
            </w:r>
          </w:p>
        </w:tc>
      </w:tr>
      <w:tr>
        <w:trPr>
          <w:trHeight w:val="54"/>
        </w:trPr>
        <w:tc>
          <w:tcPr>
            <w:tcW w:w="5260" w:type="dxa"/>
            <w:vAlign w:val="bottom"/>
            <w:tcBorders>
              <w:left w:val="single" w:sz="8" w:color="auto"/>
              <w:bottom w:val="single" w:sz="8" w:color="auto"/>
              <w:right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780" w:type="dxa"/>
            <w:vAlign w:val="bottom"/>
            <w:tcBorders>
              <w:bottom w:val="single" w:sz="8" w:color="auto"/>
              <w:right w:val="single" w:sz="8" w:color="auto"/>
            </w:tcBorders>
          </w:tcPr>
          <w:p>
            <w:pPr>
              <w:spacing w:after="0"/>
              <w:rPr>
                <w:sz w:val="4"/>
                <w:szCs w:val="4"/>
                <w:color w:val="auto"/>
              </w:rPr>
            </w:pPr>
          </w:p>
        </w:tc>
      </w:tr>
      <w:tr>
        <w:trPr>
          <w:trHeight w:val="263"/>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This additional overall compensation is understood to include</w:t>
            </w:r>
          </w:p>
        </w:tc>
        <w:tc>
          <w:tcPr>
            <w:tcW w:w="200" w:type="dxa"/>
            <w:vAlign w:val="bottom"/>
            <w:tcBorders>
              <w:right w:val="single" w:sz="8" w:color="auto"/>
            </w:tcBorders>
          </w:tcPr>
          <w:p>
            <w:pPr>
              <w:spacing w:after="0"/>
              <w:rPr>
                <w:sz w:val="22"/>
                <w:szCs w:val="22"/>
                <w:color w:val="auto"/>
              </w:rPr>
            </w:pPr>
          </w:p>
        </w:tc>
        <w:tc>
          <w:tcPr>
            <w:tcW w:w="5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Cette rémunération additionnelle globale est sensée comprendre tous</w:t>
            </w:r>
          </w:p>
        </w:tc>
      </w:tr>
      <w:tr>
        <w:trPr>
          <w:trHeight w:val="203"/>
        </w:trPr>
        <w:tc>
          <w:tcPr>
            <w:tcW w:w="52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any settlements for any disadvantage suffered as a result of the</w:t>
            </w:r>
          </w:p>
        </w:tc>
        <w:tc>
          <w:tcPr>
            <w:tcW w:w="200" w:type="dxa"/>
            <w:vAlign w:val="bottom"/>
            <w:tcBorders>
              <w:right w:val="single" w:sz="8" w:color="auto"/>
            </w:tcBorders>
          </w:tcPr>
          <w:p>
            <w:pPr>
              <w:spacing w:after="0"/>
              <w:rPr>
                <w:sz w:val="17"/>
                <w:szCs w:val="17"/>
                <w:color w:val="auto"/>
              </w:rPr>
            </w:pPr>
          </w:p>
        </w:tc>
        <w:tc>
          <w:tcPr>
            <w:tcW w:w="57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les règlements pour tout inconvénient subi à la suite du changement</w:t>
            </w:r>
          </w:p>
        </w:tc>
      </w:tr>
      <w:tr>
        <w:trPr>
          <w:trHeight w:val="217"/>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change of job.</w:t>
            </w:r>
          </w:p>
        </w:tc>
        <w:tc>
          <w:tcPr>
            <w:tcW w:w="200" w:type="dxa"/>
            <w:vAlign w:val="bottom"/>
            <w:tcBorders>
              <w:right w:val="single" w:sz="8" w:color="auto"/>
            </w:tcBorders>
          </w:tcPr>
          <w:p>
            <w:pPr>
              <w:spacing w:after="0"/>
              <w:rPr>
                <w:sz w:val="18"/>
                <w:szCs w:val="18"/>
                <w:color w:val="auto"/>
              </w:rPr>
            </w:pPr>
          </w:p>
        </w:tc>
        <w:tc>
          <w:tcPr>
            <w:tcW w:w="5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 travail.</w:t>
            </w:r>
          </w:p>
        </w:tc>
      </w:tr>
      <w:tr>
        <w:trPr>
          <w:trHeight w:val="54"/>
        </w:trPr>
        <w:tc>
          <w:tcPr>
            <w:tcW w:w="5260" w:type="dxa"/>
            <w:vAlign w:val="bottom"/>
            <w:tcBorders>
              <w:left w:val="single" w:sz="8" w:color="auto"/>
              <w:bottom w:val="single" w:sz="8" w:color="auto"/>
              <w:right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780" w:type="dxa"/>
            <w:vAlign w:val="bottom"/>
            <w:tcBorders>
              <w:bottom w:val="single" w:sz="8" w:color="auto"/>
              <w:right w:val="single" w:sz="8" w:color="auto"/>
            </w:tcBorders>
          </w:tcPr>
          <w:p>
            <w:pPr>
              <w:spacing w:after="0"/>
              <w:rPr>
                <w:sz w:val="4"/>
                <w:szCs w:val="4"/>
                <w:color w:val="auto"/>
              </w:rPr>
            </w:pPr>
          </w:p>
        </w:tc>
      </w:tr>
      <w:tr>
        <w:trPr>
          <w:trHeight w:val="277"/>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35 Expenses</w:t>
            </w:r>
          </w:p>
        </w:tc>
        <w:tc>
          <w:tcPr>
            <w:tcW w:w="200" w:type="dxa"/>
            <w:vAlign w:val="bottom"/>
            <w:tcBorders>
              <w:right w:val="single" w:sz="8" w:color="auto"/>
            </w:tcBorders>
          </w:tcPr>
          <w:p>
            <w:pPr>
              <w:spacing w:after="0"/>
              <w:rPr>
                <w:sz w:val="24"/>
                <w:szCs w:val="24"/>
                <w:color w:val="auto"/>
              </w:rPr>
            </w:pPr>
          </w:p>
        </w:tc>
        <w:tc>
          <w:tcPr>
            <w:tcW w:w="57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35 Dépenses</w:t>
            </w:r>
          </w:p>
        </w:tc>
      </w:tr>
      <w:tr>
        <w:trPr>
          <w:trHeight w:val="391"/>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Expenses  which  are  not  covered  by  the  lump  sum</w:t>
            </w:r>
          </w:p>
        </w:tc>
        <w:tc>
          <w:tcPr>
            <w:tcW w:w="200" w:type="dxa"/>
            <w:vAlign w:val="bottom"/>
            <w:tcBorders>
              <w:right w:val="single" w:sz="8" w:color="auto"/>
            </w:tcBorders>
          </w:tcPr>
          <w:p>
            <w:pPr>
              <w:spacing w:after="0"/>
              <w:rPr>
                <w:sz w:val="24"/>
                <w:szCs w:val="24"/>
                <w:color w:val="auto"/>
              </w:rPr>
            </w:pPr>
          </w:p>
        </w:tc>
        <w:tc>
          <w:tcPr>
            <w:tcW w:w="5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dépenses qui ne sont pas couvertes par l'indemnité forfaitaire</w:t>
            </w:r>
          </w:p>
        </w:tc>
      </w:tr>
      <w:tr>
        <w:trPr>
          <w:trHeight w:val="203"/>
        </w:trPr>
        <w:tc>
          <w:tcPr>
            <w:tcW w:w="52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compensation pursuant to the Company's expense regulations</w:t>
            </w:r>
          </w:p>
        </w:tc>
        <w:tc>
          <w:tcPr>
            <w:tcW w:w="200" w:type="dxa"/>
            <w:vAlign w:val="bottom"/>
            <w:tcBorders>
              <w:right w:val="single" w:sz="8" w:color="auto"/>
            </w:tcBorders>
          </w:tcPr>
          <w:p>
            <w:pPr>
              <w:spacing w:after="0"/>
              <w:rPr>
                <w:sz w:val="17"/>
                <w:szCs w:val="17"/>
                <w:color w:val="auto"/>
              </w:rPr>
            </w:pPr>
          </w:p>
        </w:tc>
        <w:tc>
          <w:tcPr>
            <w:tcW w:w="57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conformément aux règlements de frais de la société sont remboursées</w:t>
            </w:r>
          </w:p>
        </w:tc>
      </w:tr>
      <w:tr>
        <w:trPr>
          <w:trHeight w:val="203"/>
        </w:trPr>
        <w:tc>
          <w:tcPr>
            <w:tcW w:w="52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shall be reimbursed following presentation of the supporting</w:t>
            </w:r>
          </w:p>
        </w:tc>
        <w:tc>
          <w:tcPr>
            <w:tcW w:w="200" w:type="dxa"/>
            <w:vAlign w:val="bottom"/>
            <w:tcBorders>
              <w:right w:val="single" w:sz="8" w:color="auto"/>
            </w:tcBorders>
          </w:tcPr>
          <w:p>
            <w:pPr>
              <w:spacing w:after="0"/>
              <w:rPr>
                <w:sz w:val="17"/>
                <w:szCs w:val="17"/>
                <w:color w:val="auto"/>
              </w:rPr>
            </w:pPr>
          </w:p>
        </w:tc>
        <w:tc>
          <w:tcPr>
            <w:tcW w:w="57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à  la  suite  de  la  présentation  des  reçus  correspondants.  Cette</w:t>
            </w:r>
          </w:p>
        </w:tc>
      </w:tr>
      <w:tr>
        <w:trPr>
          <w:trHeight w:val="203"/>
        </w:trPr>
        <w:tc>
          <w:tcPr>
            <w:tcW w:w="52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receipts. This  additional  remuneration  is  not  subject  to  a</w:t>
            </w:r>
          </w:p>
        </w:tc>
        <w:tc>
          <w:tcPr>
            <w:tcW w:w="200" w:type="dxa"/>
            <w:vAlign w:val="bottom"/>
            <w:tcBorders>
              <w:right w:val="single" w:sz="8" w:color="auto"/>
            </w:tcBorders>
          </w:tcPr>
          <w:p>
            <w:pPr>
              <w:spacing w:after="0"/>
              <w:rPr>
                <w:sz w:val="17"/>
                <w:szCs w:val="17"/>
                <w:color w:val="auto"/>
              </w:rPr>
            </w:pPr>
          </w:p>
        </w:tc>
        <w:tc>
          <w:tcPr>
            <w:tcW w:w="57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rémunération additionnelle n'est pas soumise à un vote séparé par</w:t>
            </w:r>
          </w:p>
        </w:tc>
      </w:tr>
      <w:tr>
        <w:trPr>
          <w:trHeight w:val="217"/>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separate vote by the General Meeting.</w:t>
            </w:r>
          </w:p>
        </w:tc>
        <w:tc>
          <w:tcPr>
            <w:tcW w:w="200" w:type="dxa"/>
            <w:vAlign w:val="bottom"/>
            <w:tcBorders>
              <w:right w:val="single" w:sz="8" w:color="auto"/>
            </w:tcBorders>
          </w:tcPr>
          <w:p>
            <w:pPr>
              <w:spacing w:after="0"/>
              <w:rPr>
                <w:sz w:val="18"/>
                <w:szCs w:val="18"/>
                <w:color w:val="auto"/>
              </w:rPr>
            </w:pPr>
          </w:p>
        </w:tc>
        <w:tc>
          <w:tcPr>
            <w:tcW w:w="5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l'assemblée générale.</w:t>
            </w:r>
          </w:p>
        </w:tc>
      </w:tr>
      <w:tr>
        <w:trPr>
          <w:trHeight w:val="256"/>
        </w:trPr>
        <w:tc>
          <w:tcPr>
            <w:tcW w:w="5260" w:type="dxa"/>
            <w:vAlign w:val="bottom"/>
            <w:tcBorders>
              <w:left w:val="single" w:sz="8" w:color="auto"/>
              <w:bottom w:val="single" w:sz="8" w:color="auto"/>
              <w:right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5780" w:type="dxa"/>
            <w:vAlign w:val="bottom"/>
            <w:tcBorders>
              <w:bottom w:val="single" w:sz="8" w:color="auto"/>
              <w:right w:val="single" w:sz="8" w:color="auto"/>
            </w:tcBorders>
          </w:tcPr>
          <w:p>
            <w:pPr>
              <w:spacing w:after="0"/>
              <w:rPr>
                <w:sz w:val="22"/>
                <w:szCs w:val="22"/>
                <w:color w:val="auto"/>
              </w:rPr>
            </w:pPr>
          </w:p>
        </w:tc>
      </w:tr>
      <w:tr>
        <w:trPr>
          <w:trHeight w:val="277"/>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36 Compensation Agreements</w:t>
            </w:r>
          </w:p>
        </w:tc>
        <w:tc>
          <w:tcPr>
            <w:tcW w:w="200" w:type="dxa"/>
            <w:vAlign w:val="bottom"/>
            <w:tcBorders>
              <w:right w:val="single" w:sz="8" w:color="auto"/>
            </w:tcBorders>
          </w:tcPr>
          <w:p>
            <w:pPr>
              <w:spacing w:after="0"/>
              <w:rPr>
                <w:sz w:val="24"/>
                <w:szCs w:val="24"/>
                <w:color w:val="auto"/>
              </w:rPr>
            </w:pPr>
          </w:p>
        </w:tc>
        <w:tc>
          <w:tcPr>
            <w:tcW w:w="57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36 Accords sur la rémunération</w:t>
            </w:r>
          </w:p>
        </w:tc>
      </w:tr>
      <w:tr>
        <w:trPr>
          <w:trHeight w:val="391"/>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Agreements on compensation with members of the Board of</w:t>
            </w:r>
          </w:p>
        </w:tc>
        <w:tc>
          <w:tcPr>
            <w:tcW w:w="200" w:type="dxa"/>
            <w:vAlign w:val="bottom"/>
            <w:tcBorders>
              <w:right w:val="single" w:sz="8" w:color="auto"/>
            </w:tcBorders>
          </w:tcPr>
          <w:p>
            <w:pPr>
              <w:spacing w:after="0"/>
              <w:rPr>
                <w:sz w:val="24"/>
                <w:szCs w:val="24"/>
                <w:color w:val="auto"/>
              </w:rPr>
            </w:pPr>
          </w:p>
        </w:tc>
        <w:tc>
          <w:tcPr>
            <w:tcW w:w="5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accords  sur  la  rémunération  des  membres  du  conseil</w:t>
            </w:r>
          </w:p>
        </w:tc>
      </w:tr>
      <w:tr>
        <w:trPr>
          <w:trHeight w:val="203"/>
        </w:trPr>
        <w:tc>
          <w:tcPr>
            <w:tcW w:w="52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Directors may not exceed the term of maximal one year.</w:t>
            </w:r>
          </w:p>
        </w:tc>
        <w:tc>
          <w:tcPr>
            <w:tcW w:w="200" w:type="dxa"/>
            <w:vAlign w:val="bottom"/>
            <w:tcBorders>
              <w:right w:val="single" w:sz="8" w:color="auto"/>
            </w:tcBorders>
          </w:tcPr>
          <w:p>
            <w:pPr>
              <w:spacing w:after="0"/>
              <w:rPr>
                <w:sz w:val="17"/>
                <w:szCs w:val="17"/>
                <w:color w:val="auto"/>
              </w:rPr>
            </w:pPr>
          </w:p>
        </w:tc>
        <w:tc>
          <w:tcPr>
            <w:tcW w:w="57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ne peuvent pas excéder la durée maximale d'une</w:t>
            </w:r>
          </w:p>
        </w:tc>
      </w:tr>
      <w:tr>
        <w:trPr>
          <w:trHeight w:val="217"/>
        </w:trPr>
        <w:tc>
          <w:tcPr>
            <w:tcW w:w="5260" w:type="dxa"/>
            <w:vAlign w:val="bottom"/>
            <w:tcBorders>
              <w:left w:val="single" w:sz="8" w:color="auto"/>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5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année.</w:t>
            </w:r>
          </w:p>
        </w:tc>
      </w:tr>
      <w:tr>
        <w:trPr>
          <w:trHeight w:val="257"/>
        </w:trPr>
        <w:tc>
          <w:tcPr>
            <w:tcW w:w="5260" w:type="dxa"/>
            <w:vAlign w:val="bottom"/>
            <w:tcBorders>
              <w:left w:val="single" w:sz="8" w:color="auto"/>
              <w:bottom w:val="single" w:sz="8" w:color="auto"/>
              <w:right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5780" w:type="dxa"/>
            <w:vAlign w:val="bottom"/>
            <w:tcBorders>
              <w:bottom w:val="single" w:sz="8" w:color="auto"/>
              <w:right w:val="single" w:sz="8" w:color="auto"/>
            </w:tcBorders>
          </w:tcPr>
          <w:p>
            <w:pPr>
              <w:spacing w:after="0"/>
              <w:rPr>
                <w:sz w:val="22"/>
                <w:szCs w:val="22"/>
                <w:color w:val="auto"/>
              </w:rPr>
            </w:pPr>
          </w:p>
        </w:tc>
      </w:tr>
      <w:tr>
        <w:trPr>
          <w:trHeight w:val="263"/>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Employment agreements of the members of the Executive</w:t>
            </w:r>
          </w:p>
        </w:tc>
        <w:tc>
          <w:tcPr>
            <w:tcW w:w="200" w:type="dxa"/>
            <w:vAlign w:val="bottom"/>
            <w:tcBorders>
              <w:right w:val="single" w:sz="8" w:color="auto"/>
            </w:tcBorders>
          </w:tcPr>
          <w:p>
            <w:pPr>
              <w:spacing w:after="0"/>
              <w:rPr>
                <w:sz w:val="22"/>
                <w:szCs w:val="22"/>
                <w:color w:val="auto"/>
              </w:rPr>
            </w:pPr>
          </w:p>
        </w:tc>
        <w:tc>
          <w:tcPr>
            <w:tcW w:w="5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contrats  de  travail  des  membres  du  comité  exécutif  sont</w:t>
            </w:r>
          </w:p>
        </w:tc>
      </w:tr>
      <w:tr>
        <w:trPr>
          <w:trHeight w:val="202"/>
        </w:trPr>
        <w:tc>
          <w:tcPr>
            <w:tcW w:w="52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Committee are principally concluded for an indefinite period of</w:t>
            </w:r>
          </w:p>
        </w:tc>
        <w:tc>
          <w:tcPr>
            <w:tcW w:w="200" w:type="dxa"/>
            <w:vAlign w:val="bottom"/>
            <w:tcBorders>
              <w:right w:val="single" w:sz="8" w:color="auto"/>
            </w:tcBorders>
          </w:tcPr>
          <w:p>
            <w:pPr>
              <w:spacing w:after="0"/>
              <w:rPr>
                <w:sz w:val="17"/>
                <w:szCs w:val="17"/>
                <w:color w:val="auto"/>
              </w:rPr>
            </w:pPr>
          </w:p>
        </w:tc>
        <w:tc>
          <w:tcPr>
            <w:tcW w:w="57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principalement conclus pour une durée indéterminée. Un délai de</w:t>
            </w:r>
          </w:p>
        </w:tc>
      </w:tr>
      <w:tr>
        <w:trPr>
          <w:trHeight w:val="203"/>
        </w:trPr>
        <w:tc>
          <w:tcPr>
            <w:tcW w:w="52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time whereas a notice period may not exceed 12 months. If an</w:t>
            </w:r>
          </w:p>
        </w:tc>
        <w:tc>
          <w:tcPr>
            <w:tcW w:w="200" w:type="dxa"/>
            <w:vAlign w:val="bottom"/>
            <w:tcBorders>
              <w:right w:val="single" w:sz="8" w:color="auto"/>
            </w:tcBorders>
          </w:tcPr>
          <w:p>
            <w:pPr>
              <w:spacing w:after="0"/>
              <w:rPr>
                <w:sz w:val="17"/>
                <w:szCs w:val="17"/>
                <w:color w:val="auto"/>
              </w:rPr>
            </w:pPr>
          </w:p>
        </w:tc>
        <w:tc>
          <w:tcPr>
            <w:tcW w:w="57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préavis ne peut pas excéder 12 mois. Si un accord de travail est</w:t>
            </w:r>
          </w:p>
        </w:tc>
      </w:tr>
      <w:tr>
        <w:trPr>
          <w:trHeight w:val="203"/>
        </w:trPr>
        <w:tc>
          <w:tcPr>
            <w:tcW w:w="526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employment agreement is concluded for a fixed term such term</w:t>
            </w:r>
          </w:p>
        </w:tc>
        <w:tc>
          <w:tcPr>
            <w:tcW w:w="200" w:type="dxa"/>
            <w:vAlign w:val="bottom"/>
            <w:tcBorders>
              <w:right w:val="single" w:sz="8" w:color="auto"/>
            </w:tcBorders>
          </w:tcPr>
          <w:p>
            <w:pPr>
              <w:spacing w:after="0"/>
              <w:rPr>
                <w:sz w:val="17"/>
                <w:szCs w:val="17"/>
                <w:color w:val="auto"/>
              </w:rPr>
            </w:pPr>
          </w:p>
        </w:tc>
        <w:tc>
          <w:tcPr>
            <w:tcW w:w="57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conclu pour une durée déterminée, telle durée ne peut pas excéder un</w:t>
            </w:r>
          </w:p>
        </w:tc>
      </w:tr>
      <w:tr>
        <w:trPr>
          <w:trHeight w:val="217"/>
        </w:trPr>
        <w:tc>
          <w:tcPr>
            <w:tcW w:w="5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may not exceed one year.</w:t>
            </w:r>
          </w:p>
        </w:tc>
        <w:tc>
          <w:tcPr>
            <w:tcW w:w="200" w:type="dxa"/>
            <w:vAlign w:val="bottom"/>
            <w:tcBorders>
              <w:right w:val="single" w:sz="8" w:color="auto"/>
            </w:tcBorders>
          </w:tcPr>
          <w:p>
            <w:pPr>
              <w:spacing w:after="0"/>
              <w:rPr>
                <w:sz w:val="18"/>
                <w:szCs w:val="18"/>
                <w:color w:val="auto"/>
              </w:rPr>
            </w:pPr>
          </w:p>
        </w:tc>
        <w:tc>
          <w:tcPr>
            <w:tcW w:w="57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an.</w:t>
            </w:r>
          </w:p>
        </w:tc>
      </w:tr>
      <w:tr>
        <w:trPr>
          <w:trHeight w:val="54"/>
        </w:trPr>
        <w:tc>
          <w:tcPr>
            <w:tcW w:w="5260" w:type="dxa"/>
            <w:vAlign w:val="bottom"/>
            <w:tcBorders>
              <w:left w:val="single" w:sz="8" w:color="auto"/>
              <w:bottom w:val="single" w:sz="8" w:color="auto"/>
              <w:right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780" w:type="dxa"/>
            <w:vAlign w:val="bottom"/>
            <w:tcBorders>
              <w:bottom w:val="single" w:sz="8" w:color="auto"/>
              <w:right w:val="single" w:sz="8" w:color="auto"/>
            </w:tcBorders>
          </w:tcPr>
          <w:p>
            <w:pPr>
              <w:spacing w:after="0"/>
              <w:rPr>
                <w:sz w:val="4"/>
                <w:szCs w:val="4"/>
                <w:color w:val="auto"/>
              </w:rPr>
            </w:pPr>
          </w:p>
        </w:tc>
      </w:tr>
      <w:tr>
        <w:trPr>
          <w:trHeight w:val="345"/>
        </w:trPr>
        <w:tc>
          <w:tcPr>
            <w:tcW w:w="5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68" w:name="page69"/>
    <w:bookmarkEnd w:id="6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94"/>
        </w:trPr>
        <w:tc>
          <w:tcPr>
            <w:tcW w:w="56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36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5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37 Mandates of a Member of the Board of Directors outside</w:t>
            </w:r>
          </w:p>
        </w:tc>
        <w:tc>
          <w:tcPr>
            <w:tcW w:w="200" w:type="dxa"/>
            <w:vAlign w:val="bottom"/>
            <w:tcBorders>
              <w:right w:val="single" w:sz="8" w:color="auto"/>
            </w:tcBorders>
          </w:tcPr>
          <w:p>
            <w:pPr>
              <w:spacing w:after="0"/>
              <w:rPr>
                <w:sz w:val="20"/>
                <w:szCs w:val="20"/>
                <w:color w:val="auto"/>
              </w:rPr>
            </w:pPr>
          </w:p>
        </w:tc>
        <w:tc>
          <w:tcPr>
            <w:tcW w:w="53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37 Mandats d'un membre du conseil d'administration de</w:t>
            </w:r>
          </w:p>
        </w:tc>
        <w:tc>
          <w:tcPr>
            <w:tcW w:w="0" w:type="dxa"/>
            <w:vAlign w:val="bottom"/>
          </w:tcPr>
          <w:p>
            <w:pPr>
              <w:spacing w:after="0"/>
              <w:rPr>
                <w:sz w:val="1"/>
                <w:szCs w:val="1"/>
                <w:color w:val="auto"/>
              </w:rPr>
            </w:pPr>
          </w:p>
        </w:tc>
      </w:tr>
      <w:tr>
        <w:trPr>
          <w:trHeight w:val="239"/>
        </w:trPr>
        <w:tc>
          <w:tcPr>
            <w:tcW w:w="5680" w:type="dxa"/>
            <w:vAlign w:val="bottom"/>
            <w:tcBorders>
              <w:left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the Company</w:t>
            </w:r>
          </w:p>
        </w:tc>
        <w:tc>
          <w:tcPr>
            <w:tcW w:w="2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040" w:type="dxa"/>
            <w:vAlign w:val="bottom"/>
            <w:tcBorders>
              <w:right w:val="single" w:sz="8" w:color="auto"/>
            </w:tcBorders>
          </w:tcPr>
          <w:p>
            <w:pPr>
              <w:ind w:left="380"/>
              <w:spacing w:after="0"/>
              <w:rPr>
                <w:sz w:val="20"/>
                <w:szCs w:val="20"/>
                <w:color w:val="auto"/>
              </w:rPr>
            </w:pPr>
            <w:r>
              <w:rPr>
                <w:rFonts w:ascii="Arial" w:cs="Arial" w:eastAsia="Arial" w:hAnsi="Arial"/>
                <w:sz w:val="18"/>
                <w:szCs w:val="18"/>
                <w:b w:val="1"/>
                <w:bCs w:val="1"/>
                <w:color w:val="auto"/>
              </w:rPr>
              <w:t>la société</w:t>
            </w:r>
          </w:p>
        </w:tc>
        <w:tc>
          <w:tcPr>
            <w:tcW w:w="0" w:type="dxa"/>
            <w:vAlign w:val="bottom"/>
          </w:tcPr>
          <w:p>
            <w:pPr>
              <w:spacing w:after="0"/>
              <w:rPr>
                <w:sz w:val="1"/>
                <w:szCs w:val="1"/>
                <w:color w:val="auto"/>
              </w:rPr>
            </w:pPr>
          </w:p>
        </w:tc>
      </w:tr>
      <w:tr>
        <w:trPr>
          <w:trHeight w:val="391"/>
        </w:trPr>
        <w:tc>
          <w:tcPr>
            <w:tcW w:w="5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 member of the Board of Directors may cumulatively assume not</w:t>
            </w:r>
          </w:p>
        </w:tc>
        <w:tc>
          <w:tcPr>
            <w:tcW w:w="200" w:type="dxa"/>
            <w:vAlign w:val="bottom"/>
            <w:tcBorders>
              <w:right w:val="single" w:sz="8" w:color="auto"/>
            </w:tcBorders>
          </w:tcPr>
          <w:p>
            <w:pPr>
              <w:spacing w:after="0"/>
              <w:rPr>
                <w:sz w:val="24"/>
                <w:szCs w:val="24"/>
                <w:color w:val="auto"/>
              </w:rPr>
            </w:pPr>
          </w:p>
        </w:tc>
        <w:tc>
          <w:tcPr>
            <w:tcW w:w="53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Un membre du conseil d'administration ne peut pas cumuler plus</w:t>
            </w:r>
          </w:p>
        </w:tc>
        <w:tc>
          <w:tcPr>
            <w:tcW w:w="0" w:type="dxa"/>
            <w:vAlign w:val="bottom"/>
          </w:tcPr>
          <w:p>
            <w:pPr>
              <w:spacing w:after="0"/>
              <w:rPr>
                <w:sz w:val="1"/>
                <w:szCs w:val="1"/>
                <w:color w:val="auto"/>
              </w:rPr>
            </w:pPr>
          </w:p>
        </w:tc>
      </w:tr>
      <w:tr>
        <w:trPr>
          <w:trHeight w:val="203"/>
        </w:trPr>
        <w:tc>
          <w:tcPr>
            <w:tcW w:w="568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more  than  the  following  number  of  mandates  in  the  board  of</w:t>
            </w:r>
          </w:p>
        </w:tc>
        <w:tc>
          <w:tcPr>
            <w:tcW w:w="20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que  le  nombre  suivant  de  mandats  dans  un  conseil</w:t>
            </w:r>
          </w:p>
        </w:tc>
        <w:tc>
          <w:tcPr>
            <w:tcW w:w="0" w:type="dxa"/>
            <w:vAlign w:val="bottom"/>
          </w:tcPr>
          <w:p>
            <w:pPr>
              <w:spacing w:after="0"/>
              <w:rPr>
                <w:sz w:val="1"/>
                <w:szCs w:val="1"/>
                <w:color w:val="auto"/>
              </w:rPr>
            </w:pPr>
          </w:p>
        </w:tc>
      </w:tr>
      <w:tr>
        <w:trPr>
          <w:trHeight w:val="203"/>
        </w:trPr>
        <w:tc>
          <w:tcPr>
            <w:tcW w:w="568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directors, the superior management or an administrative body of a</w:t>
            </w:r>
          </w:p>
        </w:tc>
        <w:tc>
          <w:tcPr>
            <w:tcW w:w="20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d'administration,  une  direction  supérieure  ou  un  organisme</w:t>
            </w:r>
          </w:p>
        </w:tc>
        <w:tc>
          <w:tcPr>
            <w:tcW w:w="0" w:type="dxa"/>
            <w:vAlign w:val="bottom"/>
          </w:tcPr>
          <w:p>
            <w:pPr>
              <w:spacing w:after="0"/>
              <w:rPr>
                <w:sz w:val="1"/>
                <w:szCs w:val="1"/>
                <w:color w:val="auto"/>
              </w:rPr>
            </w:pPr>
          </w:p>
        </w:tc>
      </w:tr>
      <w:tr>
        <w:trPr>
          <w:trHeight w:val="203"/>
        </w:trPr>
        <w:tc>
          <w:tcPr>
            <w:tcW w:w="568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legal entity which is obliged to be registered in the Swiss commercial</w:t>
            </w:r>
          </w:p>
        </w:tc>
        <w:tc>
          <w:tcPr>
            <w:tcW w:w="20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administratif d'une personne morale qui est obligée d'être inscrite</w:t>
            </w:r>
          </w:p>
        </w:tc>
        <w:tc>
          <w:tcPr>
            <w:tcW w:w="0" w:type="dxa"/>
            <w:vAlign w:val="bottom"/>
          </w:tcPr>
          <w:p>
            <w:pPr>
              <w:spacing w:after="0"/>
              <w:rPr>
                <w:sz w:val="1"/>
                <w:szCs w:val="1"/>
                <w:color w:val="auto"/>
              </w:rPr>
            </w:pPr>
          </w:p>
        </w:tc>
      </w:tr>
      <w:tr>
        <w:trPr>
          <w:trHeight w:val="203"/>
        </w:trPr>
        <w:tc>
          <w:tcPr>
            <w:tcW w:w="568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register or an equivalent foreign register:</w:t>
            </w:r>
          </w:p>
        </w:tc>
        <w:tc>
          <w:tcPr>
            <w:tcW w:w="20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au  registre  du  commerce  suisse  ou  un  registre  étranger</w:t>
            </w:r>
          </w:p>
        </w:tc>
        <w:tc>
          <w:tcPr>
            <w:tcW w:w="0" w:type="dxa"/>
            <w:vAlign w:val="bottom"/>
          </w:tcPr>
          <w:p>
            <w:pPr>
              <w:spacing w:after="0"/>
              <w:rPr>
                <w:sz w:val="1"/>
                <w:szCs w:val="1"/>
                <w:color w:val="auto"/>
              </w:rPr>
            </w:pPr>
          </w:p>
        </w:tc>
      </w:tr>
      <w:tr>
        <w:trPr>
          <w:trHeight w:val="217"/>
        </w:trPr>
        <w:tc>
          <w:tcPr>
            <w:tcW w:w="56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a)   7 mandates for publicly traded companies pursuant to art. 727</w:t>
            </w:r>
          </w:p>
        </w:tc>
        <w:tc>
          <w:tcPr>
            <w:tcW w:w="200" w:type="dxa"/>
            <w:vAlign w:val="bottom"/>
            <w:tcBorders>
              <w:right w:val="single" w:sz="8" w:color="auto"/>
            </w:tcBorders>
          </w:tcPr>
          <w:p>
            <w:pPr>
              <w:spacing w:after="0"/>
              <w:rPr>
                <w:sz w:val="18"/>
                <w:szCs w:val="18"/>
                <w:color w:val="auto"/>
              </w:rPr>
            </w:pPr>
          </w:p>
        </w:tc>
        <w:tc>
          <w:tcPr>
            <w:tcW w:w="53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équivalent:</w:t>
            </w:r>
          </w:p>
        </w:tc>
        <w:tc>
          <w:tcPr>
            <w:tcW w:w="0" w:type="dxa"/>
            <w:vAlign w:val="bottom"/>
          </w:tcPr>
          <w:p>
            <w:pPr>
              <w:spacing w:after="0"/>
              <w:rPr>
                <w:sz w:val="1"/>
                <w:szCs w:val="1"/>
                <w:color w:val="auto"/>
              </w:rPr>
            </w:pPr>
          </w:p>
        </w:tc>
      </w:tr>
      <w:tr>
        <w:trPr>
          <w:trHeight w:val="188"/>
        </w:trPr>
        <w:tc>
          <w:tcPr>
            <w:tcW w:w="5680" w:type="dxa"/>
            <w:vAlign w:val="bottom"/>
            <w:tcBorders>
              <w:left w:val="single" w:sz="8" w:color="auto"/>
              <w:right w:val="single" w:sz="8" w:color="auto"/>
            </w:tcBorders>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80" w:type="dxa"/>
            <w:vAlign w:val="bottom"/>
            <w:tcBorders>
              <w:left w:val="single" w:sz="8" w:color="auto"/>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para. 1 number 1 CO; and</w:t>
            </w:r>
          </w:p>
        </w:tc>
        <w:tc>
          <w:tcPr>
            <w:tcW w:w="200" w:type="dxa"/>
            <w:vAlign w:val="bottom"/>
            <w:tcBorders>
              <w:right w:val="single" w:sz="8" w:color="auto"/>
            </w:tcBorders>
          </w:tcPr>
          <w:p>
            <w:pPr>
              <w:spacing w:after="0"/>
              <w:rPr>
                <w:sz w:val="17"/>
                <w:szCs w:val="17"/>
                <w:color w:val="auto"/>
              </w:rPr>
            </w:pPr>
          </w:p>
        </w:tc>
        <w:tc>
          <w:tcPr>
            <w:tcW w:w="320" w:type="dxa"/>
            <w:vAlign w:val="bottom"/>
          </w:tcPr>
          <w:p>
            <w:pPr>
              <w:ind w:left="60"/>
              <w:spacing w:after="0" w:line="202" w:lineRule="exact"/>
              <w:rPr>
                <w:sz w:val="20"/>
                <w:szCs w:val="20"/>
                <w:color w:val="auto"/>
              </w:rPr>
            </w:pPr>
            <w:r>
              <w:rPr>
                <w:rFonts w:ascii="Arial" w:cs="Arial" w:eastAsia="Arial" w:hAnsi="Arial"/>
                <w:sz w:val="18"/>
                <w:szCs w:val="18"/>
                <w:color w:val="auto"/>
              </w:rPr>
              <w:t>a)</w:t>
            </w:r>
          </w:p>
        </w:tc>
        <w:tc>
          <w:tcPr>
            <w:tcW w:w="50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7 mandats pour les entreprises cotées en bourse selon</w:t>
            </w:r>
          </w:p>
        </w:tc>
        <w:tc>
          <w:tcPr>
            <w:tcW w:w="0" w:type="dxa"/>
            <w:vAlign w:val="bottom"/>
          </w:tcPr>
          <w:p>
            <w:pPr>
              <w:spacing w:after="0"/>
              <w:rPr>
                <w:sz w:val="1"/>
                <w:szCs w:val="1"/>
                <w:color w:val="auto"/>
              </w:rPr>
            </w:pPr>
          </w:p>
        </w:tc>
      </w:tr>
      <w:tr>
        <w:trPr>
          <w:trHeight w:val="217"/>
        </w:trPr>
        <w:tc>
          <w:tcPr>
            <w:tcW w:w="56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b)   8 mandates for companies pursuant to art. 727 para. 1 number</w:t>
            </w:r>
          </w:p>
        </w:tc>
        <w:tc>
          <w:tcPr>
            <w:tcW w:w="2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l'art. 727 al. 1 chiffre 1 CO; et</w:t>
            </w:r>
          </w:p>
        </w:tc>
        <w:tc>
          <w:tcPr>
            <w:tcW w:w="0" w:type="dxa"/>
            <w:vAlign w:val="bottom"/>
          </w:tcPr>
          <w:p>
            <w:pPr>
              <w:spacing w:after="0"/>
              <w:rPr>
                <w:sz w:val="1"/>
                <w:szCs w:val="1"/>
                <w:color w:val="auto"/>
              </w:rPr>
            </w:pPr>
          </w:p>
        </w:tc>
      </w:tr>
      <w:tr>
        <w:trPr>
          <w:trHeight w:val="188"/>
        </w:trPr>
        <w:tc>
          <w:tcPr>
            <w:tcW w:w="5680" w:type="dxa"/>
            <w:vAlign w:val="bottom"/>
            <w:tcBorders>
              <w:left w:val="single" w:sz="8" w:color="auto"/>
              <w:right w:val="single" w:sz="8" w:color="auto"/>
            </w:tcBorders>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80" w:type="dxa"/>
            <w:vAlign w:val="bottom"/>
            <w:tcBorders>
              <w:left w:val="single" w:sz="8" w:color="auto"/>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2 CO; and</w:t>
            </w:r>
          </w:p>
        </w:tc>
        <w:tc>
          <w:tcPr>
            <w:tcW w:w="20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b)   8 mandats pour des entreprises selon l'art. 727 al. 1 chiffre</w:t>
            </w:r>
          </w:p>
        </w:tc>
        <w:tc>
          <w:tcPr>
            <w:tcW w:w="0" w:type="dxa"/>
            <w:vAlign w:val="bottom"/>
          </w:tcPr>
          <w:p>
            <w:pPr>
              <w:spacing w:after="0"/>
              <w:rPr>
                <w:sz w:val="1"/>
                <w:szCs w:val="1"/>
                <w:color w:val="auto"/>
              </w:rPr>
            </w:pPr>
          </w:p>
        </w:tc>
      </w:tr>
      <w:tr>
        <w:trPr>
          <w:trHeight w:val="217"/>
        </w:trPr>
        <w:tc>
          <w:tcPr>
            <w:tcW w:w="568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color w:val="auto"/>
              </w:rPr>
              <w:t>c)   5 mandates for companies which do not fulfil the criteria under</w:t>
            </w:r>
          </w:p>
        </w:tc>
        <w:tc>
          <w:tcPr>
            <w:tcW w:w="2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0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 CO; et</w:t>
            </w:r>
          </w:p>
        </w:tc>
        <w:tc>
          <w:tcPr>
            <w:tcW w:w="0" w:type="dxa"/>
            <w:vAlign w:val="bottom"/>
          </w:tcPr>
          <w:p>
            <w:pPr>
              <w:spacing w:after="0"/>
              <w:rPr>
                <w:sz w:val="1"/>
                <w:szCs w:val="1"/>
                <w:color w:val="auto"/>
              </w:rPr>
            </w:pPr>
          </w:p>
        </w:tc>
      </w:tr>
      <w:tr>
        <w:trPr>
          <w:trHeight w:val="188"/>
        </w:trPr>
        <w:tc>
          <w:tcPr>
            <w:tcW w:w="5680" w:type="dxa"/>
            <w:vAlign w:val="bottom"/>
            <w:tcBorders>
              <w:left w:val="single" w:sz="8" w:color="auto"/>
              <w:right w:val="single" w:sz="8" w:color="auto"/>
            </w:tcBorders>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80" w:type="dxa"/>
            <w:vAlign w:val="bottom"/>
            <w:tcBorders>
              <w:left w:val="single" w:sz="8" w:color="auto"/>
              <w:right w:val="single" w:sz="8" w:color="auto"/>
            </w:tcBorders>
          </w:tcPr>
          <w:p>
            <w:pPr>
              <w:ind w:left="480"/>
              <w:spacing w:after="0" w:line="202" w:lineRule="exact"/>
              <w:rPr>
                <w:sz w:val="20"/>
                <w:szCs w:val="20"/>
                <w:color w:val="auto"/>
              </w:rPr>
            </w:pPr>
            <w:r>
              <w:rPr>
                <w:rFonts w:ascii="Arial" w:cs="Arial" w:eastAsia="Arial" w:hAnsi="Arial"/>
                <w:sz w:val="18"/>
                <w:szCs w:val="18"/>
                <w:color w:val="auto"/>
              </w:rPr>
              <w:t>a) and b) above.</w:t>
            </w:r>
          </w:p>
        </w:tc>
        <w:tc>
          <w:tcPr>
            <w:tcW w:w="200" w:type="dxa"/>
            <w:vAlign w:val="bottom"/>
            <w:tcBorders>
              <w:right w:val="single" w:sz="8" w:color="auto"/>
            </w:tcBorders>
          </w:tcPr>
          <w:p>
            <w:pPr>
              <w:spacing w:after="0"/>
              <w:rPr>
                <w:sz w:val="17"/>
                <w:szCs w:val="17"/>
                <w:color w:val="auto"/>
              </w:rPr>
            </w:pPr>
          </w:p>
        </w:tc>
        <w:tc>
          <w:tcPr>
            <w:tcW w:w="320" w:type="dxa"/>
            <w:vAlign w:val="bottom"/>
          </w:tcPr>
          <w:p>
            <w:pPr>
              <w:ind w:left="60"/>
              <w:spacing w:after="0" w:line="202" w:lineRule="exact"/>
              <w:rPr>
                <w:sz w:val="20"/>
                <w:szCs w:val="20"/>
                <w:color w:val="auto"/>
              </w:rPr>
            </w:pPr>
            <w:r>
              <w:rPr>
                <w:rFonts w:ascii="Arial" w:cs="Arial" w:eastAsia="Arial" w:hAnsi="Arial"/>
                <w:sz w:val="18"/>
                <w:szCs w:val="18"/>
                <w:color w:val="auto"/>
              </w:rPr>
              <w:t>c)</w:t>
            </w:r>
          </w:p>
        </w:tc>
        <w:tc>
          <w:tcPr>
            <w:tcW w:w="5040" w:type="dxa"/>
            <w:vAlign w:val="bottom"/>
            <w:tcBorders>
              <w:right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 mandats pour les entreprises qui ne remplissent pas les</w:t>
            </w:r>
          </w:p>
        </w:tc>
        <w:tc>
          <w:tcPr>
            <w:tcW w:w="0" w:type="dxa"/>
            <w:vAlign w:val="bottom"/>
          </w:tcPr>
          <w:p>
            <w:pPr>
              <w:spacing w:after="0"/>
              <w:rPr>
                <w:sz w:val="1"/>
                <w:szCs w:val="1"/>
                <w:color w:val="auto"/>
              </w:rPr>
            </w:pPr>
          </w:p>
        </w:tc>
      </w:tr>
      <w:tr>
        <w:trPr>
          <w:trHeight w:val="217"/>
        </w:trPr>
        <w:tc>
          <w:tcPr>
            <w:tcW w:w="5680" w:type="dxa"/>
            <w:vAlign w:val="bottom"/>
            <w:tcBorders>
              <w:left w:val="single" w:sz="8" w:color="auto"/>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critères sous a) et b) ci-dessus.</w:t>
            </w:r>
          </w:p>
        </w:tc>
        <w:tc>
          <w:tcPr>
            <w:tcW w:w="0" w:type="dxa"/>
            <w:vAlign w:val="bottom"/>
          </w:tcPr>
          <w:p>
            <w:pPr>
              <w:spacing w:after="0"/>
              <w:rPr>
                <w:sz w:val="1"/>
                <w:szCs w:val="1"/>
                <w:color w:val="auto"/>
              </w:rPr>
            </w:pPr>
          </w:p>
        </w:tc>
      </w:tr>
      <w:tr>
        <w:trPr>
          <w:trHeight w:val="256"/>
        </w:trPr>
        <w:tc>
          <w:tcPr>
            <w:tcW w:w="5680" w:type="dxa"/>
            <w:vAlign w:val="bottom"/>
            <w:tcBorders>
              <w:left w:val="single" w:sz="8" w:color="auto"/>
              <w:bottom w:val="single" w:sz="8" w:color="auto"/>
              <w:right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53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Mandates held in several legal entities each operating under the</w:t>
            </w:r>
          </w:p>
        </w:tc>
        <w:tc>
          <w:tcPr>
            <w:tcW w:w="200" w:type="dxa"/>
            <w:vAlign w:val="bottom"/>
            <w:tcBorders>
              <w:right w:val="single" w:sz="8" w:color="auto"/>
            </w:tcBorders>
          </w:tcPr>
          <w:p>
            <w:pPr>
              <w:spacing w:after="0"/>
              <w:rPr>
                <w:sz w:val="22"/>
                <w:szCs w:val="22"/>
                <w:color w:val="auto"/>
              </w:rPr>
            </w:pPr>
          </w:p>
        </w:tc>
        <w:tc>
          <w:tcPr>
            <w:tcW w:w="53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mandats exercés dans plusieurs entités juridiques opérant</w:t>
            </w:r>
          </w:p>
        </w:tc>
        <w:tc>
          <w:tcPr>
            <w:tcW w:w="0" w:type="dxa"/>
            <w:vAlign w:val="bottom"/>
          </w:tcPr>
          <w:p>
            <w:pPr>
              <w:spacing w:after="0"/>
              <w:rPr>
                <w:sz w:val="1"/>
                <w:szCs w:val="1"/>
                <w:color w:val="auto"/>
              </w:rPr>
            </w:pPr>
          </w:p>
        </w:tc>
      </w:tr>
      <w:tr>
        <w:trPr>
          <w:trHeight w:val="203"/>
        </w:trPr>
        <w:tc>
          <w:tcPr>
            <w:tcW w:w="568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same management or same beneficial owner (group) are deemed to</w:t>
            </w:r>
          </w:p>
        </w:tc>
        <w:tc>
          <w:tcPr>
            <w:tcW w:w="20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chacune sous la même direction ou le même bénéficiaire effectif</w:t>
            </w:r>
          </w:p>
        </w:tc>
        <w:tc>
          <w:tcPr>
            <w:tcW w:w="0" w:type="dxa"/>
            <w:vAlign w:val="bottom"/>
          </w:tcPr>
          <w:p>
            <w:pPr>
              <w:spacing w:after="0"/>
              <w:rPr>
                <w:sz w:val="1"/>
                <w:szCs w:val="1"/>
                <w:color w:val="auto"/>
              </w:rPr>
            </w:pPr>
          </w:p>
        </w:tc>
      </w:tr>
      <w:tr>
        <w:trPr>
          <w:trHeight w:val="217"/>
        </w:trPr>
        <w:tc>
          <w:tcPr>
            <w:tcW w:w="5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 a single mandate.</w:t>
            </w:r>
          </w:p>
        </w:tc>
        <w:tc>
          <w:tcPr>
            <w:tcW w:w="200" w:type="dxa"/>
            <w:vAlign w:val="bottom"/>
            <w:tcBorders>
              <w:right w:val="single" w:sz="8" w:color="auto"/>
            </w:tcBorders>
          </w:tcPr>
          <w:p>
            <w:pPr>
              <w:spacing w:after="0"/>
              <w:rPr>
                <w:sz w:val="18"/>
                <w:szCs w:val="18"/>
                <w:color w:val="auto"/>
              </w:rPr>
            </w:pPr>
          </w:p>
        </w:tc>
        <w:tc>
          <w:tcPr>
            <w:tcW w:w="53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(groupe) sont réputés être un seul mandat.</w:t>
            </w:r>
          </w:p>
        </w:tc>
        <w:tc>
          <w:tcPr>
            <w:tcW w:w="0" w:type="dxa"/>
            <w:vAlign w:val="bottom"/>
          </w:tcPr>
          <w:p>
            <w:pPr>
              <w:spacing w:after="0"/>
              <w:rPr>
                <w:sz w:val="1"/>
                <w:szCs w:val="1"/>
                <w:color w:val="auto"/>
              </w:rPr>
            </w:pPr>
          </w:p>
        </w:tc>
      </w:tr>
      <w:tr>
        <w:trPr>
          <w:trHeight w:val="54"/>
        </w:trPr>
        <w:tc>
          <w:tcPr>
            <w:tcW w:w="5680" w:type="dxa"/>
            <w:vAlign w:val="bottom"/>
            <w:tcBorders>
              <w:left w:val="single" w:sz="8" w:color="auto"/>
              <w:bottom w:val="single" w:sz="8" w:color="auto"/>
              <w:right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36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If a legal entity fulfills several of the above mentioned criteria, it can</w:t>
            </w:r>
          </w:p>
        </w:tc>
        <w:tc>
          <w:tcPr>
            <w:tcW w:w="200" w:type="dxa"/>
            <w:vAlign w:val="bottom"/>
            <w:tcBorders>
              <w:right w:val="single" w:sz="8" w:color="auto"/>
            </w:tcBorders>
          </w:tcPr>
          <w:p>
            <w:pPr>
              <w:spacing w:after="0"/>
              <w:rPr>
                <w:sz w:val="22"/>
                <w:szCs w:val="22"/>
                <w:color w:val="auto"/>
              </w:rPr>
            </w:pPr>
          </w:p>
        </w:tc>
        <w:tc>
          <w:tcPr>
            <w:tcW w:w="53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Si une entité juridique remplit plusieurs des critères mentionnés</w:t>
            </w:r>
          </w:p>
        </w:tc>
        <w:tc>
          <w:tcPr>
            <w:tcW w:w="0" w:type="dxa"/>
            <w:vAlign w:val="bottom"/>
          </w:tcPr>
          <w:p>
            <w:pPr>
              <w:spacing w:after="0"/>
              <w:rPr>
                <w:sz w:val="1"/>
                <w:szCs w:val="1"/>
                <w:color w:val="auto"/>
              </w:rPr>
            </w:pPr>
          </w:p>
        </w:tc>
      </w:tr>
      <w:tr>
        <w:trPr>
          <w:trHeight w:val="202"/>
        </w:trPr>
        <w:tc>
          <w:tcPr>
            <w:tcW w:w="568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be freely counted towards any category. The following mandates are</w:t>
            </w:r>
          </w:p>
        </w:tc>
        <w:tc>
          <w:tcPr>
            <w:tcW w:w="20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ci-dessus, elle peut être librement placée dans une catégorie.</w:t>
            </w:r>
          </w:p>
        </w:tc>
        <w:tc>
          <w:tcPr>
            <w:tcW w:w="0" w:type="dxa"/>
            <w:vAlign w:val="bottom"/>
          </w:tcPr>
          <w:p>
            <w:pPr>
              <w:spacing w:after="0"/>
              <w:rPr>
                <w:sz w:val="1"/>
                <w:szCs w:val="1"/>
                <w:color w:val="auto"/>
              </w:rPr>
            </w:pPr>
          </w:p>
        </w:tc>
      </w:tr>
      <w:tr>
        <w:trPr>
          <w:trHeight w:val="217"/>
        </w:trPr>
        <w:tc>
          <w:tcPr>
            <w:tcW w:w="5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excepted from these restrictions:</w:t>
            </w:r>
          </w:p>
        </w:tc>
        <w:tc>
          <w:tcPr>
            <w:tcW w:w="200" w:type="dxa"/>
            <w:vAlign w:val="bottom"/>
            <w:tcBorders>
              <w:right w:val="single" w:sz="8" w:color="auto"/>
            </w:tcBorders>
          </w:tcPr>
          <w:p>
            <w:pPr>
              <w:spacing w:after="0"/>
              <w:rPr>
                <w:sz w:val="18"/>
                <w:szCs w:val="18"/>
                <w:color w:val="auto"/>
              </w:rPr>
            </w:pPr>
          </w:p>
        </w:tc>
        <w:tc>
          <w:tcPr>
            <w:tcW w:w="53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mandats suivants sont exceptés de ces restrictions:</w:t>
            </w:r>
          </w:p>
        </w:tc>
        <w:tc>
          <w:tcPr>
            <w:tcW w:w="0" w:type="dxa"/>
            <w:vAlign w:val="bottom"/>
          </w:tcPr>
          <w:p>
            <w:pPr>
              <w:spacing w:after="0"/>
              <w:rPr>
                <w:sz w:val="1"/>
                <w:szCs w:val="1"/>
                <w:color w:val="auto"/>
              </w:rPr>
            </w:pPr>
          </w:p>
        </w:tc>
      </w:tr>
      <w:tr>
        <w:trPr>
          <w:trHeight w:val="391"/>
        </w:trPr>
        <w:tc>
          <w:tcPr>
            <w:tcW w:w="5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   mandates in legal entities which are controlled by the Company</w:t>
            </w:r>
          </w:p>
        </w:tc>
        <w:tc>
          <w:tcPr>
            <w:tcW w:w="200" w:type="dxa"/>
            <w:vAlign w:val="bottom"/>
            <w:tcBorders>
              <w:right w:val="single" w:sz="8" w:color="auto"/>
            </w:tcBorders>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a)</w:t>
            </w:r>
          </w:p>
        </w:tc>
        <w:tc>
          <w:tcPr>
            <w:tcW w:w="5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les mandats dans des entités juridiques qui sont contrôlées</w:t>
            </w:r>
          </w:p>
        </w:tc>
        <w:tc>
          <w:tcPr>
            <w:tcW w:w="0" w:type="dxa"/>
            <w:vAlign w:val="bottom"/>
          </w:tcPr>
          <w:p>
            <w:pPr>
              <w:spacing w:after="0"/>
              <w:rPr>
                <w:sz w:val="1"/>
                <w:szCs w:val="1"/>
                <w:color w:val="auto"/>
              </w:rPr>
            </w:pPr>
          </w:p>
        </w:tc>
      </w:tr>
      <w:tr>
        <w:trPr>
          <w:trHeight w:val="217"/>
        </w:trPr>
        <w:tc>
          <w:tcPr>
            <w:tcW w:w="5680" w:type="dxa"/>
            <w:vAlign w:val="bottom"/>
            <w:tcBorders>
              <w:left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or which control the Company;</w:t>
            </w:r>
          </w:p>
        </w:tc>
        <w:tc>
          <w:tcPr>
            <w:tcW w:w="2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par la société ou qui contrôlent la société;</w:t>
            </w:r>
          </w:p>
        </w:tc>
        <w:tc>
          <w:tcPr>
            <w:tcW w:w="0" w:type="dxa"/>
            <w:vAlign w:val="bottom"/>
          </w:tcPr>
          <w:p>
            <w:pPr>
              <w:spacing w:after="0"/>
              <w:rPr>
                <w:sz w:val="1"/>
                <w:szCs w:val="1"/>
                <w:color w:val="auto"/>
              </w:rPr>
            </w:pPr>
          </w:p>
        </w:tc>
      </w:tr>
      <w:tr>
        <w:trPr>
          <w:trHeight w:val="391"/>
        </w:trPr>
        <w:tc>
          <w:tcPr>
            <w:tcW w:w="5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  honorary mandates in charitable legal entities.</w:t>
            </w:r>
          </w:p>
        </w:tc>
        <w:tc>
          <w:tcPr>
            <w:tcW w:w="200" w:type="dxa"/>
            <w:vAlign w:val="bottom"/>
            <w:tcBorders>
              <w:right w:val="single" w:sz="8" w:color="auto"/>
            </w:tcBorders>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5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des mandats d'honneur à des personnes morales de</w:t>
            </w:r>
          </w:p>
        </w:tc>
        <w:tc>
          <w:tcPr>
            <w:tcW w:w="0" w:type="dxa"/>
            <w:vAlign w:val="bottom"/>
          </w:tcPr>
          <w:p>
            <w:pPr>
              <w:spacing w:after="0"/>
              <w:rPr>
                <w:sz w:val="1"/>
                <w:szCs w:val="1"/>
                <w:color w:val="auto"/>
              </w:rPr>
            </w:pPr>
          </w:p>
        </w:tc>
      </w:tr>
      <w:tr>
        <w:trPr>
          <w:trHeight w:val="217"/>
        </w:trPr>
        <w:tc>
          <w:tcPr>
            <w:tcW w:w="5680" w:type="dxa"/>
            <w:vAlign w:val="bottom"/>
            <w:tcBorders>
              <w:left w:val="single" w:sz="8" w:color="auto"/>
              <w:righ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bienfaisance.</w:t>
            </w:r>
          </w:p>
        </w:tc>
        <w:tc>
          <w:tcPr>
            <w:tcW w:w="0" w:type="dxa"/>
            <w:vAlign w:val="bottom"/>
          </w:tcPr>
          <w:p>
            <w:pPr>
              <w:spacing w:after="0"/>
              <w:rPr>
                <w:sz w:val="1"/>
                <w:szCs w:val="1"/>
                <w:color w:val="auto"/>
              </w:rPr>
            </w:pPr>
          </w:p>
        </w:tc>
      </w:tr>
      <w:tr>
        <w:trPr>
          <w:trHeight w:val="54"/>
        </w:trPr>
        <w:tc>
          <w:tcPr>
            <w:tcW w:w="5680" w:type="dxa"/>
            <w:vAlign w:val="bottom"/>
            <w:tcBorders>
              <w:left w:val="single" w:sz="8" w:color="auto"/>
              <w:bottom w:val="single" w:sz="8" w:color="auto"/>
              <w:right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536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5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38 Mandates of a Member of the Executive Committee</w:t>
            </w:r>
          </w:p>
        </w:tc>
        <w:tc>
          <w:tcPr>
            <w:tcW w:w="200" w:type="dxa"/>
            <w:vAlign w:val="bottom"/>
            <w:tcBorders>
              <w:right w:val="single" w:sz="8" w:color="auto"/>
            </w:tcBorders>
          </w:tcPr>
          <w:p>
            <w:pPr>
              <w:spacing w:after="0"/>
              <w:rPr>
                <w:sz w:val="20"/>
                <w:szCs w:val="20"/>
                <w:color w:val="auto"/>
              </w:rPr>
            </w:pPr>
          </w:p>
        </w:tc>
        <w:tc>
          <w:tcPr>
            <w:tcW w:w="53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38 Mandats d'un membre du comité exécutif en-dehors</w:t>
            </w:r>
          </w:p>
        </w:tc>
        <w:tc>
          <w:tcPr>
            <w:tcW w:w="0" w:type="dxa"/>
            <w:vAlign w:val="bottom"/>
          </w:tcPr>
          <w:p>
            <w:pPr>
              <w:spacing w:after="0"/>
              <w:rPr>
                <w:sz w:val="1"/>
                <w:szCs w:val="1"/>
                <w:color w:val="auto"/>
              </w:rPr>
            </w:pPr>
          </w:p>
        </w:tc>
      </w:tr>
      <w:tr>
        <w:trPr>
          <w:trHeight w:val="239"/>
        </w:trPr>
        <w:tc>
          <w:tcPr>
            <w:tcW w:w="5680" w:type="dxa"/>
            <w:vAlign w:val="bottom"/>
            <w:tcBorders>
              <w:left w:val="single" w:sz="8" w:color="auto"/>
              <w:right w:val="single" w:sz="8" w:color="auto"/>
            </w:tcBorders>
          </w:tcPr>
          <w:p>
            <w:pPr>
              <w:ind w:left="740"/>
              <w:spacing w:after="0"/>
              <w:rPr>
                <w:sz w:val="20"/>
                <w:szCs w:val="20"/>
                <w:color w:val="auto"/>
              </w:rPr>
            </w:pPr>
            <w:r>
              <w:rPr>
                <w:rFonts w:ascii="Arial" w:cs="Arial" w:eastAsia="Arial" w:hAnsi="Arial"/>
                <w:sz w:val="18"/>
                <w:szCs w:val="18"/>
                <w:b w:val="1"/>
                <w:bCs w:val="1"/>
                <w:color w:val="auto"/>
              </w:rPr>
              <w:t>outside the Company</w:t>
            </w:r>
          </w:p>
        </w:tc>
        <w:tc>
          <w:tcPr>
            <w:tcW w:w="2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040" w:type="dxa"/>
            <w:vAlign w:val="bottom"/>
            <w:tcBorders>
              <w:right w:val="single" w:sz="8" w:color="auto"/>
            </w:tcBorders>
          </w:tcPr>
          <w:p>
            <w:pPr>
              <w:ind w:left="380"/>
              <w:spacing w:after="0"/>
              <w:rPr>
                <w:sz w:val="20"/>
                <w:szCs w:val="20"/>
                <w:color w:val="auto"/>
              </w:rPr>
            </w:pPr>
            <w:r>
              <w:rPr>
                <w:rFonts w:ascii="Arial" w:cs="Arial" w:eastAsia="Arial" w:hAnsi="Arial"/>
                <w:sz w:val="18"/>
                <w:szCs w:val="18"/>
                <w:b w:val="1"/>
                <w:bCs w:val="1"/>
                <w:color w:val="auto"/>
              </w:rPr>
              <w:t>de la société</w:t>
            </w:r>
          </w:p>
        </w:tc>
        <w:tc>
          <w:tcPr>
            <w:tcW w:w="0" w:type="dxa"/>
            <w:vAlign w:val="bottom"/>
          </w:tcPr>
          <w:p>
            <w:pPr>
              <w:spacing w:after="0"/>
              <w:rPr>
                <w:sz w:val="1"/>
                <w:szCs w:val="1"/>
                <w:color w:val="auto"/>
              </w:rPr>
            </w:pPr>
          </w:p>
        </w:tc>
      </w:tr>
      <w:tr>
        <w:trPr>
          <w:trHeight w:val="391"/>
        </w:trPr>
        <w:tc>
          <w:tcPr>
            <w:tcW w:w="5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Each member of the Executive Committee may, with approval of the</w:t>
            </w:r>
          </w:p>
        </w:tc>
        <w:tc>
          <w:tcPr>
            <w:tcW w:w="200" w:type="dxa"/>
            <w:vAlign w:val="bottom"/>
            <w:tcBorders>
              <w:right w:val="single" w:sz="8" w:color="auto"/>
            </w:tcBorders>
          </w:tcPr>
          <w:p>
            <w:pPr>
              <w:spacing w:after="0"/>
              <w:rPr>
                <w:sz w:val="24"/>
                <w:szCs w:val="24"/>
                <w:color w:val="auto"/>
              </w:rPr>
            </w:pPr>
          </w:p>
        </w:tc>
        <w:tc>
          <w:tcPr>
            <w:tcW w:w="53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Chaque membre du comité exécutif peut, avec l'approbation du</w:t>
            </w:r>
          </w:p>
        </w:tc>
        <w:tc>
          <w:tcPr>
            <w:tcW w:w="0" w:type="dxa"/>
            <w:vAlign w:val="bottom"/>
          </w:tcPr>
          <w:p>
            <w:pPr>
              <w:spacing w:after="0"/>
              <w:rPr>
                <w:sz w:val="1"/>
                <w:szCs w:val="1"/>
                <w:color w:val="auto"/>
              </w:rPr>
            </w:pPr>
          </w:p>
        </w:tc>
      </w:tr>
      <w:tr>
        <w:trPr>
          <w:trHeight w:val="203"/>
        </w:trPr>
        <w:tc>
          <w:tcPr>
            <w:tcW w:w="568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Board of Directors, cumulatively assume not more than the following</w:t>
            </w:r>
          </w:p>
        </w:tc>
        <w:tc>
          <w:tcPr>
            <w:tcW w:w="20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conseil d'administration, cumuler pas plus que le nombre suivant</w:t>
            </w:r>
          </w:p>
        </w:tc>
        <w:tc>
          <w:tcPr>
            <w:tcW w:w="0" w:type="dxa"/>
            <w:vAlign w:val="bottom"/>
          </w:tcPr>
          <w:p>
            <w:pPr>
              <w:spacing w:after="0"/>
              <w:rPr>
                <w:sz w:val="1"/>
                <w:szCs w:val="1"/>
                <w:color w:val="auto"/>
              </w:rPr>
            </w:pPr>
          </w:p>
        </w:tc>
      </w:tr>
      <w:tr>
        <w:trPr>
          <w:trHeight w:val="203"/>
        </w:trPr>
        <w:tc>
          <w:tcPr>
            <w:tcW w:w="568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number  of  mandates  in  the  board  of  directors,  the  superior</w:t>
            </w:r>
          </w:p>
        </w:tc>
        <w:tc>
          <w:tcPr>
            <w:tcW w:w="20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  mandats  dans  un  conseil  d'administration,  une  direction</w:t>
            </w:r>
          </w:p>
        </w:tc>
        <w:tc>
          <w:tcPr>
            <w:tcW w:w="0" w:type="dxa"/>
            <w:vAlign w:val="bottom"/>
          </w:tcPr>
          <w:p>
            <w:pPr>
              <w:spacing w:after="0"/>
              <w:rPr>
                <w:sz w:val="1"/>
                <w:szCs w:val="1"/>
                <w:color w:val="auto"/>
              </w:rPr>
            </w:pPr>
          </w:p>
        </w:tc>
      </w:tr>
      <w:tr>
        <w:trPr>
          <w:trHeight w:val="203"/>
        </w:trPr>
        <w:tc>
          <w:tcPr>
            <w:tcW w:w="568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management or an administrative body of a legal entity which is</w:t>
            </w:r>
          </w:p>
        </w:tc>
        <w:tc>
          <w:tcPr>
            <w:tcW w:w="20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supérieure ou un organisme administratif d'une personne morale</w:t>
            </w:r>
          </w:p>
        </w:tc>
        <w:tc>
          <w:tcPr>
            <w:tcW w:w="0" w:type="dxa"/>
            <w:vAlign w:val="bottom"/>
          </w:tcPr>
          <w:p>
            <w:pPr>
              <w:spacing w:after="0"/>
              <w:rPr>
                <w:sz w:val="1"/>
                <w:szCs w:val="1"/>
                <w:color w:val="auto"/>
              </w:rPr>
            </w:pPr>
          </w:p>
        </w:tc>
      </w:tr>
      <w:tr>
        <w:trPr>
          <w:trHeight w:val="203"/>
        </w:trPr>
        <w:tc>
          <w:tcPr>
            <w:tcW w:w="568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obliged to be registered in the Swiss commercial register or an</w:t>
            </w:r>
          </w:p>
        </w:tc>
        <w:tc>
          <w:tcPr>
            <w:tcW w:w="200" w:type="dxa"/>
            <w:vAlign w:val="bottom"/>
            <w:tcBorders>
              <w:right w:val="single" w:sz="8" w:color="auto"/>
            </w:tcBorders>
          </w:tcPr>
          <w:p>
            <w:pPr>
              <w:spacing w:after="0"/>
              <w:rPr>
                <w:sz w:val="17"/>
                <w:szCs w:val="17"/>
                <w:color w:val="auto"/>
              </w:rPr>
            </w:pPr>
          </w:p>
        </w:tc>
        <w:tc>
          <w:tcPr>
            <w:tcW w:w="536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qui est obligée d'être inscrite dans le registre du commerce</w:t>
            </w:r>
          </w:p>
        </w:tc>
        <w:tc>
          <w:tcPr>
            <w:tcW w:w="0" w:type="dxa"/>
            <w:vAlign w:val="bottom"/>
          </w:tcPr>
          <w:p>
            <w:pPr>
              <w:spacing w:after="0"/>
              <w:rPr>
                <w:sz w:val="1"/>
                <w:szCs w:val="1"/>
                <w:color w:val="auto"/>
              </w:rPr>
            </w:pPr>
          </w:p>
        </w:tc>
      </w:tr>
      <w:tr>
        <w:trPr>
          <w:trHeight w:val="217"/>
        </w:trPr>
        <w:tc>
          <w:tcPr>
            <w:tcW w:w="568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equivalent foreign</w:t>
            </w:r>
          </w:p>
        </w:tc>
        <w:tc>
          <w:tcPr>
            <w:tcW w:w="200" w:type="dxa"/>
            <w:vAlign w:val="bottom"/>
            <w:tcBorders>
              <w:right w:val="single" w:sz="8" w:color="auto"/>
            </w:tcBorders>
          </w:tcPr>
          <w:p>
            <w:pPr>
              <w:spacing w:after="0"/>
              <w:rPr>
                <w:sz w:val="18"/>
                <w:szCs w:val="18"/>
                <w:color w:val="auto"/>
              </w:rPr>
            </w:pPr>
          </w:p>
        </w:tc>
        <w:tc>
          <w:tcPr>
            <w:tcW w:w="53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suisse ou un registre</w:t>
            </w:r>
          </w:p>
        </w:tc>
        <w:tc>
          <w:tcPr>
            <w:tcW w:w="0" w:type="dxa"/>
            <w:vAlign w:val="bottom"/>
          </w:tcPr>
          <w:p>
            <w:pPr>
              <w:spacing w:after="0"/>
              <w:rPr>
                <w:sz w:val="1"/>
                <w:szCs w:val="1"/>
                <w:color w:val="auto"/>
              </w:rPr>
            </w:pPr>
          </w:p>
        </w:tc>
      </w:tr>
      <w:tr>
        <w:trPr>
          <w:trHeight w:val="257"/>
        </w:trPr>
        <w:tc>
          <w:tcPr>
            <w:tcW w:w="5680" w:type="dxa"/>
            <w:vAlign w:val="bottom"/>
            <w:tcBorders>
              <w:left w:val="single" w:sz="8" w:color="auto"/>
              <w:bottom w:val="single" w:sz="8" w:color="auto"/>
              <w:right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50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49"/>
        </w:trPr>
        <w:tc>
          <w:tcPr>
            <w:tcW w:w="5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7" w:right="339" w:bottom="1440" w:gutter="0" w:footer="0" w:header="0"/>
        </w:sectPr>
      </w:pPr>
    </w:p>
    <w:bookmarkStart w:id="69" w:name="page70"/>
    <w:bookmarkEnd w:id="6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94"/>
        </w:trPr>
        <w:tc>
          <w:tcPr>
            <w:tcW w:w="554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gridSpan w:val="2"/>
          </w:tcPr>
          <w:p>
            <w:pPr>
              <w:spacing w:after="0"/>
              <w:rPr>
                <w:sz w:val="8"/>
                <w:szCs w:val="8"/>
                <w:color w:val="auto"/>
              </w:rPr>
            </w:pPr>
          </w:p>
        </w:tc>
      </w:tr>
      <w:tr>
        <w:trPr>
          <w:trHeight w:val="27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register:</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étranger équivalent:</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  2 mandates for publicly traded companies pursuant to Art. 727</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   2 mandats pour les entreprises cotées en bourse selon l'art.</w:t>
            </w: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para. 1 number 1 CO; and</w:t>
            </w:r>
          </w:p>
        </w:tc>
        <w:tc>
          <w:tcPr>
            <w:tcW w:w="2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727 al. 1 chiffre 1 CO; et</w:t>
            </w:r>
          </w:p>
        </w:tc>
      </w:tr>
      <w:tr>
        <w:trPr>
          <w:trHeight w:val="391"/>
        </w:trPr>
        <w:tc>
          <w:tcPr>
            <w:tcW w:w="36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5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 mandates for companies pursuant to Art. 727 para. 1</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b)   3 mandats pour des entreprises selon l'art. 727 al. 1 chiffre 2</w:t>
            </w: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number 2 CO; and</w:t>
            </w:r>
          </w:p>
        </w:tc>
        <w:tc>
          <w:tcPr>
            <w:tcW w:w="2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 et</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  5 mandates for companies which do not fulfil the criteria under</w:t>
            </w:r>
          </w:p>
        </w:tc>
        <w:tc>
          <w:tcPr>
            <w:tcW w:w="220" w:type="dxa"/>
            <w:vAlign w:val="bottom"/>
            <w:tcBorders>
              <w:right w:val="single" w:sz="8" w:color="auto"/>
            </w:tcBorders>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c)</w:t>
            </w:r>
          </w:p>
        </w:tc>
        <w:tc>
          <w:tcPr>
            <w:tcW w:w="5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 mandats pour les entreprises qui ne remplissent pas les</w:t>
            </w: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litera a) and b) above.</w:t>
            </w:r>
          </w:p>
        </w:tc>
        <w:tc>
          <w:tcPr>
            <w:tcW w:w="2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critères sous a) et b) ci-dessus.</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Mandates held in several legal entities each operating under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mandats exercés dans plusieurs entités juridiques opérant</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same management or same beneficial owner (group) are deemed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chacun sous la même direction ou même bénéficiaire effectif</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to be a single mandate.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(groupe) sont réputés être un seul mandat.</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If a legal entity fulfills several of the above mentioned criteria, it can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Si une entité juridique remplit plusieurs des critères mentionnés ci-</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be freely counted towards any category. The following mandates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dessus, elle peut être librement placée dans une catégorie. Les</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are excepted from this restrictions: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mandats suivants sont exceptés de ces restrictions:</w:t>
            </w:r>
          </w:p>
        </w:tc>
      </w:tr>
      <w:tr>
        <w:trPr>
          <w:trHeight w:val="391"/>
        </w:trPr>
        <w:tc>
          <w:tcPr>
            <w:tcW w:w="36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a)</w:t>
            </w:r>
          </w:p>
        </w:tc>
        <w:tc>
          <w:tcPr>
            <w:tcW w:w="51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mandates in legal entities which are controlled by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   les mandats dans des entités juridiques qui sont contrôlées</w:t>
            </w: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Company or which control the Company;</w:t>
            </w:r>
          </w:p>
        </w:tc>
        <w:tc>
          <w:tcPr>
            <w:tcW w:w="2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par la société ou qui contrôlent la société;</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b)  honorary mandates in charitable legal entities.</w:t>
            </w:r>
          </w:p>
        </w:tc>
        <w:tc>
          <w:tcPr>
            <w:tcW w:w="220" w:type="dxa"/>
            <w:vAlign w:val="bottom"/>
            <w:tcBorders>
              <w:right w:val="single" w:sz="8" w:color="auto"/>
            </w:tcBorders>
          </w:tcPr>
          <w:p>
            <w:pPr>
              <w:spacing w:after="0"/>
              <w:rPr>
                <w:sz w:val="24"/>
                <w:szCs w:val="24"/>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b)</w:t>
            </w:r>
          </w:p>
        </w:tc>
        <w:tc>
          <w:tcPr>
            <w:tcW w:w="5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mandats  d'honneur  dans  des  entités  juridiques  de</w:t>
            </w: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bienfaisance.</w:t>
            </w:r>
          </w:p>
        </w:tc>
      </w:tr>
      <w:tr>
        <w:trPr>
          <w:trHeight w:val="257"/>
        </w:trPr>
        <w:tc>
          <w:tcPr>
            <w:tcW w:w="5540" w:type="dxa"/>
            <w:vAlign w:val="bottom"/>
            <w:tcBorders>
              <w:left w:val="single" w:sz="8" w:color="auto"/>
              <w:bottom w:val="single" w:sz="8" w:color="auto"/>
              <w:right w:val="single" w:sz="8" w:color="auto"/>
            </w:tcBorders>
            <w:gridSpan w:val="2"/>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5480" w:type="dxa"/>
            <w:vAlign w:val="bottom"/>
            <w:tcBorders>
              <w:bottom w:val="single" w:sz="8" w:color="auto"/>
              <w:right w:val="single" w:sz="8" w:color="auto"/>
            </w:tcBorders>
            <w:gridSpan w:val="2"/>
          </w:tcPr>
          <w:p>
            <w:pPr>
              <w:spacing w:after="0"/>
              <w:rPr>
                <w:sz w:val="22"/>
                <w:szCs w:val="22"/>
                <w:color w:val="auto"/>
              </w:rPr>
            </w:pPr>
          </w:p>
        </w:tc>
      </w:tr>
      <w:tr>
        <w:trPr>
          <w:trHeight w:val="27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39  Loans and Credits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39  Prêts et crédits</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members  of  the  Board  of  Directors  and  the  Executive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membres du conseil d'administration et du comité exécutif ne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Committee may not be granted any loans, credits or securities.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peuvent pas souscrire des prêts, des crédits ou des titres. Sont</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Excepted from the above are advances in the maximum amount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exceptées les avances d'un montant maximum de CHF 500'000</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CHF 500'000 per person for attorneys' fees, court and other similar</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par personne pour les frais d'avocat, des coûts de tribunaux et</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costs  required  for  the  defence  of  third-party  liability  claims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d'autres coûts similaires nécessaires à la défense contre des</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permitted by Article 29.</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actions en responsabilité civile autorisés par l'article 29.</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40  Pension Funds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40  Fonds de pension</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Company shall remunerate members of the Board of Directors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société  ne  doit  rémunérer  les  membres  du  conseil</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only in respect of the employer's mandatory contributions to social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d'administration  que  du  montant  dû  au  titre  de  contributions</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insurance. Above and beyond this, the Company shall not make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obligatoire de l'employeur à l'assurance sociale. Au-delà de ce</w:t>
            </w:r>
          </w:p>
        </w:tc>
      </w:tr>
      <w:tr>
        <w:trPr>
          <w:trHeight w:val="202"/>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any contributions to pension funds or other such pension plans. In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montant, la société ne doit pas verser de cotisations à des</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exceptional cases, contributions such as these may be made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institutions de prévoyance ou à d'autres régimes de retraite. Dans</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subject to a request by the Compensation Committee and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des cas exceptionnels, des contributions comme celles-ci peuvent</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approval of the General Meeting.</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être  faites sur  demande  au  comité  de  rémunération et sous</w:t>
            </w: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réserve de</w:t>
            </w:r>
          </w:p>
        </w:tc>
      </w:tr>
      <w:tr>
        <w:trPr>
          <w:trHeight w:val="54"/>
        </w:trPr>
        <w:tc>
          <w:tcPr>
            <w:tcW w:w="360" w:type="dxa"/>
            <w:vAlign w:val="bottom"/>
            <w:tcBorders>
              <w:left w:val="single" w:sz="8" w:color="auto"/>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160" w:type="dxa"/>
            <w:vAlign w:val="bottom"/>
            <w:tcBorders>
              <w:bottom w:val="single" w:sz="8" w:color="auto"/>
              <w:right w:val="single" w:sz="8" w:color="auto"/>
            </w:tcBorders>
          </w:tcPr>
          <w:p>
            <w:pPr>
              <w:spacing w:after="0"/>
              <w:rPr>
                <w:sz w:val="4"/>
                <w:szCs w:val="4"/>
                <w:color w:val="auto"/>
              </w:rPr>
            </w:pPr>
          </w:p>
        </w:tc>
      </w:tr>
      <w:tr>
        <w:trPr>
          <w:trHeight w:val="750"/>
        </w:trPr>
        <w:tc>
          <w:tcPr>
            <w:tcW w:w="3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70" w:name="page71"/>
    <w:bookmarkEnd w:id="7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ind w:left="5240"/>
              <w:spacing w:after="0"/>
              <w:rPr>
                <w:sz w:val="20"/>
                <w:szCs w:val="20"/>
                <w:color w:val="auto"/>
              </w:rPr>
            </w:pPr>
            <w:r>
              <w:rPr>
                <w:rFonts w:ascii="Arial" w:cs="Arial" w:eastAsia="Arial" w:hAnsi="Arial"/>
                <w:sz w:val="18"/>
                <w:szCs w:val="18"/>
                <w:color w:val="auto"/>
                <w:w w:val="99"/>
              </w:rPr>
              <w:t>32</w:t>
            </w:r>
          </w:p>
        </w:tc>
      </w:tr>
      <w:tr>
        <w:trPr>
          <w:trHeight w:val="94"/>
        </w:trPr>
        <w:tc>
          <w:tcPr>
            <w:tcW w:w="5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tcPr>
          <w:p>
            <w:pPr>
              <w:spacing w:after="0"/>
              <w:rPr>
                <w:sz w:val="8"/>
                <w:szCs w:val="8"/>
                <w:color w:val="auto"/>
              </w:rPr>
            </w:pPr>
          </w:p>
        </w:tc>
      </w:tr>
      <w:tr>
        <w:trPr>
          <w:trHeight w:val="277"/>
        </w:trPr>
        <w:tc>
          <w:tcPr>
            <w:tcW w:w="5540" w:type="dxa"/>
            <w:vAlign w:val="bottom"/>
            <w:tcBorders>
              <w:left w:val="single" w:sz="8" w:color="auto"/>
              <w:righ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l'approbation de l'assemblée générale.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Members of the Executive Committee participate in the Company's</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membres  du  comité  exécutif  participent  aux  régimes  de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pension plans (the Company's pension fund and the management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retraite de la société (le fond de pension de la société et le régime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pension  plan).  The  pension  plans  conform  to  the  legal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retraite  du  management).  Les  régimes  de  retraite  sont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requirements.  For  members  of  the  Executive  Committee,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conformes aux exigences légales (LPP). Pour les membres du</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insured income is defined as the fixed remuneration plus 50</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comité exécutif, le revenu assuré est défini comme la rémunération</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percent of the target performance-related remuneration, up to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fixe plus les 50 pour cent de la rémunération liée à la performance,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legal  maximum.  Equity-linked  income  components  are  not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jusqu'au maximum légal. Les composantes du revenu liées au</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included.</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capital propre ne sont pas inclus.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Within the overall compensation approved by the General Meeting,</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Dans  la  rémunération  globale  approuvée  par  l'assemblée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Company may make additional payments into the Company's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générale,   la   société   pourra   effectuer   des   paiements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pension  funds  for  the  benefit  of  members  of  the  Executive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supplémentaires dans les caisses de retraite de la société pour le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Committee in order to cover any disadvantage suffered as a result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bénéfice des membres du comité exécutif afin de couvrir tout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of  the  change  of  jobs  or  to  purchase  additional  pension</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désavantage subi par suite de la modification de l'emploi ou pour</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entitlements.  In  this  context  the  Company  may  conclude  life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acheter des droits de pension supplémentaires. Dans ce contexte,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insurance  policies  on  behalf  of  members  of  the  Executive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la société peut conclure des contrats d'assurance-vie au nom des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Committee and pay the insurance premiums either fully or in part.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membres du comité exécutif et payer en totalité ou en partie les</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primes d'assurance.</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Upon retirement, the Company may also grant members of the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À la retraite, la société peut également accorder aux membres du</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Executive  Committee  a  bridging  pension  to  cover  the  period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comité exécutif, une pension de transition pour couvrir la période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between early retirement at 62 and the ordinary age of retirement,</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entre la retraite anticipée à 62 ans et l'âge ordinaire de la retraite,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if such bridging pension does not exceed 100 percent of the total</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si cette rente transitoire ne dépasse pas 100 pour cent du dernier</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annual compensation of the respective member last paid.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montant de la rémunération annuelle totale payée au membre</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respectif.</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41  Option and Share Plans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41  Options et plan d'actions</w:t>
            </w:r>
          </w:p>
        </w:tc>
      </w:tr>
      <w:tr>
        <w:trPr>
          <w:trHeight w:val="391"/>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Under the Company's Option Plan, the Board of Directors, upon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  vertu  du  régime  d'options  de  la  société,  le  conseil</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proposal  of  the  Compensation  Committee,  allocates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sur  proposition  du  comité  de  rémunération,</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participating members of the Executive Committee and the Board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attribue aux membres participants du comité exécutif et du conseil</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of Directors a fixed number of options or shares with a vesting for a</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un nombre fixe d'options ou d'actions avec une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period of at least three years (the vesting period). At the end of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période de blocage d'une période d'au moins trois ans (la "Période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vesting period, participants in the Option Plan are entitled to</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 Blocage"). À la fin de la Période de Blocage, les participants au</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exercise the options granted against payment of the strike price.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régime d'options sont habilités à exercer les options attribuées</w:t>
            </w:r>
          </w:p>
        </w:tc>
      </w:tr>
      <w:tr>
        <w:trPr>
          <w:trHeight w:val="202"/>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These options to acquire shares in the Company or allocated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contre paiement du prix d'exercice. Ces options d'achat d'actions</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shares are</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 la société ou</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750"/>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7" w:right="339" w:bottom="1440" w:gutter="0" w:footer="0" w:header="0"/>
        </w:sectPr>
      </w:pPr>
    </w:p>
    <w:bookmarkStart w:id="71" w:name="page72"/>
    <w:bookmarkEnd w:id="7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Pr>
          <w:p>
            <w:pPr>
              <w:ind w:left="4880"/>
              <w:spacing w:after="0"/>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r>
        <w:trPr>
          <w:trHeight w:val="94"/>
        </w:trPr>
        <w:tc>
          <w:tcPr>
            <w:tcW w:w="554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subject to the basic principles set out in the following:</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d'actions attribuées sont soumises aux principes de base suivants:</w:t>
            </w:r>
          </w:p>
        </w:tc>
        <w:tc>
          <w:tcPr>
            <w:tcW w:w="0" w:type="dxa"/>
            <w:vAlign w:val="bottom"/>
          </w:tcPr>
          <w:p>
            <w:pPr>
              <w:spacing w:after="0"/>
              <w:rPr>
                <w:sz w:val="1"/>
                <w:szCs w:val="1"/>
                <w:color w:val="auto"/>
              </w:rPr>
            </w:pPr>
          </w:p>
        </w:tc>
      </w:tr>
      <w:tr>
        <w:trPr>
          <w:trHeight w:val="391"/>
        </w:trPr>
        <w:tc>
          <w:tcPr>
            <w:tcW w:w="36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a)</w:t>
            </w:r>
          </w:p>
        </w:tc>
        <w:tc>
          <w:tcPr>
            <w:tcW w:w="51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it is the sole discretion of the Board of Directors to decide</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a)</w:t>
            </w:r>
          </w:p>
        </w:tc>
        <w:tc>
          <w:tcPr>
            <w:tcW w:w="5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il relève de la libre appréciation du conseil d'administration</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whether to allocate options or shares and to whom;</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de décider si des options ou actions sont attribuées et à qui;</w:t>
            </w:r>
          </w:p>
        </w:tc>
        <w:tc>
          <w:tcPr>
            <w:tcW w:w="0" w:type="dxa"/>
            <w:vAlign w:val="bottom"/>
          </w:tcPr>
          <w:p>
            <w:pPr>
              <w:spacing w:after="0"/>
              <w:rPr>
                <w:sz w:val="1"/>
                <w:szCs w:val="1"/>
                <w:color w:val="auto"/>
              </w:rPr>
            </w:pPr>
          </w:p>
        </w:tc>
      </w:tr>
      <w:tr>
        <w:trPr>
          <w:trHeight w:val="391"/>
        </w:trPr>
        <w:tc>
          <w:tcPr>
            <w:tcW w:w="36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51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each year, the Board of Directors, upon proposal of the</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b)</w:t>
            </w:r>
          </w:p>
        </w:tc>
        <w:tc>
          <w:tcPr>
            <w:tcW w:w="5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chaque année, le conseil d'administration, sur proposition du</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Compensation Committee, stipulates the number of options</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comité de rémunération, fixe le nombre d'options et d'actions</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and shares to be allocated, the date of allocation and the</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à attribuer, la date d'attribution et le prix d'exercice;</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strike price;</w:t>
            </w:r>
          </w:p>
        </w:tc>
        <w:tc>
          <w:tcPr>
            <w:tcW w:w="220" w:type="dxa"/>
            <w:vAlign w:val="bottom"/>
            <w:tcBorders>
              <w:right w:val="single" w:sz="8" w:color="auto"/>
            </w:tcBorders>
          </w:tcPr>
          <w:p>
            <w:pPr>
              <w:spacing w:after="0"/>
              <w:rPr>
                <w:sz w:val="18"/>
                <w:szCs w:val="18"/>
                <w:color w:val="auto"/>
              </w:rPr>
            </w:pPr>
          </w:p>
        </w:tc>
        <w:tc>
          <w:tcPr>
            <w:tcW w:w="360" w:type="dxa"/>
            <w:vAlign w:val="bottom"/>
            <w:vMerge w:val="restart"/>
          </w:tcPr>
          <w:p>
            <w:pPr>
              <w:ind w:left="60"/>
              <w:spacing w:after="0"/>
              <w:rPr>
                <w:sz w:val="20"/>
                <w:szCs w:val="20"/>
                <w:color w:val="auto"/>
              </w:rPr>
            </w:pPr>
            <w:r>
              <w:rPr>
                <w:rFonts w:ascii="Arial" w:cs="Arial" w:eastAsia="Arial" w:hAnsi="Arial"/>
                <w:sz w:val="18"/>
                <w:szCs w:val="18"/>
                <w:color w:val="auto"/>
              </w:rPr>
              <w:t>c)</w:t>
            </w:r>
          </w:p>
        </w:tc>
        <w:tc>
          <w:tcPr>
            <w:tcW w:w="51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chaque option comporte un droit non transférable, de</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tcBorders>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60" w:type="dxa"/>
            <w:vAlign w:val="bottom"/>
            <w:vMerge w:val="continue"/>
          </w:tcPr>
          <w:p>
            <w:pPr>
              <w:spacing w:after="0"/>
              <w:rPr>
                <w:sz w:val="16"/>
                <w:szCs w:val="16"/>
                <w:color w:val="auto"/>
              </w:rPr>
            </w:pPr>
          </w:p>
        </w:tc>
        <w:tc>
          <w:tcPr>
            <w:tcW w:w="51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   each option incorporates a non-transferable, pre-emptive, and</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souscription préférentielle et optionnel d'acquérir un certain</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contingent right to acquire a certain number of Company's</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nombre d'actions de la société;</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shares;</w:t>
            </w:r>
          </w:p>
        </w:tc>
        <w:tc>
          <w:tcPr>
            <w:tcW w:w="220" w:type="dxa"/>
            <w:vAlign w:val="bottom"/>
            <w:tcBorders>
              <w:right w:val="single" w:sz="8" w:color="auto"/>
            </w:tcBorders>
          </w:tcPr>
          <w:p>
            <w:pPr>
              <w:spacing w:after="0"/>
              <w:rPr>
                <w:sz w:val="18"/>
                <w:szCs w:val="18"/>
                <w:color w:val="auto"/>
              </w:rPr>
            </w:pPr>
          </w:p>
        </w:tc>
        <w:tc>
          <w:tcPr>
            <w:tcW w:w="360" w:type="dxa"/>
            <w:vAlign w:val="bottom"/>
            <w:vMerge w:val="restart"/>
          </w:tcPr>
          <w:p>
            <w:pPr>
              <w:ind w:left="60"/>
              <w:spacing w:after="0"/>
              <w:rPr>
                <w:sz w:val="20"/>
                <w:szCs w:val="20"/>
                <w:color w:val="auto"/>
              </w:rPr>
            </w:pPr>
            <w:r>
              <w:rPr>
                <w:rFonts w:ascii="Arial" w:cs="Arial" w:eastAsia="Arial" w:hAnsi="Arial"/>
                <w:sz w:val="18"/>
                <w:szCs w:val="18"/>
                <w:color w:val="auto"/>
              </w:rPr>
              <w:t>d)</w:t>
            </w:r>
          </w:p>
        </w:tc>
        <w:tc>
          <w:tcPr>
            <w:tcW w:w="51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dans le cas d'un changement de contrôle (tel que défini dans</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tcBorders>
          </w:tcPr>
          <w:p>
            <w:pPr>
              <w:spacing w:after="0"/>
              <w:rPr>
                <w:sz w:val="16"/>
                <w:szCs w:val="16"/>
                <w:color w:val="auto"/>
              </w:rPr>
            </w:pPr>
          </w:p>
        </w:tc>
        <w:tc>
          <w:tcPr>
            <w:tcW w:w="5180" w:type="dxa"/>
            <w:vAlign w:val="bottom"/>
            <w:tcBorders>
              <w:right w:val="single" w:sz="8" w:color="auto"/>
            </w:tcBorders>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360" w:type="dxa"/>
            <w:vAlign w:val="bottom"/>
            <w:vMerge w:val="continue"/>
          </w:tcPr>
          <w:p>
            <w:pPr>
              <w:spacing w:after="0"/>
              <w:rPr>
                <w:sz w:val="16"/>
                <w:szCs w:val="16"/>
                <w:color w:val="auto"/>
              </w:rPr>
            </w:pPr>
          </w:p>
        </w:tc>
        <w:tc>
          <w:tcPr>
            <w:tcW w:w="51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d)   in the case of a change of control (as defined in the Option</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le régime d'options) ou la radiation des actions de la société,</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Plan) or delisting of the Company's shares, the vesting period</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la Période de Blocage prend fin (acquisition accélérée) et le</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shall end (accelerated vesting) and the participant shall be</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participant est en droit d'exercer les options sur une base pro</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entitled to exercise the options on a pro rata basis on the day</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rata le jour de la transaction qui a conduit à un changement</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the transaction that led to the change of control or delisting</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de contrôle ou le jour où la radiation a été exécutée. Il relève</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was executed. It is at the sole discretion of the Board of</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de  la  libre  appréciation  du  conseil  d'administration  de</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Directors  to  decide  upon  proposal  of  the  Compensation</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décider, sur proposition du comité de rémunération, si les</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Committee whether the financial objectives have been met;</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objectifs financiers ont été atteints;</w:t>
            </w:r>
          </w:p>
        </w:tc>
        <w:tc>
          <w:tcPr>
            <w:tcW w:w="0" w:type="dxa"/>
            <w:vAlign w:val="bottom"/>
          </w:tcPr>
          <w:p>
            <w:pPr>
              <w:spacing w:after="0"/>
              <w:rPr>
                <w:sz w:val="1"/>
                <w:szCs w:val="1"/>
                <w:color w:val="auto"/>
              </w:rPr>
            </w:pPr>
          </w:p>
        </w:tc>
      </w:tr>
      <w:tr>
        <w:trPr>
          <w:trHeight w:val="391"/>
        </w:trPr>
        <w:tc>
          <w:tcPr>
            <w:tcW w:w="36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e)</w:t>
            </w:r>
          </w:p>
        </w:tc>
        <w:tc>
          <w:tcPr>
            <w:tcW w:w="51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the individual members of the Executive Committee or the</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e)</w:t>
            </w:r>
          </w:p>
        </w:tc>
        <w:tc>
          <w:tcPr>
            <w:tcW w:w="5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les membres individuels du comité exécutif ou du conseil</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Board  of  Directors  participating  in  the  Option  Plan  are</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d'administration  qui  participent  au  régime  d'options  sont</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responsible  for  paying  any  taxes  or  social  security</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responsables du paiement de tous les impôts ou cotisations</w:t>
            </w:r>
          </w:p>
        </w:tc>
        <w:tc>
          <w:tcPr>
            <w:tcW w:w="0" w:type="dxa"/>
            <w:vAlign w:val="bottom"/>
          </w:tcPr>
          <w:p>
            <w:pPr>
              <w:spacing w:after="0"/>
              <w:rPr>
                <w:sz w:val="1"/>
                <w:szCs w:val="1"/>
                <w:color w:val="auto"/>
              </w:rPr>
            </w:pPr>
          </w:p>
        </w:tc>
      </w:tr>
      <w:tr>
        <w:trPr>
          <w:trHeight w:val="203"/>
        </w:trPr>
        <w:tc>
          <w:tcPr>
            <w:tcW w:w="360" w:type="dxa"/>
            <w:vAlign w:val="bottom"/>
            <w:tcBorders>
              <w:left w:val="single" w:sz="8" w:color="auto"/>
            </w:tcBorders>
          </w:tcPr>
          <w:p>
            <w:pPr>
              <w:spacing w:after="0"/>
              <w:rPr>
                <w:sz w:val="17"/>
                <w:szCs w:val="17"/>
                <w:color w:val="auto"/>
              </w:rPr>
            </w:pPr>
          </w:p>
        </w:tc>
        <w:tc>
          <w:tcPr>
            <w:tcW w:w="5180" w:type="dxa"/>
            <w:vAlign w:val="bottom"/>
            <w:tcBorders>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contributions  and  for  declaring  income  correctly  to  the</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de sécurité sociale et de déclarer correctement le revenu aux</w:t>
            </w: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1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authorities;</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autorités;</w:t>
            </w:r>
          </w:p>
        </w:tc>
        <w:tc>
          <w:tcPr>
            <w:tcW w:w="0" w:type="dxa"/>
            <w:vAlign w:val="bottom"/>
          </w:tcPr>
          <w:p>
            <w:pPr>
              <w:spacing w:after="0"/>
              <w:rPr>
                <w:sz w:val="1"/>
                <w:szCs w:val="1"/>
                <w:color w:val="auto"/>
              </w:rPr>
            </w:pP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f) it is at the sole discretion of the Board of Directors to decide</w:t>
            </w:r>
          </w:p>
        </w:tc>
        <w:tc>
          <w:tcPr>
            <w:tcW w:w="220" w:type="dxa"/>
            <w:vAlign w:val="bottom"/>
            <w:tcBorders>
              <w:right w:val="single" w:sz="8" w:color="auto"/>
            </w:tcBorders>
          </w:tcPr>
          <w:p>
            <w:pPr>
              <w:spacing w:after="0"/>
              <w:rPr>
                <w:sz w:val="24"/>
                <w:szCs w:val="24"/>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rPr>
              <w:t>f)</w:t>
            </w:r>
          </w:p>
        </w:tc>
        <w:tc>
          <w:tcPr>
            <w:tcW w:w="51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il relève de la libre appréciation du conseil d'administration</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whether to supplement the Option Plan within the bounds of the</w:t>
            </w:r>
          </w:p>
        </w:tc>
        <w:tc>
          <w:tcPr>
            <w:tcW w:w="220" w:type="dxa"/>
            <w:vAlign w:val="bottom"/>
            <w:tcBorders>
              <w:right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12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de décider si le régime d'options est complété dans les</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principles set out above or to discontinue it.</w:t>
            </w: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limites des principes énoncés ci-dessus ou de l'interrompre.</w:t>
            </w:r>
          </w:p>
        </w:tc>
        <w:tc>
          <w:tcPr>
            <w:tcW w:w="0" w:type="dxa"/>
            <w:vAlign w:val="bottom"/>
          </w:tcPr>
          <w:p>
            <w:pPr>
              <w:spacing w:after="0"/>
              <w:rPr>
                <w:sz w:val="1"/>
                <w:szCs w:val="1"/>
                <w:color w:val="auto"/>
              </w:rPr>
            </w:pPr>
          </w:p>
        </w:tc>
      </w:tr>
      <w:tr>
        <w:trPr>
          <w:trHeight w:val="459"/>
        </w:trPr>
        <w:tc>
          <w:tcPr>
            <w:tcW w:w="5540" w:type="dxa"/>
            <w:vAlign w:val="bottom"/>
            <w:tcBorders>
              <w:left w:val="single" w:sz="8" w:color="auto"/>
              <w:bottom w:val="single" w:sz="8" w:color="auto"/>
              <w:right w:val="single" w:sz="8" w:color="auto"/>
            </w:tcBorders>
            <w:gridSpan w:val="2"/>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5480" w:type="dxa"/>
            <w:vAlign w:val="bottom"/>
            <w:tcBorders>
              <w:bottom w:val="single" w:sz="8" w:color="auto"/>
              <w:right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Company may periodically offer shares in the Company to</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société peut périodiquement offrir des actions de la société aux</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important and long-term employees for a price being at maximum</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salariés importants et à long terme pour un prix étant au maximum</w:t>
            </w:r>
          </w:p>
        </w:tc>
        <w:tc>
          <w:tcPr>
            <w:tcW w:w="0" w:type="dxa"/>
            <w:vAlign w:val="bottom"/>
          </w:tcPr>
          <w:p>
            <w:pPr>
              <w:spacing w:after="0"/>
              <w:rPr>
                <w:sz w:val="1"/>
                <w:szCs w:val="1"/>
                <w:color w:val="auto"/>
              </w:rPr>
            </w:pP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ten percent below the average volume-weighted price of the last 30</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dix pour cent au-dessous du prix moyen pondéré par les volumes</w:t>
            </w:r>
          </w:p>
        </w:tc>
        <w:tc>
          <w:tcPr>
            <w:tcW w:w="0" w:type="dxa"/>
            <w:vAlign w:val="bottom"/>
          </w:tcPr>
          <w:p>
            <w:pPr>
              <w:spacing w:after="0"/>
              <w:rPr>
                <w:sz w:val="1"/>
                <w:szCs w:val="1"/>
                <w:color w:val="auto"/>
              </w:rPr>
            </w:pP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trading days at the stock</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des 30</w:t>
            </w:r>
          </w:p>
        </w:tc>
        <w:tc>
          <w:tcPr>
            <w:tcW w:w="0" w:type="dxa"/>
            <w:vAlign w:val="bottom"/>
          </w:tcPr>
          <w:p>
            <w:pPr>
              <w:spacing w:after="0"/>
              <w:rPr>
                <w:sz w:val="1"/>
                <w:szCs w:val="1"/>
                <w:color w:val="auto"/>
              </w:rPr>
            </w:pPr>
          </w:p>
        </w:tc>
      </w:tr>
      <w:tr>
        <w:trPr>
          <w:trHeight w:val="54"/>
        </w:trPr>
        <w:tc>
          <w:tcPr>
            <w:tcW w:w="360" w:type="dxa"/>
            <w:vAlign w:val="bottom"/>
            <w:tcBorders>
              <w:left w:val="single" w:sz="8" w:color="auto"/>
              <w:bottom w:val="single" w:sz="8" w:color="auto"/>
            </w:tcBorders>
          </w:tcPr>
          <w:p>
            <w:pPr>
              <w:spacing w:after="0"/>
              <w:rPr>
                <w:sz w:val="4"/>
                <w:szCs w:val="4"/>
                <w:color w:val="auto"/>
              </w:rPr>
            </w:pPr>
          </w:p>
        </w:tc>
        <w:tc>
          <w:tcPr>
            <w:tcW w:w="51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0"/>
        </w:trPr>
        <w:tc>
          <w:tcPr>
            <w:tcW w:w="3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47" w:right="339" w:bottom="1440" w:gutter="0" w:footer="0" w:header="0"/>
        </w:sectPr>
      </w:pPr>
    </w:p>
    <w:bookmarkStart w:id="72" w:name="page73"/>
    <w:bookmarkEnd w:id="7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5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tcPr>
          <w:p>
            <w:pPr>
              <w:ind w:left="5240"/>
              <w:spacing w:after="0"/>
              <w:rPr>
                <w:sz w:val="20"/>
                <w:szCs w:val="20"/>
                <w:color w:val="auto"/>
              </w:rPr>
            </w:pPr>
            <w:r>
              <w:rPr>
                <w:rFonts w:ascii="Arial" w:cs="Arial" w:eastAsia="Arial" w:hAnsi="Arial"/>
                <w:sz w:val="18"/>
                <w:szCs w:val="18"/>
                <w:color w:val="auto"/>
                <w:w w:val="99"/>
              </w:rPr>
              <w:t>34</w:t>
            </w:r>
          </w:p>
        </w:tc>
      </w:tr>
      <w:tr>
        <w:trPr>
          <w:trHeight w:val="263"/>
        </w:trPr>
        <w:tc>
          <w:tcPr>
            <w:tcW w:w="55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exchange. Members of the Board of Directors and the Executive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derniers  jours  à  la  bourse.  Les  membres  du  conseil</w:t>
            </w:r>
          </w:p>
        </w:tc>
      </w:tr>
      <w:tr>
        <w:trPr>
          <w:trHeight w:val="203"/>
        </w:trPr>
        <w:tc>
          <w:tcPr>
            <w:tcW w:w="55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Committee may be included in this program. The shares acquired</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d'administration et du comité exécutif peuvent être inclus dans ce</w:t>
            </w:r>
          </w:p>
        </w:tc>
      </w:tr>
      <w:tr>
        <w:trPr>
          <w:trHeight w:val="203"/>
        </w:trPr>
        <w:tc>
          <w:tcPr>
            <w:tcW w:w="554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thereby shall be blocked for a period of at least 3 years.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programme. Les actions ainsi acquises seront bloquées pour une</w:t>
            </w:r>
          </w:p>
        </w:tc>
      </w:tr>
      <w:tr>
        <w:trPr>
          <w:trHeight w:val="217"/>
        </w:trPr>
        <w:tc>
          <w:tcPr>
            <w:tcW w:w="554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période d'au moins 3 ans.</w:t>
            </w:r>
          </w:p>
        </w:tc>
      </w:tr>
      <w:tr>
        <w:trPr>
          <w:trHeight w:val="54"/>
        </w:trPr>
        <w:tc>
          <w:tcPr>
            <w:tcW w:w="55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41"/>
        </w:trPr>
        <w:tc>
          <w:tcPr>
            <w:tcW w:w="55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VIII.  BUSINESS YEAR, ACCOUNTING, ALLOCATION OF</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VIII.  EXERCICE, COMPTABILITÉ, RÉPARTITION DES</w:t>
            </w:r>
          </w:p>
        </w:tc>
      </w:tr>
      <w:tr>
        <w:trPr>
          <w:trHeight w:val="239"/>
        </w:trPr>
        <w:tc>
          <w:tcPr>
            <w:tcW w:w="5540" w:type="dxa"/>
            <w:vAlign w:val="bottom"/>
            <w:tcBorders>
              <w:right w:val="single" w:sz="8" w:color="auto"/>
            </w:tcBorders>
          </w:tcPr>
          <w:p>
            <w:pPr>
              <w:ind w:left="500"/>
              <w:spacing w:after="0"/>
              <w:rPr>
                <w:sz w:val="20"/>
                <w:szCs w:val="20"/>
                <w:color w:val="auto"/>
              </w:rPr>
            </w:pPr>
            <w:r>
              <w:rPr>
                <w:rFonts w:ascii="Arial" w:cs="Arial" w:eastAsia="Arial" w:hAnsi="Arial"/>
                <w:sz w:val="18"/>
                <w:szCs w:val="18"/>
                <w:b w:val="1"/>
                <w:bCs w:val="1"/>
                <w:color w:val="auto"/>
              </w:rPr>
              <w:t>PROFITS</w:t>
            </w:r>
          </w:p>
        </w:tc>
        <w:tc>
          <w:tcPr>
            <w:tcW w:w="22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BÉNÉFICES</w:t>
            </w:r>
          </w:p>
        </w:tc>
      </w:tr>
      <w:tr>
        <w:trPr>
          <w:trHeight w:val="54"/>
        </w:trPr>
        <w:tc>
          <w:tcPr>
            <w:tcW w:w="554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42  Business Year</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42  Exercice</w:t>
            </w:r>
          </w:p>
        </w:tc>
      </w:tr>
      <w:tr>
        <w:trPr>
          <w:trHeight w:val="391"/>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Board of Directors shall determine the start and the end of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 conseil d'administration détermine le début et la fin de l'exercice</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Company's business year.</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 la société.</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43  Accounting</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43  Comptabilité</w:t>
            </w:r>
          </w:p>
        </w:tc>
      </w:tr>
      <w:tr>
        <w:trPr>
          <w:trHeight w:val="391"/>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The annual accounts consist of the profit and loss statement,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Les comptes annuels se composent du compte de profits et</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balance  sheet,  the  cash  flow  statement,  the  annex  and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pertes, du bilan, du tableau des flux de trésorerie, de l'annexe et</w:t>
            </w:r>
          </w:p>
        </w:tc>
      </w:tr>
      <w:tr>
        <w:trPr>
          <w:trHeight w:val="184"/>
        </w:trPr>
        <w:tc>
          <w:tcPr>
            <w:tcW w:w="5540" w:type="dxa"/>
            <w:vAlign w:val="bottom"/>
            <w:tcBorders>
              <w:left w:val="single" w:sz="8" w:color="auto"/>
              <w:right w:val="single" w:sz="8" w:color="auto"/>
            </w:tcBorders>
          </w:tcPr>
          <w:p>
            <w:pPr>
              <w:ind w:left="80"/>
              <w:spacing w:after="0" w:line="184" w:lineRule="exact"/>
              <w:rPr>
                <w:sz w:val="20"/>
                <w:szCs w:val="20"/>
                <w:color w:val="auto"/>
              </w:rPr>
            </w:pPr>
            <w:r>
              <w:rPr>
                <w:rFonts w:ascii="Arial" w:cs="Arial" w:eastAsia="Arial" w:hAnsi="Arial"/>
                <w:sz w:val="18"/>
                <w:szCs w:val="18"/>
                <w:color w:val="auto"/>
              </w:rPr>
              <w:t>management  report,  and  shall  be  drawn  up  pursuant  to  the</w:t>
            </w:r>
          </w:p>
        </w:tc>
        <w:tc>
          <w:tcPr>
            <w:tcW w:w="220" w:type="dxa"/>
            <w:vAlign w:val="bottom"/>
            <w:tcBorders>
              <w:right w:val="single" w:sz="8" w:color="auto"/>
            </w:tcBorders>
          </w:tcPr>
          <w:p>
            <w:pPr>
              <w:spacing w:after="0"/>
              <w:rPr>
                <w:sz w:val="16"/>
                <w:szCs w:val="16"/>
                <w:color w:val="auto"/>
              </w:rPr>
            </w:pPr>
          </w:p>
        </w:tc>
        <w:tc>
          <w:tcPr>
            <w:tcW w:w="5480" w:type="dxa"/>
            <w:vAlign w:val="bottom"/>
            <w:tcBorders>
              <w:right w:val="single" w:sz="8" w:color="auto"/>
            </w:tcBorders>
          </w:tcPr>
          <w:p>
            <w:pPr>
              <w:ind w:left="60"/>
              <w:spacing w:after="0" w:line="184" w:lineRule="exact"/>
              <w:rPr>
                <w:sz w:val="20"/>
                <w:szCs w:val="20"/>
                <w:color w:val="auto"/>
              </w:rPr>
            </w:pPr>
            <w:r>
              <w:rPr>
                <w:rFonts w:ascii="Arial" w:cs="Arial" w:eastAsia="Arial" w:hAnsi="Arial"/>
                <w:sz w:val="18"/>
                <w:szCs w:val="18"/>
                <w:color w:val="auto"/>
              </w:rPr>
              <w:t>du  rapport  de  gestion,  et  sont  établis  conformément  aux</w:t>
            </w:r>
          </w:p>
        </w:tc>
      </w:tr>
      <w:tr>
        <w:trPr>
          <w:trHeight w:val="221"/>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xml:space="preserve">provisions of the CO, particularly of Articles 958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CO, and</w:t>
            </w:r>
          </w:p>
        </w:tc>
        <w:tc>
          <w:tcPr>
            <w:tcW w:w="220" w:type="dxa"/>
            <w:vAlign w:val="bottom"/>
            <w:tcBorders>
              <w:right w:val="single" w:sz="8" w:color="auto"/>
            </w:tcBorders>
          </w:tcPr>
          <w:p>
            <w:pPr>
              <w:spacing w:after="0"/>
              <w:rPr>
                <w:sz w:val="19"/>
                <w:szCs w:val="19"/>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dispositions du CO, en particulier des articles 958 ss. CO, et aux</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generally accepted commercial principles and customary rules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principes  commerciaux  généralement  reconnus  et  aux  règles</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 that business area.</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coutumières dans ce secteur d'activité.</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If required by law, the consolidated financial statements shall be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Si requis par la loi, les états financiers consolidés sont établis en</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drawn in accordance with the provisions of Article 962 CO.</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conformité avec les dispositions de l'article 962 CO.</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7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Art. 44  Allocation of Profits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Art. 44  Répartition des bénéfices</w:t>
            </w:r>
          </w:p>
        </w:tc>
      </w:tr>
      <w:tr>
        <w:trPr>
          <w:trHeight w:val="391"/>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Subject to the legal provisions regarding distribution of profits, the</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Sous réserve des dispositions légales en matière de répartition</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profit as shown on the balance sheet shall be allocated by the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des bénéfices, le bénéfice comme indiqué sur le bilan doit être</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General Meeting at its discretion after receipt of the proposals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alloué  à  la  libre  appréciation  de  l'assemblée  générale  après</w:t>
            </w:r>
          </w:p>
        </w:tc>
      </w:tr>
      <w:tr>
        <w:trPr>
          <w:trHeight w:val="203"/>
        </w:trPr>
        <w:tc>
          <w:tcPr>
            <w:tcW w:w="5540" w:type="dxa"/>
            <w:vAlign w:val="bottom"/>
            <w:tcBorders>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Board of Directors and the Auditors.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réception  des  propositions  du  conseil  d'administration  et  de</w:t>
            </w:r>
          </w:p>
        </w:tc>
      </w:tr>
      <w:tr>
        <w:trPr>
          <w:trHeight w:val="217"/>
        </w:trPr>
        <w:tc>
          <w:tcPr>
            <w:tcW w:w="5540" w:type="dxa"/>
            <w:vAlign w:val="bottom"/>
            <w:tcBorders>
              <w:left w:val="single" w:sz="8" w:color="auto"/>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l'organe de révision.</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63"/>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 addition to the legal reserves, the General Meeting may create</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En plus des réserves légales, l'assemblée générale peut créer des</w:t>
            </w:r>
          </w:p>
        </w:tc>
      </w:tr>
      <w:tr>
        <w:trPr>
          <w:trHeight w:val="217"/>
        </w:trPr>
        <w:tc>
          <w:tcPr>
            <w:tcW w:w="5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supplemental reserves.</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réserves supplémentaires.</w:t>
            </w:r>
          </w:p>
        </w:tc>
      </w:tr>
      <w:tr>
        <w:trPr>
          <w:trHeight w:val="54"/>
        </w:trPr>
        <w:tc>
          <w:tcPr>
            <w:tcW w:w="554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750"/>
        </w:trPr>
        <w:tc>
          <w:tcPr>
            <w:tcW w:w="5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5" w:right="339" w:bottom="1440" w:gutter="0" w:footer="0" w:header="0"/>
        </w:sectPr>
      </w:pPr>
    </w:p>
    <w:bookmarkStart w:id="73" w:name="page74"/>
    <w:bookmarkEnd w:id="7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6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94"/>
        </w:trPr>
        <w:tc>
          <w:tcPr>
            <w:tcW w:w="554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gridSpan w:val="2"/>
          </w:tcPr>
          <w:p>
            <w:pPr>
              <w:spacing w:after="0"/>
              <w:rPr>
                <w:sz w:val="8"/>
                <w:szCs w:val="8"/>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Dividends not claimed within five years after the due date shall</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dividendes non réclamés dans les cinq ans après la date</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remain with the Company and be allocated to the general reserves.</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d'échéance restent avec la société et sont attribués aux réserves</w:t>
            </w:r>
          </w:p>
        </w:tc>
      </w:tr>
      <w:tr>
        <w:trPr>
          <w:trHeight w:val="217"/>
        </w:trPr>
        <w:tc>
          <w:tcPr>
            <w:tcW w:w="680" w:type="dxa"/>
            <w:vAlign w:val="bottom"/>
            <w:tcBorders>
              <w:left w:val="single" w:sz="8" w:color="auto"/>
            </w:tcBorders>
          </w:tcPr>
          <w:p>
            <w:pPr>
              <w:spacing w:after="0"/>
              <w:rPr>
                <w:sz w:val="18"/>
                <w:szCs w:val="18"/>
                <w:color w:val="auto"/>
              </w:rPr>
            </w:pPr>
          </w:p>
        </w:tc>
        <w:tc>
          <w:tcPr>
            <w:tcW w:w="486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générales.</w:t>
            </w:r>
          </w:p>
        </w:tc>
      </w:tr>
      <w:tr>
        <w:trPr>
          <w:trHeight w:val="54"/>
        </w:trPr>
        <w:tc>
          <w:tcPr>
            <w:tcW w:w="680" w:type="dxa"/>
            <w:vAlign w:val="bottom"/>
            <w:tcBorders>
              <w:left w:val="single" w:sz="8" w:color="auto"/>
              <w:bottom w:val="single" w:sz="8" w:color="auto"/>
            </w:tcBorders>
          </w:tcPr>
          <w:p>
            <w:pPr>
              <w:spacing w:after="0"/>
              <w:rPr>
                <w:sz w:val="4"/>
                <w:szCs w:val="4"/>
                <w:color w:val="auto"/>
              </w:rPr>
            </w:pPr>
          </w:p>
        </w:tc>
        <w:tc>
          <w:tcPr>
            <w:tcW w:w="486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040" w:type="dxa"/>
            <w:vAlign w:val="bottom"/>
            <w:tcBorders>
              <w:bottom w:val="single" w:sz="8" w:color="auto"/>
              <w:right w:val="single" w:sz="8" w:color="auto"/>
            </w:tcBorders>
          </w:tcPr>
          <w:p>
            <w:pPr>
              <w:spacing w:after="0"/>
              <w:rPr>
                <w:sz w:val="4"/>
                <w:szCs w:val="4"/>
                <w:color w:val="auto"/>
              </w:rPr>
            </w:pPr>
          </w:p>
        </w:tc>
      </w:tr>
      <w:tr>
        <w:trPr>
          <w:trHeight w:val="277"/>
        </w:trPr>
        <w:tc>
          <w:tcPr>
            <w:tcW w:w="68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IX.</w:t>
            </w:r>
          </w:p>
        </w:tc>
        <w:tc>
          <w:tcPr>
            <w:tcW w:w="48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DISSOLUTION AND LIQUIDATION</w:t>
            </w:r>
          </w:p>
        </w:tc>
        <w:tc>
          <w:tcPr>
            <w:tcW w:w="220" w:type="dxa"/>
            <w:vAlign w:val="bottom"/>
            <w:tcBorders>
              <w:right w:val="single" w:sz="8" w:color="auto"/>
            </w:tcBorders>
          </w:tcPr>
          <w:p>
            <w:pPr>
              <w:spacing w:after="0"/>
              <w:rPr>
                <w:sz w:val="24"/>
                <w:szCs w:val="24"/>
                <w:color w:val="auto"/>
              </w:rPr>
            </w:pPr>
          </w:p>
        </w:tc>
        <w:tc>
          <w:tcPr>
            <w:tcW w:w="440" w:type="dxa"/>
            <w:vAlign w:val="bottom"/>
          </w:tcPr>
          <w:p>
            <w:pPr>
              <w:ind w:left="60"/>
              <w:spacing w:after="0"/>
              <w:rPr>
                <w:sz w:val="20"/>
                <w:szCs w:val="20"/>
                <w:color w:val="auto"/>
              </w:rPr>
            </w:pPr>
            <w:r>
              <w:rPr>
                <w:rFonts w:ascii="Arial" w:cs="Arial" w:eastAsia="Arial" w:hAnsi="Arial"/>
                <w:sz w:val="18"/>
                <w:szCs w:val="18"/>
                <w:b w:val="1"/>
                <w:bCs w:val="1"/>
                <w:color w:val="auto"/>
              </w:rPr>
              <w:t>IX.</w:t>
            </w:r>
          </w:p>
        </w:tc>
        <w:tc>
          <w:tcPr>
            <w:tcW w:w="5040" w:type="dxa"/>
            <w:vAlign w:val="bottom"/>
            <w:tcBorders>
              <w:right w:val="single" w:sz="8" w:color="auto"/>
            </w:tcBorders>
          </w:tcPr>
          <w:p>
            <w:pPr>
              <w:jc w:val="right"/>
              <w:ind w:right="2050"/>
              <w:spacing w:after="0"/>
              <w:rPr>
                <w:sz w:val="20"/>
                <w:szCs w:val="20"/>
                <w:color w:val="auto"/>
              </w:rPr>
            </w:pPr>
            <w:r>
              <w:rPr>
                <w:rFonts w:ascii="Arial" w:cs="Arial" w:eastAsia="Arial" w:hAnsi="Arial"/>
                <w:sz w:val="18"/>
                <w:szCs w:val="18"/>
                <w:b w:val="1"/>
                <w:bCs w:val="1"/>
                <w:color w:val="auto"/>
              </w:rPr>
              <w:t>DISSOLUTION ET LIQUIDATION</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Art. 45  Dissolution and Liquidation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45 Dissolution et Liquidation</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dissolution and liquidation of the Company shall take place in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La dissolution et la liquidation de la société ont lieu en conformité</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accordance with the provisions of the CO.</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avec les dispositions du CO.</w:t>
            </w:r>
          </w:p>
        </w:tc>
      </w:tr>
      <w:tr>
        <w:trPr>
          <w:trHeight w:val="54"/>
        </w:trPr>
        <w:tc>
          <w:tcPr>
            <w:tcW w:w="680" w:type="dxa"/>
            <w:vAlign w:val="bottom"/>
            <w:tcBorders>
              <w:left w:val="single" w:sz="8" w:color="auto"/>
              <w:bottom w:val="single" w:sz="8" w:color="auto"/>
            </w:tcBorders>
          </w:tcPr>
          <w:p>
            <w:pPr>
              <w:spacing w:after="0"/>
              <w:rPr>
                <w:sz w:val="4"/>
                <w:szCs w:val="4"/>
                <w:color w:val="auto"/>
              </w:rPr>
            </w:pPr>
          </w:p>
        </w:tc>
        <w:tc>
          <w:tcPr>
            <w:tcW w:w="486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040" w:type="dxa"/>
            <w:vAlign w:val="bottom"/>
            <w:tcBorders>
              <w:bottom w:val="single" w:sz="8" w:color="auto"/>
              <w:right w:val="single" w:sz="8" w:color="auto"/>
            </w:tcBorders>
          </w:tcPr>
          <w:p>
            <w:pPr>
              <w:spacing w:after="0"/>
              <w:rPr>
                <w:sz w:val="4"/>
                <w:szCs w:val="4"/>
                <w:color w:val="auto"/>
              </w:rPr>
            </w:pPr>
          </w:p>
        </w:tc>
      </w:tr>
      <w:tr>
        <w:trPr>
          <w:trHeight w:val="277"/>
        </w:trPr>
        <w:tc>
          <w:tcPr>
            <w:tcW w:w="68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X.</w:t>
            </w:r>
          </w:p>
        </w:tc>
        <w:tc>
          <w:tcPr>
            <w:tcW w:w="48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NOTICES AND PUBLICATIONS</w:t>
            </w:r>
          </w:p>
        </w:tc>
        <w:tc>
          <w:tcPr>
            <w:tcW w:w="220" w:type="dxa"/>
            <w:vAlign w:val="bottom"/>
            <w:tcBorders>
              <w:right w:val="single" w:sz="8" w:color="auto"/>
            </w:tcBorders>
          </w:tcPr>
          <w:p>
            <w:pPr>
              <w:spacing w:after="0"/>
              <w:rPr>
                <w:sz w:val="24"/>
                <w:szCs w:val="24"/>
                <w:color w:val="auto"/>
              </w:rPr>
            </w:pPr>
          </w:p>
        </w:tc>
        <w:tc>
          <w:tcPr>
            <w:tcW w:w="440" w:type="dxa"/>
            <w:vAlign w:val="bottom"/>
          </w:tcPr>
          <w:p>
            <w:pPr>
              <w:ind w:left="60"/>
              <w:spacing w:after="0"/>
              <w:rPr>
                <w:sz w:val="20"/>
                <w:szCs w:val="20"/>
                <w:color w:val="auto"/>
              </w:rPr>
            </w:pPr>
            <w:r>
              <w:rPr>
                <w:rFonts w:ascii="Arial" w:cs="Arial" w:eastAsia="Arial" w:hAnsi="Arial"/>
                <w:sz w:val="18"/>
                <w:szCs w:val="18"/>
                <w:b w:val="1"/>
                <w:bCs w:val="1"/>
                <w:color w:val="auto"/>
              </w:rPr>
              <w:t>X.</w:t>
            </w:r>
          </w:p>
        </w:tc>
        <w:tc>
          <w:tcPr>
            <w:tcW w:w="5040" w:type="dxa"/>
            <w:vAlign w:val="bottom"/>
            <w:tcBorders>
              <w:right w:val="single" w:sz="8" w:color="auto"/>
            </w:tcBorders>
          </w:tcPr>
          <w:p>
            <w:pPr>
              <w:jc w:val="right"/>
              <w:ind w:right="2650"/>
              <w:spacing w:after="0"/>
              <w:rPr>
                <w:sz w:val="20"/>
                <w:szCs w:val="20"/>
                <w:color w:val="auto"/>
              </w:rPr>
            </w:pPr>
            <w:r>
              <w:rPr>
                <w:rFonts w:ascii="Arial" w:cs="Arial" w:eastAsia="Arial" w:hAnsi="Arial"/>
                <w:sz w:val="18"/>
                <w:szCs w:val="18"/>
                <w:b w:val="1"/>
                <w:bCs w:val="1"/>
                <w:color w:val="auto"/>
              </w:rPr>
              <w:t>AVIS ET PUBLICATIONS</w:t>
            </w:r>
          </w:p>
        </w:tc>
      </w:tr>
      <w:tr>
        <w:trPr>
          <w:trHeight w:val="54"/>
        </w:trPr>
        <w:tc>
          <w:tcPr>
            <w:tcW w:w="680" w:type="dxa"/>
            <w:vAlign w:val="bottom"/>
            <w:tcBorders>
              <w:left w:val="single" w:sz="8" w:color="auto"/>
              <w:bottom w:val="single" w:sz="8" w:color="auto"/>
            </w:tcBorders>
          </w:tcPr>
          <w:p>
            <w:pPr>
              <w:spacing w:after="0"/>
              <w:rPr>
                <w:sz w:val="4"/>
                <w:szCs w:val="4"/>
                <w:color w:val="auto"/>
              </w:rPr>
            </w:pPr>
          </w:p>
        </w:tc>
        <w:tc>
          <w:tcPr>
            <w:tcW w:w="486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77"/>
        </w:trPr>
        <w:tc>
          <w:tcPr>
            <w:tcW w:w="680" w:type="dxa"/>
            <w:vAlign w:val="bottom"/>
            <w:tcBorders>
              <w:left w:val="single" w:sz="8" w:color="auto"/>
            </w:tcBorders>
          </w:tcPr>
          <w:p>
            <w:pPr>
              <w:ind w:left="80"/>
              <w:spacing w:after="0"/>
              <w:rPr>
                <w:sz w:val="20"/>
                <w:szCs w:val="20"/>
                <w:color w:val="auto"/>
              </w:rPr>
            </w:pPr>
            <w:r>
              <w:rPr>
                <w:rFonts w:ascii="Arial" w:cs="Arial" w:eastAsia="Arial" w:hAnsi="Arial"/>
                <w:sz w:val="18"/>
                <w:szCs w:val="18"/>
                <w:b w:val="1"/>
                <w:bCs w:val="1"/>
                <w:color w:val="auto"/>
              </w:rPr>
              <w:t>Art. 46</w:t>
            </w:r>
          </w:p>
        </w:tc>
        <w:tc>
          <w:tcPr>
            <w:tcW w:w="48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Notices and Publications</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Art. 46  Avis et Publications</w:t>
            </w:r>
          </w:p>
        </w:tc>
      </w:tr>
      <w:tr>
        <w:trPr>
          <w:trHeight w:val="391"/>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The Swiss Official Gazette of Commerce is the official publication</w:t>
            </w:r>
          </w:p>
        </w:tc>
        <w:tc>
          <w:tcPr>
            <w:tcW w:w="22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L'organe de publication légal est la Feuille officielle suisse du</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medium.</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commerce.</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Shareholder communications and notices to the shareholders shall</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Les communications et avis aux actionnaires sont effectués par</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be made by publication in the Swiss Official Gazette of Commerce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publication  dans  la  Feuille  officielle  suisse  du  commerce  ou</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or sent by mail or e-mail to the addresses registered in the share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envoyés par courrier ou e-mail aux adresses enregistrées dans le</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register.</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registre des actions.</w:t>
            </w:r>
          </w:p>
        </w:tc>
      </w:tr>
      <w:tr>
        <w:trPr>
          <w:trHeight w:val="54"/>
        </w:trPr>
        <w:tc>
          <w:tcPr>
            <w:tcW w:w="5540" w:type="dxa"/>
            <w:vAlign w:val="bottom"/>
            <w:tcBorders>
              <w:left w:val="single" w:sz="8" w:color="auto"/>
              <w:bottom w:val="single" w:sz="8" w:color="auto"/>
              <w:right w:val="single" w:sz="8" w:color="auto"/>
            </w:tcBorders>
            <w:gridSpan w:val="2"/>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gridSpan w:val="2"/>
          </w:tcPr>
          <w:p>
            <w:pPr>
              <w:spacing w:after="0"/>
              <w:rPr>
                <w:sz w:val="4"/>
                <w:szCs w:val="4"/>
                <w:color w:val="auto"/>
              </w:rPr>
            </w:pPr>
          </w:p>
        </w:tc>
      </w:tr>
      <w:tr>
        <w:trPr>
          <w:trHeight w:val="263"/>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Unless the law provides otherwise, notices shall be given to</w:t>
            </w:r>
          </w:p>
        </w:tc>
        <w:tc>
          <w:tcPr>
            <w:tcW w:w="220" w:type="dxa"/>
            <w:vAlign w:val="bottom"/>
            <w:tcBorders>
              <w:right w:val="single" w:sz="8" w:color="auto"/>
            </w:tcBorders>
          </w:tcPr>
          <w:p>
            <w:pPr>
              <w:spacing w:after="0"/>
              <w:rPr>
                <w:sz w:val="22"/>
                <w:szCs w:val="22"/>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Sauf si la loi en dispose autrement, les avis seront envoyés aux</w:t>
            </w:r>
          </w:p>
        </w:tc>
      </w:tr>
      <w:tr>
        <w:trPr>
          <w:trHeight w:val="202"/>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creditors by publication in the Swiss Official Gazette of Commerce.</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créanciers  par  publication  dans  la  Feuille  officielle  suisse  du</w:t>
            </w:r>
          </w:p>
        </w:tc>
      </w:tr>
      <w:tr>
        <w:trPr>
          <w:trHeight w:val="203"/>
        </w:trPr>
        <w:tc>
          <w:tcPr>
            <w:tcW w:w="5540" w:type="dxa"/>
            <w:vAlign w:val="bottom"/>
            <w:tcBorders>
              <w:left w:val="single" w:sz="8" w:color="auto"/>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The  Board  of  Directors  may  assign  further  means  of</w:t>
            </w:r>
          </w:p>
        </w:tc>
        <w:tc>
          <w:tcPr>
            <w:tcW w:w="220" w:type="dxa"/>
            <w:vAlign w:val="bottom"/>
            <w:tcBorders>
              <w:right w:val="single" w:sz="8" w:color="auto"/>
            </w:tcBorders>
          </w:tcPr>
          <w:p>
            <w:pPr>
              <w:spacing w:after="0"/>
              <w:rPr>
                <w:sz w:val="17"/>
                <w:szCs w:val="17"/>
                <w:color w:val="auto"/>
              </w:rPr>
            </w:pPr>
          </w:p>
        </w:tc>
        <w:tc>
          <w:tcPr>
            <w:tcW w:w="5480" w:type="dxa"/>
            <w:vAlign w:val="bottom"/>
            <w:tcBorders>
              <w:right w:val="single" w:sz="8" w:color="auto"/>
            </w:tcBorders>
            <w:gridSpan w:val="2"/>
          </w:tcPr>
          <w:p>
            <w:pPr>
              <w:ind w:left="60"/>
              <w:spacing w:after="0" w:line="202" w:lineRule="exact"/>
              <w:rPr>
                <w:sz w:val="20"/>
                <w:szCs w:val="20"/>
                <w:color w:val="auto"/>
              </w:rPr>
            </w:pPr>
            <w:r>
              <w:rPr>
                <w:rFonts w:ascii="Arial" w:cs="Arial" w:eastAsia="Arial" w:hAnsi="Arial"/>
                <w:sz w:val="18"/>
                <w:szCs w:val="18"/>
                <w:color w:val="auto"/>
              </w:rPr>
              <w:t>commerce.  Le  conseil  d'administration  peut  prévoir  d'autres</w:t>
            </w:r>
          </w:p>
        </w:tc>
      </w:tr>
      <w:tr>
        <w:trPr>
          <w:trHeight w:val="217"/>
        </w:trPr>
        <w:tc>
          <w:tcPr>
            <w:tcW w:w="554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communication.</w:t>
            </w:r>
          </w:p>
        </w:tc>
        <w:tc>
          <w:tcPr>
            <w:tcW w:w="22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moyens de communication.</w:t>
            </w:r>
          </w:p>
        </w:tc>
      </w:tr>
      <w:tr>
        <w:trPr>
          <w:trHeight w:val="54"/>
        </w:trPr>
        <w:tc>
          <w:tcPr>
            <w:tcW w:w="680" w:type="dxa"/>
            <w:vAlign w:val="bottom"/>
            <w:tcBorders>
              <w:left w:val="single" w:sz="8" w:color="auto"/>
              <w:bottom w:val="single" w:sz="8" w:color="auto"/>
            </w:tcBorders>
          </w:tcPr>
          <w:p>
            <w:pPr>
              <w:spacing w:after="0"/>
              <w:rPr>
                <w:sz w:val="4"/>
                <w:szCs w:val="4"/>
                <w:color w:val="auto"/>
              </w:rPr>
            </w:pPr>
          </w:p>
        </w:tc>
        <w:tc>
          <w:tcPr>
            <w:tcW w:w="486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04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Statuts modifiés lors de la séance du conseil d'administration du 14 septembre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L'atteste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Exhibits 5.1 and 23.1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 Dr. Rolf Watter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Rechtsanwalt, LL.M.</w:t>
      </w:r>
    </w:p>
    <w:p>
      <w:pPr>
        <w:spacing w:after="0" w:line="234" w:lineRule="auto"/>
        <w:rPr>
          <w:sz w:val="20"/>
          <w:szCs w:val="20"/>
          <w:color w:val="auto"/>
        </w:rPr>
      </w:pPr>
      <w:r>
        <w:rPr>
          <w:rFonts w:ascii="Arial" w:cs="Arial" w:eastAsia="Arial" w:hAnsi="Arial"/>
          <w:sz w:val="18"/>
          <w:szCs w:val="18"/>
          <w:color w:val="auto"/>
        </w:rPr>
        <w:t>+41 58 261 52 80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rolf.watter@baerkarrer.ch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Postfach 1548 | CH-8002 Zürich</w:t>
      </w:r>
    </w:p>
    <w:p>
      <w:pPr>
        <w:spacing w:after="0" w:line="234" w:lineRule="auto"/>
        <w:rPr>
          <w:sz w:val="20"/>
          <w:szCs w:val="20"/>
          <w:color w:val="auto"/>
        </w:rPr>
      </w:pPr>
      <w:r>
        <w:rPr>
          <w:rFonts w:ascii="Arial" w:cs="Arial" w:eastAsia="Arial" w:hAnsi="Arial"/>
          <w:sz w:val="18"/>
          <w:szCs w:val="18"/>
          <w:b w:val="1"/>
          <w:bCs w:val="1"/>
          <w:color w:val="auto"/>
        </w:rPr>
        <w:t>AC Immune SA</w:t>
      </w:r>
    </w:p>
    <w:p>
      <w:pPr>
        <w:spacing w:after="0" w:line="235" w:lineRule="auto"/>
        <w:rPr>
          <w:sz w:val="20"/>
          <w:szCs w:val="20"/>
          <w:color w:val="auto"/>
        </w:rPr>
      </w:pPr>
      <w:r>
        <w:rPr>
          <w:rFonts w:ascii="Arial" w:cs="Arial" w:eastAsia="Arial" w:hAnsi="Arial"/>
          <w:sz w:val="18"/>
          <w:szCs w:val="18"/>
          <w:color w:val="auto"/>
        </w:rPr>
        <w:t>EPFL Innovation Park, bâtiment B</w:t>
      </w:r>
    </w:p>
    <w:p>
      <w:pPr>
        <w:ind w:left="140"/>
        <w:spacing w:after="0" w:line="235" w:lineRule="auto"/>
        <w:rPr>
          <w:sz w:val="20"/>
          <w:szCs w:val="20"/>
          <w:color w:val="auto"/>
        </w:rPr>
      </w:pPr>
      <w:r>
        <w:rPr>
          <w:rFonts w:ascii="Arial" w:cs="Arial" w:eastAsia="Arial" w:hAnsi="Arial"/>
          <w:sz w:val="18"/>
          <w:szCs w:val="18"/>
          <w:color w:val="auto"/>
        </w:rPr>
        <w:t>1015 Lausanne</w:t>
      </w:r>
    </w:p>
    <w:p>
      <w:pPr>
        <w:spacing w:after="0"/>
        <w:rPr>
          <w:sz w:val="20"/>
          <w:szCs w:val="20"/>
          <w:color w:val="auto"/>
        </w:rPr>
      </w:pPr>
      <w:r>
        <w:rPr>
          <w:rFonts w:ascii="Arial" w:cs="Arial" w:eastAsia="Arial" w:hAnsi="Arial"/>
          <w:sz w:val="18"/>
          <w:szCs w:val="18"/>
          <w:color w:val="auto"/>
        </w:rPr>
        <w:t>Switzerland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Zurich, 23 October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 - Registration Statement on Form F-3</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Ladies, Gentlemen</w:t>
      </w:r>
    </w:p>
    <w:p>
      <w:pPr>
        <w:spacing w:after="0" w:line="17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We have acted as Swiss legal counsel to AC Immune SA, Ecublens (VD) (the "</w:t>
      </w:r>
      <w:r>
        <w:rPr>
          <w:rFonts w:ascii="Arial" w:cs="Arial" w:eastAsia="Arial" w:hAnsi="Arial"/>
          <w:sz w:val="18"/>
          <w:szCs w:val="18"/>
          <w:b w:val="1"/>
          <w:bCs w:val="1"/>
          <w:color w:val="auto"/>
        </w:rPr>
        <w:t>Issuer</w:t>
      </w:r>
      <w:r>
        <w:rPr>
          <w:rFonts w:ascii="Arial" w:cs="Arial" w:eastAsia="Arial" w:hAnsi="Arial"/>
          <w:sz w:val="18"/>
          <w:szCs w:val="18"/>
          <w:color w:val="auto"/>
        </w:rPr>
        <w:t>") in connection with a Registration Statement on Form F-3 (File No. 333-224694) filed on 23 October 2020 under the United States Securities Act of 1933, as amended (the "</w:t>
      </w:r>
      <w:r>
        <w:rPr>
          <w:rFonts w:ascii="Arial" w:cs="Arial" w:eastAsia="Arial" w:hAnsi="Arial"/>
          <w:sz w:val="18"/>
          <w:szCs w:val="18"/>
          <w:b w:val="1"/>
          <w:bCs w:val="1"/>
          <w:color w:val="auto"/>
        </w:rPr>
        <w:t>Securities</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relating to the registration of 11,999,999 common shares of the Issuer, each with a nominal value of CHF 0.02 (the "</w:t>
      </w:r>
      <w:r>
        <w:rPr>
          <w:rFonts w:ascii="Arial" w:cs="Arial" w:eastAsia="Arial" w:hAnsi="Arial"/>
          <w:sz w:val="18"/>
          <w:szCs w:val="18"/>
          <w:b w:val="1"/>
          <w:bCs w:val="1"/>
          <w:color w:val="auto"/>
        </w:rPr>
        <w:t>Registered Shares</w:t>
      </w:r>
      <w:r>
        <w:rPr>
          <w:rFonts w:ascii="Arial" w:cs="Arial" w:eastAsia="Arial" w:hAnsi="Arial"/>
          <w:sz w:val="18"/>
          <w:szCs w:val="18"/>
          <w:color w:val="auto"/>
        </w:rPr>
        <w:t>"). As such counsel, we have been requested to give our opinion as to certain legal matters of Swiss law.</w:t>
      </w:r>
    </w:p>
    <w:p>
      <w:pPr>
        <w:spacing w:after="0" w:line="160"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Scope and Limitation of Opinion</w:t>
      </w:r>
    </w:p>
    <w:p>
      <w:pPr>
        <w:spacing w:after="0" w:line="220" w:lineRule="exact"/>
        <w:rPr>
          <w:rFonts w:ascii="Arial" w:cs="Arial" w:eastAsia="Arial" w:hAnsi="Arial"/>
          <w:sz w:val="18"/>
          <w:szCs w:val="18"/>
          <w:b w:val="1"/>
          <w:bCs w:val="1"/>
          <w:color w:val="auto"/>
        </w:rPr>
      </w:pPr>
    </w:p>
    <w:p>
      <w:pPr>
        <w:jc w:val="both"/>
        <w:ind w:left="340"/>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Our opinion only speaks as of the date hereof and is strictly confined to matters of Swiss law as in force at the date hereof. Such law and its interpretation are subject to change. In the absence of explicit statutory law, we base our opinion solely on our independent professional judgment. Our opinion is strictly limited to the Documents (as defined below) and the matters stated herein and is not to be read as extending, by implication or otherwise, to any agreement or document referred to in any of the Documents or any other matter. For purposes of this opinion, we have not conducted any due diligence or similar investigation or verification as to any matters stated herein. In this opinion, Swiss legal concepts are expressed in English terms and not in their original language. These concepts may not be identical to the concepts described by the same English language terms as they exist under the laws of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ind w:left="332" w:hanging="332"/>
        <w:spacing w:after="0"/>
        <w:tabs>
          <w:tab w:leader="none" w:pos="33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p>
    <w:p>
      <w:pPr>
        <w:spacing w:after="0" w:line="220" w:lineRule="exact"/>
        <w:rPr>
          <w:rFonts w:ascii="Arial" w:cs="Arial" w:eastAsia="Arial" w:hAnsi="Arial"/>
          <w:sz w:val="18"/>
          <w:szCs w:val="18"/>
          <w:b w:val="1"/>
          <w:bCs w:val="1"/>
          <w:color w:val="auto"/>
        </w:rPr>
      </w:pPr>
    </w:p>
    <w:p>
      <w:pPr>
        <w:ind w:left="332" w:right="20"/>
        <w:spacing w:after="0" w:line="246" w:lineRule="auto"/>
        <w:rPr>
          <w:rFonts w:ascii="Arial" w:cs="Arial" w:eastAsia="Arial" w:hAnsi="Arial"/>
          <w:sz w:val="18"/>
          <w:szCs w:val="18"/>
          <w:b w:val="1"/>
          <w:bCs w:val="1"/>
          <w:color w:val="auto"/>
        </w:rPr>
      </w:pPr>
      <w:r>
        <w:rPr>
          <w:rFonts w:ascii="Arial" w:cs="Arial" w:eastAsia="Arial" w:hAnsi="Arial"/>
          <w:sz w:val="18"/>
          <w:szCs w:val="18"/>
          <w:color w:val="auto"/>
        </w:rPr>
        <w:t>In arriving at the opinions expressed in Section 4 below, we have exclusively examined and relied on the following documents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183" w:lineRule="exact"/>
        <w:rPr>
          <w:rFonts w:ascii="Arial" w:cs="Arial" w:eastAsia="Arial" w:hAnsi="Arial"/>
          <w:sz w:val="18"/>
          <w:szCs w:val="18"/>
          <w:b w:val="1"/>
          <w:bCs w:val="1"/>
          <w:color w:val="auto"/>
        </w:rPr>
      </w:pPr>
    </w:p>
    <w:p>
      <w:pPr>
        <w:ind w:left="852" w:hanging="528"/>
        <w:spacing w:after="0"/>
        <w:tabs>
          <w:tab w:leader="none" w:pos="852"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pdf copy of the Registration Statement;</w:t>
      </w:r>
    </w:p>
    <w:p>
      <w:pPr>
        <w:spacing w:after="0" w:line="198" w:lineRule="exact"/>
        <w:rPr>
          <w:rFonts w:ascii="Arial" w:cs="Arial" w:eastAsia="Arial" w:hAnsi="Arial"/>
          <w:sz w:val="18"/>
          <w:szCs w:val="18"/>
          <w:color w:val="auto"/>
        </w:rPr>
      </w:pPr>
    </w:p>
    <w:p>
      <w:pPr>
        <w:ind w:left="852" w:hanging="528"/>
        <w:spacing w:after="0" w:line="246" w:lineRule="auto"/>
        <w:tabs>
          <w:tab w:leader="none" w:pos="852"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pdf copy of an extract from the Commercial Register of the Canton of Vaud in respect of the Issuer, certified by such Commercial Register as of 15 September 2020 (the "</w:t>
      </w:r>
      <w:r>
        <w:rPr>
          <w:rFonts w:ascii="Arial" w:cs="Arial" w:eastAsia="Arial" w:hAnsi="Arial"/>
          <w:sz w:val="18"/>
          <w:szCs w:val="18"/>
          <w:b w:val="1"/>
          <w:bCs w:val="1"/>
          <w:color w:val="auto"/>
        </w:rPr>
        <w:t>Extract</w:t>
      </w:r>
      <w:r>
        <w:rPr>
          <w:rFonts w:ascii="Arial" w:cs="Arial" w:eastAsia="Arial" w:hAnsi="Arial"/>
          <w:sz w:val="18"/>
          <w:szCs w:val="18"/>
          <w:color w:val="auto"/>
        </w:rPr>
        <w:t>"); and</w:t>
      </w:r>
    </w:p>
    <w:p>
      <w:pPr>
        <w:spacing w:after="0" w:line="183" w:lineRule="exact"/>
        <w:rPr>
          <w:rFonts w:ascii="Arial" w:cs="Arial" w:eastAsia="Arial" w:hAnsi="Arial"/>
          <w:sz w:val="18"/>
          <w:szCs w:val="18"/>
          <w:color w:val="auto"/>
        </w:rPr>
      </w:pPr>
    </w:p>
    <w:p>
      <w:pPr>
        <w:ind w:left="852" w:hanging="528"/>
        <w:spacing w:after="0" w:line="246" w:lineRule="auto"/>
        <w:tabs>
          <w:tab w:leader="none" w:pos="852"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pdf copy of the certified articles of association of the Issuer dated 14 September 2020, to correspond to the latest version filed with the Commercial Register of the Canton of Vaud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161" w:lineRule="exact"/>
        <w:rPr>
          <w:sz w:val="20"/>
          <w:szCs w:val="20"/>
          <w:color w:val="auto"/>
        </w:rPr>
      </w:pPr>
    </w:p>
    <w:p>
      <w:pPr>
        <w:ind w:left="332" w:hanging="332"/>
        <w:spacing w:after="0"/>
        <w:tabs>
          <w:tab w:leader="none" w:pos="33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0"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In arriving at the opinions expressed in Section 4 below, we have assumed (without verification) each of the following:</w:t>
      </w:r>
    </w:p>
    <w:p>
      <w:pPr>
        <w:spacing w:after="0" w:line="198" w:lineRule="exact"/>
        <w:rPr>
          <w:rFonts w:ascii="Arial" w:cs="Arial" w:eastAsia="Arial" w:hAnsi="Arial"/>
          <w:sz w:val="18"/>
          <w:szCs w:val="18"/>
          <w:b w:val="1"/>
          <w:bCs w:val="1"/>
          <w:color w:val="auto"/>
        </w:rPr>
      </w:pPr>
    </w:p>
    <w:p>
      <w:pPr>
        <w:ind w:left="852" w:hanging="528"/>
        <w:spacing w:after="0"/>
        <w:tabs>
          <w:tab w:leader="none" w:pos="85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that all documents submitted to us in a form other than an original conform to authentic and complete originals;</w:t>
      </w:r>
    </w:p>
    <w:p>
      <w:pPr>
        <w:spacing w:after="0" w:line="198" w:lineRule="exact"/>
        <w:rPr>
          <w:rFonts w:ascii="Arial" w:cs="Arial" w:eastAsia="Arial" w:hAnsi="Arial"/>
          <w:sz w:val="18"/>
          <w:szCs w:val="18"/>
          <w:color w:val="auto"/>
        </w:rPr>
      </w:pPr>
    </w:p>
    <w:p>
      <w:pPr>
        <w:ind w:left="852" w:hanging="528"/>
        <w:spacing w:after="0"/>
        <w:tabs>
          <w:tab w:leader="none" w:pos="85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that all signatures on documents examined are genuine;</w:t>
      </w:r>
    </w:p>
    <w:p>
      <w:pPr>
        <w:spacing w:after="0" w:line="198" w:lineRule="exact"/>
        <w:rPr>
          <w:rFonts w:ascii="Arial" w:cs="Arial" w:eastAsia="Arial" w:hAnsi="Arial"/>
          <w:sz w:val="18"/>
          <w:szCs w:val="18"/>
          <w:color w:val="auto"/>
        </w:rPr>
      </w:pPr>
    </w:p>
    <w:p>
      <w:pPr>
        <w:ind w:left="852" w:hanging="528"/>
        <w:spacing w:after="0" w:line="246" w:lineRule="auto"/>
        <w:tabs>
          <w:tab w:leader="none" w:pos="85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 the extent relevant for purposes of this opinion, any and all information contained in the Documents is and will be true, complete and accurate at all relevant times;</w:t>
      </w:r>
    </w:p>
    <w:p>
      <w:pPr>
        <w:spacing w:after="0" w:line="183" w:lineRule="exact"/>
        <w:rPr>
          <w:rFonts w:ascii="Arial" w:cs="Arial" w:eastAsia="Arial" w:hAnsi="Arial"/>
          <w:sz w:val="18"/>
          <w:szCs w:val="18"/>
          <w:color w:val="auto"/>
        </w:rPr>
      </w:pPr>
    </w:p>
    <w:p>
      <w:pPr>
        <w:ind w:left="852" w:hanging="528"/>
        <w:spacing w:after="0" w:line="246" w:lineRule="auto"/>
        <w:tabs>
          <w:tab w:leader="none" w:pos="85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that the Extract and the Articles are unchanged, correct, up-to-date and in full force and effect as of the date hereof and no changes have been made in such documents;</w:t>
      </w:r>
    </w:p>
    <w:p>
      <w:pPr>
        <w:spacing w:after="0" w:line="161" w:lineRule="exact"/>
        <w:rPr>
          <w:rFonts w:ascii="Arial" w:cs="Arial" w:eastAsia="Arial" w:hAnsi="Arial"/>
          <w:sz w:val="18"/>
          <w:szCs w:val="18"/>
          <w:color w:val="auto"/>
        </w:rPr>
      </w:pPr>
    </w:p>
    <w:p>
      <w:pPr>
        <w:jc w:val="both"/>
        <w:ind w:left="852" w:hanging="528"/>
        <w:spacing w:after="0" w:line="244" w:lineRule="auto"/>
        <w:tabs>
          <w:tab w:leader="none" w:pos="85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that the Issuer is neither insolvent or over-indebted (in the sense of article 725 of the Swiss Code of Obligations (the "</w:t>
      </w:r>
      <w:r>
        <w:rPr>
          <w:rFonts w:ascii="Arial" w:cs="Arial" w:eastAsia="Arial" w:hAnsi="Arial"/>
          <w:sz w:val="18"/>
          <w:szCs w:val="18"/>
          <w:b w:val="1"/>
          <w:bCs w:val="1"/>
          <w:color w:val="auto"/>
        </w:rPr>
        <w:t>CO</w:t>
      </w:r>
      <w:r>
        <w:rPr>
          <w:rFonts w:ascii="Arial" w:cs="Arial" w:eastAsia="Arial" w:hAnsi="Arial"/>
          <w:sz w:val="18"/>
          <w:szCs w:val="18"/>
          <w:color w:val="auto"/>
        </w:rPr>
        <w:t>")), has not passed a resolution for its dissolution, winding-up or liquidation, no petition has been presented or order made by a court or other competent authority for the dissolution, winding-up, liquidation, bankruptcy, moratorium, composition with creditors or administration of any party and no receiver, trustee in bankruptcy, administrator or similar officer has been appointed in relation to any of the parties or any of their assets or revenues;</w:t>
      </w:r>
    </w:p>
    <w:p>
      <w:pPr>
        <w:spacing w:after="0" w:line="184" w:lineRule="exact"/>
        <w:rPr>
          <w:rFonts w:ascii="Arial" w:cs="Arial" w:eastAsia="Arial" w:hAnsi="Arial"/>
          <w:sz w:val="18"/>
          <w:szCs w:val="18"/>
          <w:color w:val="auto"/>
        </w:rPr>
      </w:pPr>
    </w:p>
    <w:p>
      <w:pPr>
        <w:jc w:val="both"/>
        <w:ind w:left="852" w:hanging="528"/>
        <w:spacing w:after="0"/>
        <w:tabs>
          <w:tab w:leader="none" w:pos="85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that all authorizations, consents, licenses, exemptions, notices, filings, publications or registrations which may be necessary under any applicable laws or regulations, other than the laws of Switzerland, in connection the issuance of the Registered Shares have been or will be duly obtained or made in time, remain in full force and effect at the date of this letter and, where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343535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576" w:right="339" w:bottom="1440" w:gutter="0" w:footer="0" w:header="0"/>
        </w:sectPr>
      </w:pPr>
    </w:p>
    <w:bookmarkStart w:id="76" w:name="page77"/>
    <w:bookmarkEnd w:id="76"/>
    <w:p>
      <w:pPr>
        <w:ind w:left="332"/>
        <w:spacing w:after="0" w:line="246" w:lineRule="auto"/>
        <w:rPr>
          <w:sz w:val="20"/>
          <w:szCs w:val="20"/>
          <w:color w:val="auto"/>
        </w:rPr>
      </w:pPr>
      <w:r>
        <w:rPr>
          <w:rFonts w:ascii="Arial" w:cs="Arial" w:eastAsia="Arial" w:hAnsi="Arial"/>
          <w:sz w:val="18"/>
          <w:szCs w:val="18"/>
          <w:color w:val="auto"/>
        </w:rPr>
        <w:t>will be obtained and maintained in the future, and that any related conditions have been fulfilled and any related covenants will be complied with;</w:t>
      </w:r>
    </w:p>
    <w:p>
      <w:pPr>
        <w:spacing w:after="0" w:line="183" w:lineRule="exact"/>
        <w:rPr>
          <w:sz w:val="20"/>
          <w:szCs w:val="20"/>
          <w:color w:val="auto"/>
        </w:rPr>
      </w:pPr>
    </w:p>
    <w:p>
      <w:pPr>
        <w:ind w:left="852" w:hanging="528"/>
        <w:spacing w:after="0"/>
        <w:tabs>
          <w:tab w:leader="none" w:pos="8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Registration Statement has been or will be duly filed by the Issuer and will continue to be effective;</w:t>
      </w:r>
    </w:p>
    <w:p>
      <w:pPr>
        <w:spacing w:after="0" w:line="198" w:lineRule="exact"/>
        <w:rPr>
          <w:rFonts w:ascii="Arial" w:cs="Arial" w:eastAsia="Arial" w:hAnsi="Arial"/>
          <w:sz w:val="18"/>
          <w:szCs w:val="18"/>
          <w:color w:val="auto"/>
        </w:rPr>
      </w:pPr>
    </w:p>
    <w:p>
      <w:pPr>
        <w:ind w:left="852" w:hanging="528"/>
        <w:spacing w:after="0" w:line="246" w:lineRule="auto"/>
        <w:tabs>
          <w:tab w:leader="none" w:pos="8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Issuer has not entered and will not enter into any transaction which could be construed as repayment of share capital and has not undertaken and will not undertake an acquisition in kind or intended acquisition in kind; and</w:t>
      </w:r>
    </w:p>
    <w:p>
      <w:pPr>
        <w:spacing w:after="0" w:line="183" w:lineRule="exact"/>
        <w:rPr>
          <w:rFonts w:ascii="Arial" w:cs="Arial" w:eastAsia="Arial" w:hAnsi="Arial"/>
          <w:sz w:val="18"/>
          <w:szCs w:val="18"/>
          <w:color w:val="auto"/>
        </w:rPr>
      </w:pPr>
    </w:p>
    <w:p>
      <w:pPr>
        <w:ind w:left="852" w:hanging="528"/>
        <w:spacing w:after="0" w:line="246" w:lineRule="auto"/>
        <w:tabs>
          <w:tab w:leader="none" w:pos="8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that any Swiss federal stamp duties due in connection with the issuance of the Registered Shares will be remitted to the Swiss tax authorities.</w:t>
      </w:r>
    </w:p>
    <w:p>
      <w:pPr>
        <w:spacing w:after="0" w:line="161" w:lineRule="exact"/>
        <w:rPr>
          <w:sz w:val="20"/>
          <w:szCs w:val="20"/>
          <w:color w:val="auto"/>
        </w:rPr>
      </w:pPr>
    </w:p>
    <w:p>
      <w:pPr>
        <w:ind w:left="332" w:hanging="332"/>
        <w:spacing w:after="0"/>
        <w:tabs>
          <w:tab w:leader="none" w:pos="33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0" w:lineRule="exact"/>
        <w:rPr>
          <w:sz w:val="20"/>
          <w:szCs w:val="20"/>
          <w:color w:val="auto"/>
        </w:rPr>
      </w:pPr>
    </w:p>
    <w:p>
      <w:pPr>
        <w:jc w:val="both"/>
        <w:ind w:left="332"/>
        <w:spacing w:after="0" w:line="238" w:lineRule="auto"/>
        <w:rPr>
          <w:sz w:val="20"/>
          <w:szCs w:val="20"/>
          <w:color w:val="auto"/>
        </w:rPr>
      </w:pPr>
      <w:r>
        <w:rPr>
          <w:rFonts w:ascii="Arial" w:cs="Arial" w:eastAsia="Arial" w:hAnsi="Arial"/>
          <w:sz w:val="18"/>
          <w:szCs w:val="18"/>
          <w:color w:val="auto"/>
        </w:rPr>
        <w:t>Based upon and subject to the foregoing assumptions, and subject to the qualifications and limitations set out below, we are of the opinion that the Registered Shares being subject to the Registration Statement have been validly issued, fully paid-in (up to their nominal amount) and non-assessable (which term means when used herein that no further contributions have to be made by the holders of the Registered Shares).</w:t>
      </w:r>
    </w:p>
    <w:p>
      <w:pPr>
        <w:spacing w:after="0" w:line="169" w:lineRule="exact"/>
        <w:rPr>
          <w:sz w:val="20"/>
          <w:szCs w:val="20"/>
          <w:color w:val="auto"/>
        </w:rPr>
      </w:pPr>
    </w:p>
    <w:p>
      <w:pPr>
        <w:ind w:left="332" w:hanging="332"/>
        <w:spacing w:after="0"/>
        <w:tabs>
          <w:tab w:leader="none" w:pos="33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 and Limitations</w:t>
      </w:r>
    </w:p>
    <w:p>
      <w:pPr>
        <w:spacing w:after="0" w:line="220" w:lineRule="exact"/>
        <w:rPr>
          <w:rFonts w:ascii="Arial" w:cs="Arial" w:eastAsia="Arial" w:hAnsi="Arial"/>
          <w:sz w:val="18"/>
          <w:szCs w:val="18"/>
          <w:b w:val="1"/>
          <w:bCs w:val="1"/>
          <w:color w:val="auto"/>
        </w:rPr>
      </w:pPr>
    </w:p>
    <w:p>
      <w:pPr>
        <w:jc w:val="both"/>
        <w:ind w:left="332"/>
        <w:spacing w:after="0"/>
        <w:rPr>
          <w:rFonts w:ascii="Arial" w:cs="Arial" w:eastAsia="Arial" w:hAnsi="Arial"/>
          <w:sz w:val="18"/>
          <w:szCs w:val="18"/>
          <w:b w:val="1"/>
          <w:bCs w:val="1"/>
          <w:color w:val="auto"/>
        </w:rPr>
      </w:pPr>
      <w:r>
        <w:rPr>
          <w:rFonts w:ascii="Arial" w:cs="Arial" w:eastAsia="Arial" w:hAnsi="Arial"/>
          <w:sz w:val="18"/>
          <w:szCs w:val="18"/>
          <w:color w:val="auto"/>
        </w:rPr>
        <w:t>The opinions expressed herein are limited to questions arising under the laws of Switzerland, and we express no opinion as to the laws of any other jurisdiction. We express no opinion herein as to any matter of accounting or taxation, or as to any regulatory or commercial matter. Our opinions expressed in Section 4 above are further subject to the following qualifications and limitations:</w:t>
      </w:r>
    </w:p>
    <w:p>
      <w:pPr>
        <w:spacing w:after="0" w:line="189" w:lineRule="exact"/>
        <w:rPr>
          <w:rFonts w:ascii="Arial" w:cs="Arial" w:eastAsia="Arial" w:hAnsi="Arial"/>
          <w:sz w:val="18"/>
          <w:szCs w:val="18"/>
          <w:b w:val="1"/>
          <w:bCs w:val="1"/>
          <w:color w:val="auto"/>
        </w:rPr>
      </w:pPr>
    </w:p>
    <w:p>
      <w:pPr>
        <w:jc w:val="both"/>
        <w:ind w:left="852" w:hanging="528"/>
        <w:spacing w:after="0"/>
        <w:tabs>
          <w:tab w:leader="none" w:pos="852"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exercise of voting rights and rights related thereto with respect to any Registered Shares is only permissible after registration in the Issuer's share register as a shareholder with voting rights in accordance with the provisions of, and subject to the limitations provided in, the Articles; and</w:t>
      </w:r>
    </w:p>
    <w:p>
      <w:pPr>
        <w:spacing w:after="0" w:line="189" w:lineRule="exact"/>
        <w:rPr>
          <w:rFonts w:ascii="Arial" w:cs="Arial" w:eastAsia="Arial" w:hAnsi="Arial"/>
          <w:sz w:val="18"/>
          <w:szCs w:val="18"/>
          <w:color w:val="auto"/>
        </w:rPr>
      </w:pPr>
    </w:p>
    <w:p>
      <w:pPr>
        <w:jc w:val="both"/>
        <w:ind w:left="852" w:hanging="528"/>
        <w:spacing w:after="0"/>
        <w:tabs>
          <w:tab w:leader="none" w:pos="852" w:val="left"/>
        </w:tabs>
        <w:numPr>
          <w:ilvl w:val="1"/>
          <w:numId w:val="54"/>
        </w:numPr>
        <w:rPr>
          <w:rFonts w:ascii="Arial" w:cs="Arial" w:eastAsia="Arial" w:hAnsi="Arial"/>
          <w:sz w:val="18"/>
          <w:szCs w:val="18"/>
          <w:color w:val="auto"/>
        </w:rPr>
      </w:pPr>
      <w:r>
        <w:rPr>
          <w:rFonts w:ascii="Arial" w:cs="Arial" w:eastAsia="Arial" w:hAnsi="Arial"/>
          <w:sz w:val="18"/>
          <w:szCs w:val="18"/>
          <w:color w:val="auto"/>
        </w:rPr>
        <w:t>we express no opinion on the accuracy, correctness or completeness of the Registration Statement; in particular, we express no opinion on whether the Registration Statement provides sufficient information for knowledgeable investors to reach an informed assessment of the Issuer and its securities.</w:t>
      </w:r>
    </w:p>
    <w:p>
      <w:pPr>
        <w:spacing w:after="0" w:line="189" w:lineRule="exact"/>
        <w:rPr>
          <w:sz w:val="20"/>
          <w:szCs w:val="20"/>
          <w:color w:val="auto"/>
        </w:rPr>
      </w:pPr>
    </w:p>
    <w:p>
      <w:pPr>
        <w:ind w:left="332" w:right="20"/>
        <w:spacing w:after="0" w:line="246"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thereby admit that we are in the category of persons whose consent is required under Section 7 of the Securities Act.</w:t>
      </w:r>
    </w:p>
    <w:p>
      <w:pPr>
        <w:spacing w:after="0" w:line="183" w:lineRule="exact"/>
        <w:rPr>
          <w:sz w:val="20"/>
          <w:szCs w:val="20"/>
          <w:color w:val="auto"/>
        </w:rPr>
      </w:pPr>
    </w:p>
    <w:p>
      <w:pPr>
        <w:ind w:left="332"/>
        <w:spacing w:after="0" w:line="246" w:lineRule="auto"/>
        <w:rPr>
          <w:sz w:val="20"/>
          <w:szCs w:val="20"/>
          <w:color w:val="auto"/>
        </w:rPr>
      </w:pPr>
      <w:r>
        <w:rPr>
          <w:rFonts w:ascii="Arial" w:cs="Arial" w:eastAsia="Arial" w:hAnsi="Arial"/>
          <w:sz w:val="18"/>
          <w:szCs w:val="18"/>
          <w:color w:val="auto"/>
        </w:rPr>
        <w:t>This opinion and all matters relating to this opinion are governed by and shall be construed in accordance with the substantive laws of Switzerland. We confirm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339725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598" w:right="339" w:bottom="1440" w:gutter="0" w:footer="0" w:header="0"/>
        </w:sectPr>
      </w:pPr>
    </w:p>
    <w:bookmarkStart w:id="77" w:name="page78"/>
    <w:bookmarkEnd w:id="77"/>
    <w:p>
      <w:pPr>
        <w:spacing w:after="0" w:line="246" w:lineRule="auto"/>
        <w:rPr>
          <w:sz w:val="20"/>
          <w:szCs w:val="20"/>
          <w:color w:val="auto"/>
        </w:rPr>
      </w:pPr>
      <w:r>
        <w:rPr>
          <w:rFonts w:ascii="Arial" w:cs="Arial" w:eastAsia="Arial" w:hAnsi="Arial"/>
          <w:sz w:val="18"/>
          <w:szCs w:val="18"/>
          <w:color w:val="auto"/>
        </w:rPr>
        <w:t>understanding that all disputes arising out of or in connection with this opinion shall be subject to the exclusive jurisdiction of the courts of the Canton of Zurich, Switzerland, venue being city of Zurich.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Bär &amp; Karrer AG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Prof. Dr. Rolf Watter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1172210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598"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We hereby consent to the incorporation by reference in this Registration Statement on Form F-3 of AC Immune SA of our report dated March 30, 2020 relating to the financial statements, which appears in AC Immune SA’s Annual Report on Form 20-F for the year ended December 31,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Lausanne, 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consent to the reference to our firm under the caption "Experts" in the Registration Statement (Form F-3) and related Prospectus of AC Immune SA for the registration of its common shares, and to the incorporation by reference therein of our report dated March 20, 2018, with respect to the financial statements of AC Immune SA included in its Annual Report (Form 20-F) for the year ended December 31, 2017,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212"/>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3855585C"/>
    <w:multiLevelType w:val="hybridMultilevel"/>
    <w:lvl w:ilvl="0">
      <w:lvlJc w:val="left"/>
      <w:lvlText w:val="%1"/>
      <w:numFmt w:val="decimal"/>
      <w:start w:val="1"/>
    </w:lvl>
    <w:lvl w:ilvl="1">
      <w:lvlJc w:val="left"/>
      <w:lvlText w:val="(%2)"/>
      <w:numFmt w:val="upperLetter"/>
      <w:start w:val="1"/>
    </w:lvl>
  </w:abstractNum>
  <w:abstractNum w:abstractNumId="29">
    <w:nsid w:val="70A64E2A"/>
    <w:multiLevelType w:val="hybridMultilevel"/>
    <w:lvl w:ilvl="0">
      <w:lvlJc w:val="left"/>
      <w:lvlText w:val="(%1)"/>
      <w:numFmt w:val="decimal"/>
      <w:start w:val="2"/>
    </w:lvl>
    <w:lvl w:ilvl="1">
      <w:lvlJc w:val="left"/>
      <w:lvlText w:val="%2"/>
      <w:numFmt w:val="upperLetter"/>
      <w:start w:val="1"/>
    </w:lvl>
  </w:abstractNum>
  <w:abstractNum w:abstractNumId="30">
    <w:nsid w:val="6A2342EC"/>
    <w:multiLevelType w:val="hybridMultilevel"/>
    <w:lvl w:ilvl="0">
      <w:lvlJc w:val="left"/>
      <w:lvlText w:val="(%1)"/>
      <w:numFmt w:val="decimal"/>
      <w:start w:val="5"/>
    </w:lvl>
    <w:lvl w:ilvl="1">
      <w:lvlJc w:val="left"/>
      <w:lvlText w:val="(%2)"/>
      <w:numFmt w:val="upperLetter"/>
      <w:start w:val="1"/>
    </w:lvl>
  </w:abstractNum>
  <w:abstractNum w:abstractNumId="31">
    <w:nsid w:val="2A487CB0"/>
    <w:multiLevelType w:val="hybridMultilevel"/>
    <w:lvl w:ilvl="0">
      <w:lvlJc w:val="left"/>
      <w:lvlText w:val="%1"/>
      <w:numFmt w:val="lowerLetter"/>
      <w:start w:val="1"/>
    </w:lvl>
    <w:lvl w:ilvl="1">
      <w:lvlJc w:val="left"/>
      <w:lvlText w:val="(%2)"/>
      <w:numFmt w:val="lowerRoman"/>
      <w:start w:val="1"/>
    </w:lvl>
  </w:abstractNum>
  <w:abstractNum w:abstractNumId="32">
    <w:nsid w:val="1D4ED43B"/>
    <w:multiLevelType w:val="hybridMultilevel"/>
    <w:lvl w:ilvl="0">
      <w:lvlJc w:val="left"/>
      <w:lvlText w:val="(%1)"/>
      <w:numFmt w:val="lowerLetter"/>
      <w:start w:val="2"/>
    </w:lvl>
    <w:lvl w:ilvl="1">
      <w:lvlJc w:val="left"/>
      <w:lvlText w:val="%2"/>
      <w:numFmt w:val="lowerRoman"/>
      <w:start w:val="1"/>
    </w:lvl>
  </w:abstractNum>
  <w:abstractNum w:abstractNumId="33">
    <w:nsid w:val="725A06FB"/>
    <w:multiLevelType w:val="hybridMultilevel"/>
    <w:lvl w:ilvl="0">
      <w:lvlJc w:val="left"/>
      <w:lvlText w:val="(%1)"/>
      <w:numFmt w:val="lowerLetter"/>
      <w:start w:val="3"/>
    </w:lvl>
    <w:lvl w:ilvl="1">
      <w:lvlJc w:val="left"/>
      <w:lvlText w:val="(%2)"/>
      <w:numFmt w:val="decimal"/>
      <w:start w:val="1"/>
    </w:lvl>
  </w:abstractNum>
  <w:abstractNum w:abstractNumId="34">
    <w:nsid w:val="2CD89A32"/>
    <w:multiLevelType w:val="hybridMultilevel"/>
    <w:lvl w:ilvl="0">
      <w:lvlJc w:val="left"/>
      <w:lvlText w:val="(%1)"/>
      <w:numFmt w:val="lowerLetter"/>
      <w:start w:val="1"/>
    </w:lvl>
    <w:lvl w:ilvl="1">
      <w:lvlJc w:val="left"/>
      <w:lvlText w:val="%2"/>
      <w:numFmt w:val="decimal"/>
      <w:start w:val="1"/>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1)"/>
      <w:numFmt w:val="lowerLetter"/>
      <w:start w:val="1"/>
    </w:lvl>
  </w:abstractNum>
  <w:abstractNum w:abstractNumId="37">
    <w:nsid w:val="4B588F54"/>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38">
    <w:nsid w:val="542289EC"/>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39">
    <w:nsid w:val="6DE91B18"/>
    <w:multiLevelType w:val="hybridMultilevel"/>
    <w:lvl w:ilvl="0">
      <w:lvlJc w:val="left"/>
      <w:lvlText w:val="(%1)"/>
      <w:numFmt w:val="lowerRoman"/>
      <w:start w:val="2"/>
    </w:lvl>
  </w:abstractNum>
  <w:abstractNum w:abstractNumId="40">
    <w:nsid w:val="38437FDB"/>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41">
    <w:nsid w:val="7644A45C"/>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42">
    <w:nsid w:val="32FFF902"/>
    <w:multiLevelType w:val="hybridMultilevel"/>
    <w:lvl w:ilvl="0">
      <w:lvlJc w:val="left"/>
      <w:lvlText w:val="(%1)"/>
      <w:numFmt w:val="lowerRoman"/>
      <w:start w:val="2"/>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Letter"/>
      <w:start w:val="2"/>
    </w:lvl>
  </w:abstractNum>
  <w:abstractNum w:abstractNumId="45">
    <w:nsid w:val="749ABB43"/>
    <w:multiLevelType w:val="hybridMultilevel"/>
    <w:lvl w:ilvl="0">
      <w:lvlJc w:val="left"/>
      <w:lvlText w:val="%1)"/>
      <w:numFmt w:val="lowerLetter"/>
      <w:start w:val="5"/>
    </w:lvl>
  </w:abstractNum>
  <w:abstractNum w:abstractNumId="46">
    <w:nsid w:val="3DC240FB"/>
    <w:multiLevelType w:val="hybridMultilevel"/>
    <w:lvl w:ilvl="0">
      <w:lvlJc w:val="left"/>
      <w:lvlText w:val="%1)"/>
      <w:numFmt w:val="lowerLetter"/>
      <w:start w:val="4"/>
    </w:lvl>
  </w:abstractNum>
  <w:abstractNum w:abstractNumId="47">
    <w:nsid w:val="1BA026FA"/>
    <w:multiLevelType w:val="hybridMultilevel"/>
    <w:lvl w:ilvl="0">
      <w:lvlJc w:val="left"/>
      <w:lvlText w:val="%1)"/>
      <w:numFmt w:val="lowerLetter"/>
      <w:start w:val="6"/>
    </w:lvl>
  </w:abstractNum>
  <w:abstractNum w:abstractNumId="48">
    <w:nsid w:val="79A1DEAA"/>
    <w:multiLevelType w:val="hybridMultilevel"/>
    <w:lvl w:ilvl="0">
      <w:lvlJc w:val="left"/>
      <w:lvlText w:val="1"/>
      <w:numFmt w:val="bullet"/>
      <w:start w:val="1"/>
    </w:lvl>
  </w:abstractNum>
  <w:abstractNum w:abstractNumId="49">
    <w:nsid w:val="75C6C33A"/>
    <w:multiLevelType w:val="hybridMultilevel"/>
    <w:lvl w:ilvl="0">
      <w:lvlJc w:val="left"/>
      <w:lvlText w:val="2"/>
      <w:numFmt w:val="bullet"/>
      <w:start w:val="1"/>
    </w:lvl>
    <w:lvl w:ilvl="1">
      <w:lvlJc w:val="left"/>
      <w:lvlText w:val="%2)"/>
      <w:numFmt w:val="lowerLetter"/>
      <w:start w:val="1"/>
    </w:lvl>
  </w:abstractNum>
  <w:abstractNum w:abstractNumId="50">
    <w:nsid w:val="12E685FB"/>
    <w:multiLevelType w:val="hybridMultilevel"/>
    <w:lvl w:ilvl="0">
      <w:lvlJc w:val="left"/>
      <w:lvlText w:val="3"/>
      <w:numFmt w:val="bullet"/>
      <w:start w:val="1"/>
    </w:lvl>
    <w:lvl w:ilvl="1">
      <w:lvlJc w:val="left"/>
      <w:lvlText w:val="%2)"/>
      <w:numFmt w:val="lowerLetter"/>
      <w:start w:val="1"/>
    </w:lvl>
  </w:abstractNum>
  <w:abstractNum w:abstractNumId="51">
    <w:nsid w:val="70C6A529"/>
    <w:multiLevelType w:val="hybridMultilevel"/>
    <w:lvl w:ilvl="0">
      <w:lvlJc w:val="left"/>
      <w:lvlText w:val="%1)"/>
      <w:numFmt w:val="lowerLetter"/>
      <w:start w:val="7"/>
    </w:lvl>
  </w:abstractNum>
  <w:abstractNum w:abstractNumId="52">
    <w:nsid w:val="520EEDD1"/>
    <w:multiLevelType w:val="hybridMultilevel"/>
    <w:lvl w:ilvl="0">
      <w:lvlJc w:val="left"/>
      <w:lvlText w:val="4"/>
      <w:numFmt w:val="bullet"/>
      <w:start w:val="1"/>
    </w:lvl>
  </w:abstractNum>
  <w:abstractNum w:abstractNumId="53">
    <w:nsid w:val="374A3FE6"/>
    <w:multiLevelType w:val="hybridMultilevel"/>
    <w:lvl w:ilvl="0">
      <w:lvlJc w:val="left"/>
      <w:lvlText w:val="5"/>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49" Type="http://schemas.openxmlformats.org/officeDocument/2006/relationships/hyperlink" Target="https://www.sec.gov/Archives/edgar/data/1651625/000119312516607922/d1643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2020-10-23T16:36:20Z</dcterms:created>
  <dcterms:modified xsi:type="dcterms:W3CDTF">2020-10-23T16:36:20Z</dcterms:modified>
</cp:coreProperties>
</file>