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line="231" w:lineRule="auto"/>
        <w:rPr>
          <w:sz w:val="20"/>
          <w:szCs w:val="20"/>
          <w:color w:val="auto"/>
        </w:rPr>
      </w:pPr>
      <w:r>
        <w:rPr>
          <w:rFonts w:ascii="Arial" w:cs="Arial" w:eastAsia="Arial" w:hAnsi="Arial"/>
          <w:sz w:val="15"/>
          <w:szCs w:val="15"/>
          <w:b w:val="1"/>
          <w:bCs w:val="1"/>
          <w:color w:val="auto"/>
        </w:rPr>
        <w:t>As submitted confidentially with the Securities and Exchange Commission on November 23, 2015, as Amendment No. 4 to the confidential submission dated August 28, 2015 This draft registration statement has not been publicly filed with the Securities and Exchange Commission and all information herein remains strictly confidential.</w:t>
      </w: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F-1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jc w:val="center"/>
        <w:spacing w:after="0" w:line="228" w:lineRule="auto"/>
        <w:rPr>
          <w:sz w:val="20"/>
          <w:szCs w:val="20"/>
          <w:color w:val="auto"/>
        </w:rPr>
      </w:pPr>
      <w:r>
        <w:rPr>
          <w:rFonts w:ascii="Arial" w:cs="Arial" w:eastAsia="Arial" w:hAnsi="Arial"/>
          <w:sz w:val="14"/>
          <w:szCs w:val="14"/>
          <w:b w:val="1"/>
          <w:bCs w:val="1"/>
          <w:i w:val="1"/>
          <w:iCs w:val="1"/>
          <w:color w:val="auto"/>
        </w:rPr>
        <w:t>UNDER</w:t>
      </w: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AC IMMUNE SA</w:t>
      </w:r>
    </w:p>
    <w:p>
      <w:pPr>
        <w:spacing w:after="0" w:line="34" w:lineRule="exact"/>
        <w:rPr>
          <w:sz w:val="24"/>
          <w:szCs w:val="24"/>
          <w:color w:val="auto"/>
        </w:rPr>
      </w:pPr>
    </w:p>
    <w:p>
      <w:pPr>
        <w:ind w:left="398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left="5220"/>
        <w:spacing w:after="0"/>
        <w:rPr>
          <w:sz w:val="20"/>
          <w:szCs w:val="20"/>
          <w:color w:val="auto"/>
        </w:rPr>
      </w:pPr>
      <w:r>
        <w:rPr>
          <w:rFonts w:ascii="Arial" w:cs="Arial" w:eastAsia="Arial" w:hAnsi="Arial"/>
          <w:sz w:val="15"/>
          <w:szCs w:val="15"/>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25"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6" w:lineRule="auto"/>
        <w:rPr>
          <w:sz w:val="20"/>
          <w:szCs w:val="20"/>
          <w:color w:val="auto"/>
        </w:rPr>
      </w:pPr>
      <w:r>
        <w:rPr>
          <w:rFonts w:ascii="Arial" w:cs="Arial" w:eastAsia="Arial" w:hAnsi="Arial"/>
          <w:sz w:val="15"/>
          <w:szCs w:val="15"/>
          <w:b w:val="1"/>
          <w:bCs w:val="1"/>
          <w:color w:val="auto"/>
        </w:rPr>
        <w:t>EPFL Innovation Park</w:t>
      </w:r>
    </w:p>
    <w:p>
      <w:pPr>
        <w:jc w:val="center"/>
        <w:spacing w:after="0" w:line="225" w:lineRule="auto"/>
        <w:rPr>
          <w:sz w:val="20"/>
          <w:szCs w:val="20"/>
          <w:color w:val="auto"/>
        </w:rPr>
      </w:pPr>
      <w:r>
        <w:rPr>
          <w:rFonts w:ascii="Arial" w:cs="Arial" w:eastAsia="Arial" w:hAnsi="Arial"/>
          <w:sz w:val="15"/>
          <w:szCs w:val="15"/>
          <w:b w:val="1"/>
          <w:bCs w:val="1"/>
          <w:color w:val="auto"/>
        </w:rPr>
        <w:t>Building B</w:t>
      </w:r>
    </w:p>
    <w:p>
      <w:pPr>
        <w:jc w:val="center"/>
        <w:spacing w:after="0" w:line="226" w:lineRule="auto"/>
        <w:rPr>
          <w:sz w:val="20"/>
          <w:szCs w:val="20"/>
          <w:color w:val="auto"/>
        </w:rPr>
      </w:pPr>
      <w:r>
        <w:rPr>
          <w:rFonts w:ascii="Arial" w:cs="Arial" w:eastAsia="Arial" w:hAnsi="Arial"/>
          <w:sz w:val="15"/>
          <w:szCs w:val="15"/>
          <w:b w:val="1"/>
          <w:bCs w:val="1"/>
          <w:color w:val="auto"/>
        </w:rPr>
        <w:t>1015 Lausanne</w:t>
      </w:r>
    </w:p>
    <w:p>
      <w:pPr>
        <w:jc w:val="center"/>
        <w:spacing w:after="0" w:line="225"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National Corporate Research, Ltd.</w:t>
      </w:r>
    </w:p>
    <w:p>
      <w:pPr>
        <w:jc w:val="center"/>
        <w:spacing w:after="0" w:line="233" w:lineRule="auto"/>
        <w:rPr>
          <w:sz w:val="20"/>
          <w:szCs w:val="20"/>
          <w:color w:val="auto"/>
        </w:rPr>
      </w:pPr>
      <w:r>
        <w:rPr>
          <w:rFonts w:ascii="Arial" w:cs="Arial" w:eastAsia="Arial" w:hAnsi="Arial"/>
          <w:sz w:val="15"/>
          <w:szCs w:val="15"/>
          <w:b w:val="1"/>
          <w:bCs w:val="1"/>
          <w:color w:val="auto"/>
        </w:rPr>
        <w:t>10 East 40th Street, 10th Floor</w:t>
      </w:r>
    </w:p>
    <w:p>
      <w:pPr>
        <w:jc w:val="center"/>
        <w:spacing w:after="0" w:line="225" w:lineRule="auto"/>
        <w:rPr>
          <w:sz w:val="20"/>
          <w:szCs w:val="20"/>
          <w:color w:val="auto"/>
        </w:rPr>
      </w:pPr>
      <w:r>
        <w:rPr>
          <w:rFonts w:ascii="Arial" w:cs="Arial" w:eastAsia="Arial" w:hAnsi="Arial"/>
          <w:sz w:val="15"/>
          <w:szCs w:val="15"/>
          <w:b w:val="1"/>
          <w:bCs w:val="1"/>
          <w:color w:val="auto"/>
        </w:rPr>
        <w:t>New York, New York 10016</w:t>
      </w:r>
    </w:p>
    <w:p>
      <w:pPr>
        <w:jc w:val="center"/>
        <w:spacing w:after="0" w:line="218" w:lineRule="auto"/>
        <w:rPr>
          <w:sz w:val="20"/>
          <w:szCs w:val="20"/>
          <w:color w:val="auto"/>
        </w:rPr>
      </w:pPr>
      <w:r>
        <w:rPr>
          <w:rFonts w:ascii="Arial" w:cs="Arial" w:eastAsia="Arial" w:hAnsi="Arial"/>
          <w:sz w:val="15"/>
          <w:szCs w:val="15"/>
          <w:b w:val="1"/>
          <w:bCs w:val="1"/>
          <w:color w:val="auto"/>
        </w:rPr>
        <w:t>(800) 221-0102</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3"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0"/>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55245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80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9"/>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00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80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72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2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r>
      <w:tr>
        <w:trPr>
          <w:trHeight w:val="156"/>
        </w:trPr>
        <w:tc>
          <w:tcPr>
            <w:tcW w:w="20" w:type="dxa"/>
            <w:vAlign w:val="bottom"/>
            <w:tcBorders>
              <w:bottom w:val="single" w:sz="8" w:color="auto"/>
            </w:tcBorders>
          </w:tcPr>
          <w:p>
            <w:pPr>
              <w:spacing w:after="0"/>
              <w:rPr>
                <w:sz w:val="13"/>
                <w:szCs w:val="13"/>
                <w:color w:val="auto"/>
              </w:rPr>
            </w:pPr>
          </w:p>
        </w:tc>
        <w:tc>
          <w:tcPr>
            <w:tcW w:w="800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shares, nominal value CHF 0.02 per share</w:t>
            </w:r>
          </w:p>
        </w:tc>
        <w:tc>
          <w:tcPr>
            <w:tcW w:w="1720" w:type="dxa"/>
            <w:vAlign w:val="bottom"/>
            <w:tcBorders>
              <w:bottom w:val="single" w:sz="8" w:color="auto"/>
              <w:right w:val="single" w:sz="8" w:color="auto"/>
            </w:tcBorders>
          </w:tcPr>
          <w:p>
            <w:pPr>
              <w:jc w:val="right"/>
              <w:ind w:right="929"/>
              <w:spacing w:after="0" w:line="156" w:lineRule="exact"/>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907"/>
              <w:spacing w:after="0" w:line="156" w:lineRule="exact"/>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DE1A1E"/>
              </w:rPr>
              <w:t>, 2015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We expect the initial public offering price will be between $ and $ per common share. We intend to apply to list our common shares on the NASDAQ under the symbol “ACIU.”</w:t>
      </w:r>
    </w:p>
    <w:p>
      <w:pPr>
        <w:spacing w:after="0" w:line="222"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ectPr>
          <w:pgSz w:w="11900" w:h="16838" w:orient="portrait"/>
          <w:cols w:equalWidth="0" w:num="1">
            <w:col w:w="11420"/>
          </w:cols>
          <w:pgMar w:left="240" w:top="459" w:right="239" w:bottom="1440" w:gutter="0" w:footer="0" w:header="0"/>
        </w:sectPr>
      </w:pPr>
    </w:p>
    <w:p>
      <w:pPr>
        <w:spacing w:after="0" w:line="2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cover over-allotments.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common shares to</w:t>
      </w:r>
    </w:p>
    <w:p>
      <w:pPr>
        <w:spacing w:after="0" w:line="493" w:lineRule="exact"/>
        <w:rPr>
          <w:sz w:val="20"/>
          <w:szCs w:val="20"/>
          <w:color w:val="auto"/>
        </w:rPr>
      </w:pPr>
    </w:p>
    <w:p>
      <w:pPr>
        <w:sectPr>
          <w:pgSz w:w="11900" w:h="16838" w:orient="portrait"/>
          <w:cols w:equalWidth="0" w:num="2">
            <w:col w:w="9460" w:space="620"/>
            <w:col w:w="1340"/>
          </w:cols>
          <w:pgMar w:left="240" w:top="459" w:right="239" w:bottom="1440" w:gutter="0" w:footer="0" w:header="0"/>
          <w:type w:val="continuous"/>
        </w:sectPr>
      </w:pPr>
    </w:p>
    <w:p>
      <w:pPr>
        <w:spacing w:after="0" w:line="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109"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2015</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Principal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3">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93">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1.0274 to CHF 1.00, the official exchange rate quoted as at September 30, 2015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On November 13, 2015, the exchange rate as reported by the U.S. Federal Reserve Bank was USD 0.9913 to CHF 1.00.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90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590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is expected to enter Phase 3 clinical studies in early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Genentech met with the U.S. Food and Drug Administration, or FDA, in October 2014 and again in September 2015 to discuss the Phase 3 study design.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7"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42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left="200" w:right="46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10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86"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right="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Crenezumab’s not meeting its co-primary endpoints in its Phase 2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21 693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and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22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2722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E Private Placement</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November 2, 2015, we completed a private placement of Series E preferred shares, each with a nominal value of CHF 5.00 per share (the “Series E Private Placement”). An aggregate of 12,453 Series E preferred shares were issued to certain institutions and existing shareholders in the Series E Private Placement for an aggregate subscription amount of approximately $30.0 million. The Series E preferred shares have substantially the same terms as the Series A, B, C and D preferred shares, will be accounted for as equity on our balance sheet and will automatically convert into common shares on a one-for-one basis upon the closing of this offering. Adjusted for the 250-for-1 stock split effected on November 2, 2015, the Series E Private Placement resulted in the issuance of 3,113,250 preferred shares.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Common shares offered by us</w:t>
            </w:r>
          </w:p>
        </w:tc>
        <w:tc>
          <w:tcPr>
            <w:tcW w:w="38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38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4140" w:type="dxa"/>
            <w:vAlign w:val="bottom"/>
            <w:gridSpan w:val="2"/>
          </w:tcPr>
          <w:p>
            <w:pPr>
              <w:ind w:left="8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rPr>
              <w:t>Over-allotment option</w:t>
            </w: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7"/>
              </w:rPr>
              <w:t>We have granted the underwriters the option to purchase up to an additional</w:t>
            </w:r>
          </w:p>
        </w:tc>
        <w:tc>
          <w:tcPr>
            <w:tcW w:w="840" w:type="dxa"/>
            <w:vAlign w:val="bottom"/>
          </w:tcPr>
          <w:p>
            <w:pPr>
              <w:jc w:val="right"/>
              <w:spacing w:after="0"/>
              <w:rPr>
                <w:sz w:val="20"/>
                <w:szCs w:val="20"/>
                <w:color w:val="auto"/>
              </w:rPr>
            </w:pPr>
            <w:r>
              <w:rPr>
                <w:rFonts w:ascii="Arial" w:cs="Arial" w:eastAsia="Arial" w:hAnsi="Arial"/>
                <w:sz w:val="18"/>
                <w:szCs w:val="18"/>
                <w:color w:val="auto"/>
              </w:rPr>
              <w:t>common</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2"/>
              </w:rPr>
              <w:t>shares from us within 30 days of the date of this prospectus to cover over-allotments, if any.</w:t>
            </w: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3"/>
              </w:rPr>
              <w:t>We estimate that the net proceeds to us from this offering will be approximately</w:t>
            </w:r>
          </w:p>
        </w:tc>
        <w:tc>
          <w:tcPr>
            <w:tcW w:w="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million, assuming an initial public offering price of $</w:t>
            </w:r>
          </w:p>
        </w:tc>
        <w:tc>
          <w:tcPr>
            <w:tcW w:w="1980" w:type="dxa"/>
            <w:vAlign w:val="bottom"/>
            <w:gridSpan w:val="2"/>
          </w:tcPr>
          <w:p>
            <w:pPr>
              <w:jc w:val="right"/>
              <w:ind w:right="210"/>
              <w:spacing w:after="0"/>
              <w:rPr>
                <w:sz w:val="20"/>
                <w:szCs w:val="20"/>
                <w:color w:val="auto"/>
              </w:rPr>
            </w:pPr>
            <w:r>
              <w:rPr>
                <w:rFonts w:ascii="Arial" w:cs="Arial" w:eastAsia="Arial" w:hAnsi="Arial"/>
                <w:sz w:val="18"/>
                <w:szCs w:val="18"/>
                <w:color w:val="auto"/>
              </w:rPr>
              <w:t>per common share,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3"/>
              </w:rPr>
              <w:t>which is the midpoint of the price range set forth on the cover page of this prospectus, after</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1"/>
              </w:rPr>
              <w:t>deducting underwriting discounts and commissions and estimated offering expenses payable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6"/>
              </w:rPr>
              <w:t>by us. We intend to use the net proceeds from this offering together with cash and cash</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5"/>
              </w:rPr>
              <w:t>equivalents on hand (including the net proceeds from the Series E Private Placement) to</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89"/>
              </w:rPr>
              <w:t>further the development of our therapeutic product candidates under collaboration agreements</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5"/>
              </w:rPr>
              <w:t>(crenezumab, ACI-35 and anti-tau antibodies), advance our other clinical and pre-clinical</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6"/>
              </w:rPr>
              <w:t>programs, and for research and development of other indications and initiatives that are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2"/>
              </w:rPr>
              <w:t>complementary to our existing and planned research activities. See “Use of Proceeds” for a</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6"/>
              </w:rPr>
              <w:t>more complete description of the intended use of proceeds from this offering.</w:t>
            </w:r>
          </w:p>
        </w:tc>
        <w:tc>
          <w:tcPr>
            <w:tcW w:w="840" w:type="dxa"/>
            <w:vAlign w:val="bottom"/>
          </w:tcPr>
          <w:p>
            <w:pPr>
              <w:spacing w:after="0"/>
              <w:rPr>
                <w:sz w:val="20"/>
                <w:szCs w:val="20"/>
                <w:color w:val="auto"/>
              </w:rPr>
            </w:pP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7"/>
              </w:rPr>
              <w:t>factors you should consider before deciding to invest in our common shares.</w:t>
            </w:r>
          </w:p>
        </w:tc>
        <w:tc>
          <w:tcPr>
            <w:tcW w:w="840" w:type="dxa"/>
            <w:vAlign w:val="bottom"/>
          </w:tcPr>
          <w:p>
            <w:pPr>
              <w:spacing w:after="0"/>
              <w:rPr>
                <w:sz w:val="20"/>
                <w:szCs w:val="20"/>
                <w:color w:val="auto"/>
              </w:rPr>
            </w:pPr>
          </w:p>
        </w:tc>
      </w:tr>
      <w:tr>
        <w:trPr>
          <w:trHeight w:val="459"/>
        </w:trPr>
        <w:tc>
          <w:tcPr>
            <w:tcW w:w="4140" w:type="dxa"/>
            <w:vAlign w:val="bottom"/>
            <w:gridSpan w:val="2"/>
          </w:tcPr>
          <w:p>
            <w:pPr>
              <w:spacing w:after="0"/>
              <w:rPr>
                <w:sz w:val="20"/>
                <w:szCs w:val="20"/>
                <w:color w:val="auto"/>
              </w:rPr>
            </w:pPr>
            <w:r>
              <w:rPr>
                <w:rFonts w:ascii="Arial" w:cs="Arial" w:eastAsia="Arial" w:hAnsi="Arial"/>
                <w:sz w:val="18"/>
                <w:szCs w:val="18"/>
                <w:color w:val="auto"/>
              </w:rPr>
              <w:t>Proposed NASDAQ symbol</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“ACIU.”</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1"/>
        </w:trPr>
        <w:tc>
          <w:tcPr>
            <w:tcW w:w="34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4"/>
              </w:rPr>
              <w:t>The number of our common shares to be outstanding after this offering is based on</w:t>
            </w:r>
          </w:p>
        </w:tc>
        <w:tc>
          <w:tcPr>
            <w:tcW w:w="4280" w:type="dxa"/>
            <w:vAlign w:val="bottom"/>
            <w:gridSpan w:val="3"/>
          </w:tcPr>
          <w:p>
            <w:pPr>
              <w:jc w:val="right"/>
              <w:ind w:right="30"/>
              <w:spacing w:after="0"/>
              <w:rPr>
                <w:sz w:val="20"/>
                <w:szCs w:val="20"/>
                <w:color w:val="auto"/>
              </w:rPr>
            </w:pPr>
            <w:r>
              <w:rPr>
                <w:rFonts w:ascii="Arial" w:cs="Arial" w:eastAsia="Arial" w:hAnsi="Arial"/>
                <w:sz w:val="18"/>
                <w:szCs w:val="18"/>
                <w:color w:val="auto"/>
                <w:w w:val="94"/>
              </w:rPr>
              <w:t>common shares outstanding as at September 30, 2015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and</w:t>
            </w:r>
          </w:p>
        </w:tc>
        <w:tc>
          <w:tcPr>
            <w:tcW w:w="10620" w:type="dxa"/>
            <w:vAlign w:val="bottom"/>
            <w:gridSpan w:val="6"/>
          </w:tcPr>
          <w:p>
            <w:pPr>
              <w:jc w:val="right"/>
              <w:spacing w:after="0"/>
              <w:rPr>
                <w:sz w:val="20"/>
                <w:szCs w:val="20"/>
                <w:color w:val="auto"/>
              </w:rPr>
            </w:pPr>
            <w:r>
              <w:rPr>
                <w:rFonts w:ascii="Arial" w:cs="Arial" w:eastAsia="Arial" w:hAnsi="Arial"/>
                <w:sz w:val="18"/>
                <w:szCs w:val="18"/>
                <w:color w:val="auto"/>
                <w:w w:val="94"/>
              </w:rPr>
              <w:t>additional common shares issuable upon the automatic conversion of all of our preferred shares (including the preferred shares issued in the</w:t>
            </w:r>
          </w:p>
        </w:tc>
      </w:tr>
    </w:tbl>
    <w:p>
      <w:pPr>
        <w:ind w:left="200"/>
        <w:spacing w:after="0"/>
        <w:rPr>
          <w:sz w:val="20"/>
          <w:szCs w:val="20"/>
          <w:color w:val="auto"/>
        </w:rPr>
      </w:pPr>
      <w:r>
        <w:rPr>
          <w:rFonts w:ascii="Arial" w:cs="Arial" w:eastAsia="Arial" w:hAnsi="Arial"/>
          <w:sz w:val="18"/>
          <w:szCs w:val="18"/>
          <w:color w:val="auto"/>
        </w:rPr>
        <w:t>Series E Private Placement) on a one-for-one basis upon the closing of this offering, but excludes:</w:t>
      </w:r>
    </w:p>
    <w:p>
      <w:pPr>
        <w:spacing w:after="0" w:line="116" w:lineRule="exact"/>
        <w:rPr>
          <w:sz w:val="20"/>
          <w:szCs w:val="20"/>
          <w:color w:val="auto"/>
        </w:rPr>
      </w:pPr>
    </w:p>
    <w:p>
      <w:pPr>
        <w:ind w:left="1060" w:right="740" w:hanging="431"/>
        <w:spacing w:after="0" w:line="277"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1060" w:right="320" w:hanging="431"/>
        <w:spacing w:after="0" w:line="277"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at a weighted-average exercise price of CHF 0.14548 per common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33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Unless otherwise indicated, all information contained in this prospectus reflects the completion of a 250-for-one stock split and assumes:</w:t>
      </w:r>
    </w:p>
    <w:p>
      <w:pPr>
        <w:sectPr>
          <w:pgSz w:w="11900" w:h="16838" w:orient="portrait"/>
          <w:cols w:equalWidth="0" w:num="1">
            <w:col w:w="11180"/>
          </w:cols>
          <w:pgMar w:left="240" w:top="459" w:right="479" w:bottom="1440" w:gutter="0" w:footer="0" w:header="0"/>
        </w:sectPr>
      </w:pP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40"/>
          </w:cols>
          <w:pgMar w:left="240" w:top="459" w:right="479" w:bottom="1440" w:gutter="0" w:footer="0" w:header="0"/>
          <w:type w:val="continuous"/>
        </w:sectPr>
      </w:pPr>
    </w:p>
    <w:p>
      <w:pPr>
        <w:ind w:left="1060" w:right="40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w:t>
      </w:r>
    </w:p>
    <w:p>
      <w:pPr>
        <w:spacing w:after="0" w:line="51" w:lineRule="exact"/>
        <w:rPr>
          <w:rFonts w:ascii="Arial" w:cs="Arial" w:eastAsia="Arial" w:hAnsi="Arial"/>
          <w:sz w:val="17"/>
          <w:szCs w:val="17"/>
          <w:color w:val="auto"/>
        </w:rPr>
      </w:pPr>
    </w:p>
    <w:p>
      <w:pPr>
        <w:ind w:left="1060" w:hanging="431"/>
        <w:spacing w:after="0" w:line="291"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into common shares on a one-for-one basis upon the closing of this offering and the filing and effectiveness of our amended and restated articles of association and</w:t>
      </w:r>
    </w:p>
    <w:p>
      <w:pPr>
        <w:sectPr>
          <w:pgSz w:w="11900" w:h="16838" w:orient="portrait"/>
          <w:cols w:equalWidth="0" w:num="1">
            <w:col w:w="11180"/>
          </w:cols>
          <w:pgMar w:left="240" w:top="459" w:right="479" w:bottom="1440" w:gutter="0" w:footer="0" w:header="0"/>
          <w:type w:val="continuous"/>
        </w:sectPr>
      </w:pPr>
    </w:p>
    <w:p>
      <w:pPr>
        <w:ind w:left="1060"/>
        <w:spacing w:after="0"/>
        <w:tabs>
          <w:tab w:leader="none" w:pos="4360" w:val="left"/>
        </w:tabs>
        <w:rPr>
          <w:sz w:val="20"/>
          <w:szCs w:val="20"/>
          <w:color w:val="auto"/>
        </w:rPr>
      </w:pPr>
      <w:r>
        <w:rPr>
          <w:rFonts w:ascii="Arial" w:cs="Arial" w:eastAsia="Arial" w:hAnsi="Arial"/>
          <w:sz w:val="18"/>
          <w:szCs w:val="18"/>
          <w:color w:val="auto"/>
        </w:rPr>
        <w:t>creation of authorized share capital of</w:t>
      </w:r>
      <w:r>
        <w:rPr>
          <w:sz w:val="20"/>
          <w:szCs w:val="20"/>
          <w:color w:val="auto"/>
        </w:rPr>
        <w:tab/>
      </w:r>
      <w:r>
        <w:rPr>
          <w:rFonts w:ascii="Arial" w:cs="Arial" w:eastAsia="Arial" w:hAnsi="Arial"/>
          <w:sz w:val="16"/>
          <w:szCs w:val="16"/>
          <w:color w:val="auto"/>
        </w:rPr>
        <w:t>common shares upon the closing of this offering; and</w:t>
      </w:r>
    </w:p>
    <w:p>
      <w:pPr>
        <w:sectPr>
          <w:pgSz w:w="11900" w:h="16838" w:orient="portrait"/>
          <w:cols w:equalWidth="0" w:num="1">
            <w:col w:w="11180"/>
          </w:cols>
          <w:pgMar w:left="240" w:top="459" w:right="479" w:bottom="1440" w:gutter="0" w:footer="0" w:header="0"/>
          <w:type w:val="continuous"/>
        </w:sectPr>
      </w:pP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the underwriters’ over-allotment option to purchase up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w:t>
      </w:r>
    </w:p>
    <w:p>
      <w:pPr>
        <w:spacing w:after="0" w:line="222" w:lineRule="exact"/>
        <w:rPr>
          <w:sz w:val="20"/>
          <w:szCs w:val="20"/>
          <w:color w:val="auto"/>
        </w:rPr>
      </w:pPr>
    </w:p>
    <w:p>
      <w:pPr>
        <w:sectPr>
          <w:pgSz w:w="11900" w:h="16838" w:orient="portrait"/>
          <w:cols w:equalWidth="0" w:num="3">
            <w:col w:w="700" w:space="360"/>
            <w:col w:w="5180" w:space="580"/>
            <w:col w:w="436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80"/>
          </w:cols>
          <w:pgMar w:left="240" w:top="459"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21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821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140" w:firstLine="443"/>
        <w:spacing w:after="0" w:line="293" w:lineRule="auto"/>
        <w:rPr>
          <w:sz w:val="20"/>
          <w:szCs w:val="20"/>
          <w:color w:val="auto"/>
        </w:rPr>
      </w:pPr>
      <w:r>
        <w:rPr>
          <w:rFonts w:ascii="Arial" w:cs="Arial" w:eastAsia="Arial" w:hAnsi="Arial"/>
          <w:sz w:val="16"/>
          <w:szCs w:val="16"/>
          <w:color w:val="auto"/>
        </w:rPr>
        <w:t>The summary income statement data and balance sheet data for and as at the years ended December 31, 2014 and 2013 are derived from our audited financial statements included elsewhere in this prospectus. The summary income statement data for the nine months ended September 30, 2015 and 2014 and balance sheet data as at September 30, 2015 are derived from our unaudited condensed interim financial statements included elsewhere in this prospectus. This unaudited financial data, in management’s opinion, have been prepared on the same basis as the audited financial statements and related notes included elsewhere in this prospectus, and include all adjustments, consisting only of normal recurring adjustments, that management considers necessary for a fair presentation of the financial information as of and for the periods presented.</w:t>
      </w:r>
    </w:p>
    <w:p>
      <w:pPr>
        <w:spacing w:after="0" w:line="16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Nine Months Ended</w:t>
            </w: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Years Ended</w:t>
            </w:r>
          </w:p>
        </w:tc>
      </w:tr>
      <w:tr>
        <w:trPr>
          <w:trHeight w:val="17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620" w:type="dxa"/>
            <w:vAlign w:val="bottom"/>
            <w:gridSpan w:val="7"/>
          </w:tcPr>
          <w:p>
            <w:pPr>
              <w:jc w:val="right"/>
              <w:ind w:right="511"/>
              <w:spacing w:after="0" w:line="142" w:lineRule="exact"/>
              <w:rPr>
                <w:sz w:val="20"/>
                <w:szCs w:val="20"/>
                <w:color w:val="auto"/>
              </w:rPr>
            </w:pPr>
            <w:r>
              <w:rPr>
                <w:rFonts w:ascii="Arial" w:cs="Arial" w:eastAsia="Arial" w:hAnsi="Arial"/>
                <w:sz w:val="14"/>
                <w:szCs w:val="14"/>
                <w:b w:val="1"/>
                <w:bCs w:val="1"/>
                <w:color w:val="auto"/>
              </w:rPr>
              <w:t>(in CHF thousands except for share and per share data)</w:t>
            </w:r>
          </w:p>
        </w:tc>
        <w:tc>
          <w:tcPr>
            <w:tcW w:w="140" w:type="dxa"/>
            <w:vAlign w:val="bottom"/>
          </w:tcPr>
          <w:p>
            <w:pPr>
              <w:spacing w:after="0"/>
              <w:rPr>
                <w:sz w:val="12"/>
                <w:szCs w:val="12"/>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38,775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30,269</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8,637</w:t>
            </w: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(17,180)</w:t>
            </w: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(3,489)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(2,317)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(3,436)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 / (loss)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(11,498)</w:t>
            </w: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Finance costs—net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924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 (loss) before tax</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24,864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(11,243)</w:t>
            </w: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 (loss) for the period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24,864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(11,243)</w:t>
            </w:r>
          </w:p>
        </w:tc>
      </w:tr>
      <w:tr>
        <w:trPr>
          <w:trHeight w:val="20"/>
        </w:trPr>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Earnings / (loss) per share (basic)(1)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0.58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 (loss) per share (fully diluted)(1)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r>
      <w:tr>
        <w:trPr>
          <w:trHeight w:val="202"/>
        </w:trPr>
        <w:tc>
          <w:tcPr>
            <w:tcW w:w="63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1"/>
              </w:rPr>
              <w:t>Weighted-average number of shares used to compute earnings / (loss) per share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300" w:type="dxa"/>
            <w:vAlign w:val="bottom"/>
            <w:gridSpan w:val="2"/>
          </w:tcPr>
          <w:p>
            <w:pPr>
              <w:ind w:left="54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42,740,500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42,681,250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42,684,750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40,589,000</w:t>
            </w: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Weighted-average number of shares used to compute earnings / (loss) per share</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fully 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46,347,500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45,073,500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45,552,500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42,689,500</w:t>
            </w: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Pro forma earnings / (loss) per share (basic)(2)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0.54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earnings / (loss) per share (fully diluted)(2)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63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1"/>
              </w:rPr>
              <w:t>Weighted-average number of shares used to compute pro forma earnings / (loss)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300" w:type="dxa"/>
            <w:vAlign w:val="bottom"/>
            <w:gridSpan w:val="2"/>
          </w:tcPr>
          <w:p>
            <w:pPr>
              <w:ind w:left="540"/>
              <w:spacing w:after="0"/>
              <w:rPr>
                <w:sz w:val="20"/>
                <w:szCs w:val="20"/>
                <w:color w:val="auto"/>
              </w:rPr>
            </w:pPr>
            <w:r>
              <w:rPr>
                <w:rFonts w:ascii="Arial" w:cs="Arial" w:eastAsia="Arial" w:hAnsi="Arial"/>
                <w:sz w:val="18"/>
                <w:szCs w:val="18"/>
                <w:color w:val="auto"/>
              </w:rPr>
              <w:t>per share 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45,853,750</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42,697,203</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Weighted-average number of shares used to compute pro forma earnings / (loss)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per share fully 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49,460,750</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45,564,953</w:t>
            </w: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right="200" w:hanging="423"/>
        <w:spacing w:after="0" w:line="302"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earnings / (loss) per share basic and fully diluted data gives effect to the Series E Private Placement, the conversion of all the preferred shares issued in the Series E Private Placement into common shares and the 250-for-1 stock split effected on November 2, 2015. The unaudited pro forma earnings / (loss) per share information presented is for informational purposes only and is not necessarily indicative of what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11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411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320"/>
        <w:spacing w:after="0" w:line="277" w:lineRule="auto"/>
        <w:rPr>
          <w:sz w:val="20"/>
          <w:szCs w:val="20"/>
          <w:color w:val="auto"/>
        </w:rPr>
      </w:pPr>
      <w:r>
        <w:rPr>
          <w:rFonts w:ascii="Arial" w:cs="Arial" w:eastAsia="Arial" w:hAnsi="Arial"/>
          <w:sz w:val="18"/>
          <w:szCs w:val="18"/>
          <w:color w:val="auto"/>
        </w:rPr>
        <w:t>our results would have been had the conversion of the preferred shares occurred at the dates indicated or any other time, nor is the information indicative of our future performance.</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As at September 30, 2015</w:t>
            </w:r>
          </w:p>
        </w:tc>
        <w:tc>
          <w:tcPr>
            <w:tcW w:w="1440" w:type="dxa"/>
            <w:vAlign w:val="bottom"/>
            <w:tcBorders>
              <w:bottom w:val="single" w:sz="8" w:color="auto"/>
            </w:tcBorders>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04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Actual</w:t>
            </w:r>
          </w:p>
        </w:tc>
        <w:tc>
          <w:tcPr>
            <w:tcW w:w="2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As Adjusted(1)</w:t>
            </w:r>
          </w:p>
        </w:tc>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As Further Adjusted(2)</w:t>
            </w:r>
          </w:p>
        </w:tc>
      </w:tr>
      <w:tr>
        <w:trPr>
          <w:trHeight w:val="142"/>
        </w:trPr>
        <w:tc>
          <w:tcPr>
            <w:tcW w:w="4720" w:type="dxa"/>
            <w:vAlign w:val="bottom"/>
          </w:tcPr>
          <w:p>
            <w:pPr>
              <w:spacing w:after="0"/>
              <w:rPr>
                <w:sz w:val="12"/>
                <w:szCs w:val="12"/>
                <w:color w:val="auto"/>
              </w:rPr>
            </w:pPr>
          </w:p>
        </w:tc>
        <w:tc>
          <w:tcPr>
            <w:tcW w:w="2340" w:type="dxa"/>
            <w:vAlign w:val="bottom"/>
            <w:tcBorders>
              <w:top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b w:val="1"/>
                <w:bCs w:val="1"/>
                <w:color w:val="auto"/>
              </w:rPr>
              <w:t>(in CHF thousands)</w:t>
            </w:r>
          </w:p>
        </w:tc>
        <w:tc>
          <w:tcPr>
            <w:tcW w:w="8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Cash and cash equivalents(3)</w:t>
            </w:r>
          </w:p>
        </w:tc>
        <w:tc>
          <w:tcPr>
            <w:tcW w:w="1040" w:type="dxa"/>
            <w:vAlign w:val="bottom"/>
          </w:tcPr>
          <w:p>
            <w:pPr>
              <w:jc w:val="right"/>
              <w:ind w:right="335"/>
              <w:spacing w:after="0"/>
              <w:rPr>
                <w:sz w:val="20"/>
                <w:szCs w:val="20"/>
                <w:color w:val="auto"/>
              </w:rPr>
            </w:pPr>
            <w:r>
              <w:rPr>
                <w:rFonts w:ascii="Arial" w:cs="Arial" w:eastAsia="Arial" w:hAnsi="Arial"/>
                <w:sz w:val="18"/>
                <w:szCs w:val="18"/>
                <w:color w:val="auto"/>
              </w:rPr>
              <w:t>53,685</w:t>
            </w:r>
          </w:p>
        </w:tc>
        <w:tc>
          <w:tcPr>
            <w:tcW w:w="1300" w:type="dxa"/>
            <w:vAlign w:val="bottom"/>
          </w:tcPr>
          <w:p>
            <w:pPr>
              <w:jc w:val="right"/>
              <w:spacing w:after="0"/>
              <w:rPr>
                <w:sz w:val="20"/>
                <w:szCs w:val="20"/>
                <w:color w:val="auto"/>
              </w:rPr>
            </w:pPr>
            <w:r>
              <w:rPr>
                <w:rFonts w:ascii="Arial" w:cs="Arial" w:eastAsia="Arial" w:hAnsi="Arial"/>
                <w:sz w:val="18"/>
                <w:szCs w:val="18"/>
                <w:color w:val="auto"/>
              </w:rPr>
              <w:t>80,758</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55,139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82,212</w:t>
            </w: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jc w:val="right"/>
              <w:ind w:right="275"/>
              <w:spacing w:after="0"/>
              <w:rPr>
                <w:sz w:val="20"/>
                <w:szCs w:val="20"/>
                <w:color w:val="auto"/>
              </w:rPr>
            </w:pPr>
            <w:r>
              <w:rPr>
                <w:rFonts w:ascii="Arial" w:cs="Arial" w:eastAsia="Arial" w:hAnsi="Arial"/>
                <w:sz w:val="18"/>
                <w:szCs w:val="18"/>
                <w:color w:val="auto"/>
                <w:w w:val="98"/>
              </w:rPr>
              <w:t>(35,816)</w:t>
            </w:r>
          </w:p>
        </w:tc>
        <w:tc>
          <w:tcPr>
            <w:tcW w:w="2100" w:type="dxa"/>
            <w:vAlign w:val="bottom"/>
            <w:gridSpan w:val="2"/>
          </w:tcPr>
          <w:p>
            <w:pPr>
              <w:jc w:val="right"/>
              <w:ind w:right="740"/>
              <w:spacing w:after="0"/>
              <w:rPr>
                <w:sz w:val="20"/>
                <w:szCs w:val="20"/>
                <w:color w:val="auto"/>
              </w:rPr>
            </w:pPr>
            <w:r>
              <w:rPr>
                <w:rFonts w:ascii="Arial" w:cs="Arial" w:eastAsia="Arial" w:hAnsi="Arial"/>
                <w:sz w:val="18"/>
                <w:szCs w:val="18"/>
                <w:color w:val="auto"/>
              </w:rPr>
              <w:t>(35,816)</w:t>
            </w:r>
          </w:p>
        </w:tc>
        <w:tc>
          <w:tcPr>
            <w:tcW w:w="144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equity(3)</w:t>
            </w:r>
          </w:p>
        </w:tc>
        <w:tc>
          <w:tcPr>
            <w:tcW w:w="10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48,152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720" w:type="dxa"/>
            <w:vAlign w:val="bottom"/>
          </w:tcPr>
          <w:p>
            <w:pPr>
              <w:ind w:left="360"/>
              <w:spacing w:after="0"/>
              <w:rPr>
                <w:sz w:val="20"/>
                <w:szCs w:val="20"/>
                <w:color w:val="auto"/>
              </w:rPr>
            </w:pPr>
            <w:r>
              <w:rPr>
                <w:rFonts w:ascii="Arial" w:cs="Arial" w:eastAsia="Arial" w:hAnsi="Arial"/>
                <w:sz w:val="18"/>
                <w:szCs w:val="18"/>
                <w:color w:val="auto"/>
              </w:rPr>
              <w:t>Total equity and liabilities</w:t>
            </w:r>
          </w:p>
        </w:tc>
        <w:tc>
          <w:tcPr>
            <w:tcW w:w="1040" w:type="dxa"/>
            <w:vAlign w:val="bottom"/>
          </w:tcPr>
          <w:p>
            <w:pPr>
              <w:jc w:val="right"/>
              <w:ind w:right="335"/>
              <w:spacing w:after="0"/>
              <w:rPr>
                <w:sz w:val="20"/>
                <w:szCs w:val="20"/>
                <w:color w:val="auto"/>
              </w:rPr>
            </w:pPr>
            <w:r>
              <w:rPr>
                <w:rFonts w:ascii="Arial" w:cs="Arial" w:eastAsia="Arial" w:hAnsi="Arial"/>
                <w:sz w:val="18"/>
                <w:szCs w:val="18"/>
                <w:color w:val="auto"/>
              </w:rPr>
              <w:t>55,139</w:t>
            </w:r>
          </w:p>
        </w:tc>
        <w:tc>
          <w:tcPr>
            <w:tcW w:w="1300" w:type="dxa"/>
            <w:vAlign w:val="bottom"/>
          </w:tcPr>
          <w:p>
            <w:pPr>
              <w:jc w:val="right"/>
              <w:spacing w:after="0"/>
              <w:rPr>
                <w:sz w:val="20"/>
                <w:szCs w:val="20"/>
                <w:color w:val="auto"/>
              </w:rPr>
            </w:pPr>
            <w:r>
              <w:rPr>
                <w:rFonts w:ascii="Arial" w:cs="Arial" w:eastAsia="Arial" w:hAnsi="Arial"/>
                <w:sz w:val="18"/>
                <w:szCs w:val="18"/>
                <w:color w:val="auto"/>
              </w:rPr>
              <w:t>82,212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60" w:lineRule="exact"/>
        <w:rPr>
          <w:sz w:val="20"/>
          <w:szCs w:val="20"/>
          <w:color w:val="auto"/>
        </w:rPr>
      </w:pPr>
    </w:p>
    <w:p>
      <w:pPr>
        <w:ind w:left="620" w:hanging="423"/>
        <w:spacing w:after="0" w:line="29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adjusted to reflect (i) the 250-for-1 stock split effected on November 2, 2015, (ii) the conversion of all shares of our preferred stock outstanding as of September 30, 2015 into an aggregate of 34,062,000 common shares; (iii) the issuance and sale of preferred shares in the Series E Private</w:t>
      </w:r>
    </w:p>
    <w:tbl>
      <w:tblPr>
        <w:tblLayout w:type="fixed"/>
        <w:tblInd w:w="20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0640" w:type="dxa"/>
            <w:vAlign w:val="bottom"/>
            <w:gridSpan w:val="6"/>
          </w:tcPr>
          <w:p>
            <w:pPr>
              <w:ind w:left="100"/>
              <w:spacing w:after="0" w:line="202" w:lineRule="exact"/>
              <w:rPr>
                <w:sz w:val="20"/>
                <w:szCs w:val="20"/>
                <w:color w:val="auto"/>
              </w:rPr>
            </w:pPr>
            <w:r>
              <w:rPr>
                <w:rFonts w:ascii="Arial" w:cs="Arial" w:eastAsia="Arial" w:hAnsi="Arial"/>
                <w:sz w:val="18"/>
                <w:szCs w:val="18"/>
                <w:color w:val="auto"/>
                <w:w w:val="94"/>
              </w:rPr>
              <w:t>Placement and the conversion of all such shares into an aggregate of 3,113,250 common shares; and (iv) the filing and effectiveness of our</w:t>
            </w:r>
          </w:p>
        </w:tc>
      </w:tr>
      <w:tr>
        <w:trPr>
          <w:trHeight w:val="216"/>
        </w:trPr>
        <w:tc>
          <w:tcPr>
            <w:tcW w:w="320" w:type="dxa"/>
            <w:vAlign w:val="bottom"/>
          </w:tcPr>
          <w:p>
            <w:pPr>
              <w:spacing w:after="0"/>
              <w:rPr>
                <w:sz w:val="18"/>
                <w:szCs w:val="18"/>
                <w:color w:val="auto"/>
              </w:rPr>
            </w:pPr>
          </w:p>
        </w:tc>
        <w:tc>
          <w:tcPr>
            <w:tcW w:w="3680" w:type="dxa"/>
            <w:vAlign w:val="bottom"/>
            <w:gridSpan w:val="4"/>
          </w:tcPr>
          <w:p>
            <w:pPr>
              <w:ind w:left="100"/>
              <w:spacing w:after="0"/>
              <w:rPr>
                <w:sz w:val="20"/>
                <w:szCs w:val="20"/>
                <w:color w:val="auto"/>
              </w:rPr>
            </w:pPr>
            <w:r>
              <w:rPr>
                <w:rFonts w:ascii="Arial" w:cs="Arial" w:eastAsia="Arial" w:hAnsi="Arial"/>
                <w:sz w:val="18"/>
                <w:szCs w:val="18"/>
                <w:color w:val="auto"/>
                <w:w w:val="94"/>
              </w:rPr>
              <w:t>amended and restated articles of incorporation.</w:t>
            </w:r>
          </w:p>
        </w:tc>
        <w:tc>
          <w:tcPr>
            <w:tcW w:w="234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1080" w:type="dxa"/>
            <w:vAlign w:val="bottom"/>
          </w:tcPr>
          <w:p>
            <w:pPr>
              <w:ind w:left="280"/>
              <w:spacing w:after="0"/>
              <w:rPr>
                <w:sz w:val="20"/>
                <w:szCs w:val="20"/>
                <w:color w:val="auto"/>
              </w:rPr>
            </w:pPr>
            <w:r>
              <w:rPr>
                <w:rFonts w:ascii="Arial" w:cs="Arial" w:eastAsia="Arial" w:hAnsi="Arial"/>
                <w:sz w:val="18"/>
                <w:szCs w:val="18"/>
                <w:color w:val="auto"/>
              </w:rPr>
              <w:t>(CHF</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w w:val="91"/>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Jean-Fabien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and Piramal, our business, commercialization prospects and financial condition may be materially adversely affected.</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amount of notice. After a specified amount of time, Janssen and Piramal will also each have the right to terminate their agreements with us for any reason upon providing us with a certain amount of notice. If Genentech, Janssen or Piramal terminate their respective agreements with us at any time, it could delay or prevent development of our product candidates and materially harm our business, financial condition, commercialization prospects and results of operations.</w:t>
      </w:r>
    </w:p>
    <w:p>
      <w:pPr>
        <w:spacing w:after="0" w:line="17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Good relationships with Genentech, Janssen and Piramal are important for our business prospects. If our relationships with Genentech, Janssen or Piramal were to deteriorate substantially or Genentech, Janssen or Piramal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We and Genentech are parties to interference proceedings with AbbVie that relate to crenezumab, and we may be involved in other proceedings or lawsuits to protect or enforce our patents or the patents of our licensors,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Competitors may infringe our patents or the patents of our licensors.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derivation proceedings and equivalent proceedings in foreign jurisdictions. The outcome following legal assertions of invalidity and unenforceability is unpredictable.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or our collaboration partners to cease using the related technology or to attempt to license rights to it from the prevailing party. Our business could be materially harmed if the prevailing party does not offer us or our collaboration partners a license on commercially reasonable terms or at all. For example, we and Genentech are parties to an interference proceeding with AbbVie, Inc. before the USPTO. The interference involves two of our U.S. patents that relate to crenezumab and a U.S. patent application owned by AbbVie. In addition, two opposition proceedings are pending before the European Patent Office involving us, Genentech and AbbVie. In one proceeding, we and Genentech filed an opposition against a European patent issued to AbbVie. In the second proceeding, AbbVie filed an opposition against our issued European patent, which relates to crenezumab. See “Business—Legal Proceedings—Patent Proceedings” for additional information. If we and Genentech are unsuccessful in any of these pending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defense of litigation or interference proceedings may fail and, even if successful, may result in substantial costs and distract our management and other employees from their normal responsibilities. Such litigation or proceedings could substantially increase our operating losses and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licensors or collaboration partners, misappropriation of our intellectual property rights, particularly in countries where the laws may not protect those rights as fully as in the United States.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jc w:val="both"/>
        <w:ind w:left="240" w:right="260"/>
        <w:spacing w:after="0" w:line="340" w:lineRule="auto"/>
        <w:rPr>
          <w:sz w:val="20"/>
          <w:szCs w:val="20"/>
          <w:color w:val="auto"/>
        </w:rPr>
      </w:pPr>
      <w:r>
        <w:rPr>
          <w:rFonts w:ascii="Arial" w:cs="Arial" w:eastAsia="Arial" w:hAnsi="Arial"/>
          <w:sz w:val="15"/>
          <w:szCs w:val="15"/>
          <w:b w:val="1"/>
          <w:bCs w:val="1"/>
          <w:i w:val="1"/>
          <w:iCs w:val="1"/>
          <w:color w:val="auto"/>
        </w:rPr>
        <w:t>If we or our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2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and product candidates. Our success depends in large part on our and our collaboration partners’ ability to obtain and maintain patent and other intellectual property protection in the United States and in other countries with respect to our proprietary technologies and product candidates.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patents or pending patent applications, nor can we know whether those from whom we license patents were the first to make the inventions claimed or were the first to file.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effects of these changes on the operation of our business are currently unclear as, among other reasons, the USPTO must still implement various regulations.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parties,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we would have no right to prevent such competitor from using that technology or information to compete with us. A competitor’s discovery of our intellectual property would impair our competitive position and have a material adverse effect on our business.</w:t>
      </w:r>
    </w:p>
    <w:p>
      <w:pPr>
        <w:spacing w:after="0" w:line="166"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patents relating to our product candidates are controlled by our licensors or collaboration partners. If any of our future licensing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6"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partners and us and our licensors or collaborators;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commercial success depends on our ability and the ability of our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post grant review before the USPTO and corresponding foreign patent offices.</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collaboration partners and either we or our collaboration partners are found to infringe any of these patents, and are unsuccessful in demonstrating that such patents are invalid or unenforceable, then we and our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use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0"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9.1 million for the nine months ended September 30, 2014. In addition, we had an accumulated deficit of CHF 35.8 million as at September 30, 2015.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2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we or our collaboration partners, as the case may be, successfully completing a Phase 3 clinical study of crenezumab, a Phase 1/2a clinical study of ACI-24 for AD and a Phase 1b clinical study of ACI-35;</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 our collaboration partners continue our ongoing studies and initiate new studies of crenezumab, ACI-24 for AD and ACI-35 and initiate preclinical and clinical development of our other product candidates. As at September 30, 2015, our cash and cash equivalents were CHF 53.7 million, or CHF 80.8 million after giving effect to the Series E Private Placement. We currently believe that our existing capital resources, not including potential milestone payments and the proceeds we receive from this offering, but including the proceeds we received from the Series E Private Placement, will be</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sufficient to meet our projected operating requirements for at least through the end of fiscal year . We have based this estimate on assumptions that may prove to be wrong, and we could exhaust our capital resources sooner than we currently expect. Our future funding requirements will depend on many factors, including but not limited to:</w:t>
      </w:r>
    </w:p>
    <w:p>
      <w:pPr>
        <w:spacing w:after="0" w:line="4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if we choose to commercialize such product candidate independently, we expect to incur significant commercialization expenses related to product manufacturing, sales, marketing and distribution, depending on where we choose to commercialize. We also expect to incur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55"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As of December 31, 2014, we reported tax loss carryforwards from financial years 2007 until 2014 for purposes of Swiss corporate income tax in the aggregate amount of CHF 49.3 million that could be available to offset future taxable income. If not used, these tax losses will expire seven years after the year in which they were incurred. Due to our limited income, there is a high risk that the tax loss carryforwards will expire partly or entirely.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is expected to begin in the first quarter of 2016, but may be delayed and no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assurance is given that the studies will begin on that time frame.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7"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4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30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900" w:right="3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55"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4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between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Following completion of this offering, our existing shareholders are expected to own approximately %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common shares. Following the completion of this offering, we will have</w:t>
      </w:r>
      <w:r>
        <w:rPr>
          <w:sz w:val="20"/>
          <w:szCs w:val="20"/>
          <w:color w:val="auto"/>
        </w:rPr>
        <w:tab/>
      </w:r>
      <w:r>
        <w:rPr>
          <w:rFonts w:ascii="Arial" w:cs="Arial" w:eastAsia="Arial" w:hAnsi="Arial"/>
          <w:sz w:val="16"/>
          <w:szCs w:val="16"/>
          <w:color w:val="auto"/>
        </w:rPr>
        <w:t>common shares outstanding (assuming no exercise of the underwriters’ over-</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conversion of all of our outstanding preferred shares into common shares.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of our existing shareholders and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shareholders’ resolution regarding the authorized share capital increase may be challenged.</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This offering is based upon and subject to a resolution regarding the authorized share capital increase that was approved by the shareholders at the shareholders’ meeting held on October 21, 2015. As with all share capital increases in Switzerland, the registration of the capital increase in the commercial register of the Canton of Zurich may be blocked by a shareholder and, therefore, prevent or delay the completion of this offering.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registered share capital—the aggregate par value of a company’s registered shares—only by way of a capital reduction.</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completion of this offering, we expect the Company to have CHF of qualifying capital contributions and CHF of registered share capital on its audited statutory balance sheet. We expect the aggregate of these amounts (less the minimum registered share capital of CHF 100,000)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form capital contributions. We would also be able to pay dividends out of</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par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par value reductions or qualifying capital contributions available to us to pay out as distributions is limited. If we are unable to make a distribution through a reduction in par value or out of qualifying capital contributions, we may not be able to make distributions without subjecting our shareholders to Swiss withholding taxes.</w:t>
      </w:r>
    </w:p>
    <w:p>
      <w:pPr>
        <w:spacing w:after="0" w:line="17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present Swiss tax laws, repurchases of shares for the purposes of cancellation are treated as a partial liquidation subject to 35% Swiss withholding tax on the difference between the repurchase price and the par value except, since January 1, 2011, to the extent attributable to qualifying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if any, and to the extent that, the repurchase of shares is out of retained earnings or other taxable reserves, the Swiss withholding becomes due.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30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proposal to pay future dividends to shareholders will effectively be at the discretion of our board of directors and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See “Taxation—Swiss Tax Considerations” for a summary of certain Swiss tax consequences regarding dividends distributed to holders of the our common shares.</w:t>
      </w:r>
    </w:p>
    <w:p>
      <w:pPr>
        <w:spacing w:after="0" w:line="28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7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at June 30, 2016 (the end of our second fiscal quarter in the fiscal year after this offering), which would require us to comply with all of the periodic disclosure and current reporting requirements of the Exchange Act applicable to U.S. domestic issuers as of January 1, 2017.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7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have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at and for the year ended December 31, 2014, we and our independent registered public accounting firm have identified a material weakness as defined under the Exchange Act and by the U.S. Public Company Accounting Oversight Board, or PCAOB, in our internal control over financial reporting.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2016.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have identified a material weakness in our internal control over financial reporting.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2014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6"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(“QEF”)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If the underwriters exercise their over-allotment option in full, we estimate that the net proceeds will</w:t>
      </w:r>
    </w:p>
    <w:p>
      <w:pPr>
        <w:spacing w:after="0" w:line="3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 approximately $ million, after deducting the underwriting discount and estimated offering expenses payable by us. In addition, we received gross proceeds of approximately $30.0 million from the Series E Private Placement.</w:t>
      </w:r>
    </w:p>
    <w:p>
      <w:pPr>
        <w:spacing w:after="0" w:line="170"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300" w:firstLine="8"/>
        <w:spacing w:after="0" w:line="281" w:lineRule="auto"/>
        <w:tabs>
          <w:tab w:leader="none" w:pos="4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September 30, 2015, we had cash and cash equivalents of CHF 53.7 million, which included a receivable related to milestone payments of CHF 14.0 million received in July 2015 from Genentech in connection with our anti-tau antibody program and crenezumab, respectively. At September 30, 2015, after giving effect to the Series E Private Placement,</w:t>
      </w:r>
    </w:p>
    <w:p>
      <w:pPr>
        <w:ind w:right="120"/>
        <w:spacing w:after="0" w:line="261" w:lineRule="auto"/>
        <w:rPr>
          <w:sz w:val="20"/>
          <w:szCs w:val="20"/>
          <w:color w:val="auto"/>
        </w:rPr>
      </w:pPr>
      <w:r>
        <w:rPr>
          <w:rFonts w:ascii="Arial" w:cs="Arial" w:eastAsia="Arial" w:hAnsi="Arial"/>
          <w:sz w:val="18"/>
          <w:szCs w:val="18"/>
          <w:color w:val="auto"/>
        </w:rPr>
        <w:t>we would have had cash and cash equivalents of CHF 80.8 million. We intend to use the net proceeds of this offering over the next years, together with our existing cash and cash equivalents (including the net proceeds from the Series E Private Placement), as follows:</w:t>
      </w:r>
    </w:p>
    <w:p>
      <w:pPr>
        <w:spacing w:after="0" w:line="89"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share of the costs for the further development of our therapeutic and diagnostics product candidates</w:t>
      </w:r>
    </w:p>
    <w:p>
      <w:pPr>
        <w:sectPr>
          <w:pgSz w:w="11900" w:h="16838" w:orient="portrait"/>
          <w:cols w:equalWidth="0" w:num="1">
            <w:col w:w="11420"/>
          </w:cols>
          <w:pgMar w:left="240" w:top="446" w:right="239" w:bottom="1440" w:gutter="0" w:footer="0" w:header="0"/>
        </w:sectPr>
      </w:pPr>
    </w:p>
    <w:p>
      <w:pPr>
        <w:spacing w:after="0" w:line="23" w:lineRule="exact"/>
        <w:rPr>
          <w:sz w:val="20"/>
          <w:szCs w:val="20"/>
          <w:color w:val="auto"/>
        </w:rPr>
      </w:pPr>
    </w:p>
    <w:p>
      <w:pPr>
        <w:ind w:left="900" w:right="200"/>
        <w:spacing w:after="0" w:line="277" w:lineRule="auto"/>
        <w:rPr>
          <w:sz w:val="20"/>
          <w:szCs w:val="20"/>
          <w:color w:val="auto"/>
        </w:rPr>
      </w:pPr>
      <w:r>
        <w:rPr>
          <w:rFonts w:ascii="Arial" w:cs="Arial" w:eastAsia="Arial" w:hAnsi="Arial"/>
          <w:sz w:val="17"/>
          <w:szCs w:val="17"/>
          <w:color w:val="auto"/>
        </w:rPr>
        <w:t>under collaboration agreements (anti-tau antibodies and the tau PET tracers) in the next three years, of which approximately $ million will be spent on therapeutic product candidates and of which approximately $ million will be spent on diagnostic product candidates, and we expect these expenditures will take the tau PET tracers into Phase 3 and the anti-tau antibody program into Phase 2;</w:t>
      </w:r>
    </w:p>
    <w:p>
      <w:pPr>
        <w:sectPr>
          <w:pgSz w:w="11900" w:h="16838" w:orient="portrait"/>
          <w:cols w:equalWidth="0" w:num="1">
            <w:col w:w="11420"/>
          </w:cols>
          <w:pgMar w:left="240" w:top="446" w:right="239" w:bottom="1440" w:gutter="0" w:footer="0" w:header="0"/>
          <w:type w:val="continuous"/>
        </w:sectPr>
      </w:pPr>
    </w:p>
    <w:p>
      <w:pPr>
        <w:spacing w:after="0" w:line="79" w:lineRule="exact"/>
        <w:rPr>
          <w:sz w:val="20"/>
          <w:szCs w:val="20"/>
          <w:color w:val="auto"/>
        </w:rPr>
      </w:pPr>
    </w:p>
    <w:p>
      <w:pPr>
        <w:ind w:left="900" w:right="4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 million for the further development of ACI-24 for AD through the remainder of the Phase 1/2a study and the Phase 2b study and for our ongoing Phase 1 study and a portion of the proposed Phase 2 study of ACI-24 for Down syndrome;</w:t>
      </w:r>
    </w:p>
    <w:p>
      <w:pPr>
        <w:spacing w:after="0" w:line="51"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70"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6"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if it has sufficient distributable profits brought forward from the previous business years (“</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or if it has distributable reserves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libres</w:t>
      </w:r>
      <w:r>
        <w:rPr>
          <w:rFonts w:ascii="Arial" w:cs="Arial" w:eastAsia="Arial" w:hAnsi="Arial"/>
          <w:sz w:val="16"/>
          <w:szCs w:val="16"/>
          <w:color w:val="auto"/>
        </w:rPr>
        <w:t>”) or as “reserve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Distributions out of issued share capital, which is the aggregate nominal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a corporation’s issued shares, may be made only by way of a share capital reduction. See “Description of Share Capital and Articles of Association.”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250-for-1 stock split effected on November 2, 2015;</w:t>
      </w:r>
    </w:p>
    <w:p>
      <w:pPr>
        <w:spacing w:after="0" w:line="117" w:lineRule="exact"/>
        <w:rPr>
          <w:rFonts w:ascii="Arial" w:cs="Arial" w:eastAsia="Arial" w:hAnsi="Arial"/>
          <w:sz w:val="18"/>
          <w:szCs w:val="18"/>
          <w:color w:val="auto"/>
        </w:rPr>
      </w:pPr>
    </w:p>
    <w:p>
      <w:pPr>
        <w:ind w:left="1500" w:right="340" w:hanging="8"/>
        <w:spacing w:after="0" w:line="277" w:lineRule="auto"/>
        <w:tabs>
          <w:tab w:leader="none" w:pos="17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conversion of all shares of our preferred stock outstanding as at September 30, 2015 into an aggregate of 34,062,000 common shares;</w:t>
      </w:r>
    </w:p>
    <w:p>
      <w:pPr>
        <w:spacing w:after="0" w:line="62" w:lineRule="exact"/>
        <w:rPr>
          <w:rFonts w:ascii="Arial" w:cs="Arial" w:eastAsia="Arial" w:hAnsi="Arial"/>
          <w:sz w:val="18"/>
          <w:szCs w:val="18"/>
          <w:color w:val="auto"/>
        </w:rPr>
      </w:pPr>
    </w:p>
    <w:p>
      <w:pPr>
        <w:ind w:left="1500" w:right="80" w:hanging="8"/>
        <w:spacing w:after="0" w:line="277" w:lineRule="auto"/>
        <w:tabs>
          <w:tab w:leader="none" w:pos="18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issuance and sale of preferred shares in the Series E Private Placement and the conversion of all such shares into an aggregate of 3,113,250 common shares;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as further adjusted basis to further reflect the receipt of the estimated net proceeds from the sale of common shares in this offering at an assumed initial public offering price of $ per share (which is the midpoint of the range set forth on the cover page of this prospectus), after deducting the underwriting discount and estimated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60" w:firstLine="456"/>
        <w:spacing w:after="0" w:line="264" w:lineRule="auto"/>
        <w:rPr>
          <w:sz w:val="20"/>
          <w:szCs w:val="20"/>
          <w:color w:val="auto"/>
        </w:rPr>
      </w:pPr>
      <w:r>
        <w:rPr>
          <w:rFonts w:ascii="Arial" w:cs="Arial" w:eastAsia="Arial" w:hAnsi="Arial"/>
          <w:sz w:val="18"/>
          <w:szCs w:val="18"/>
          <w:color w:val="auto"/>
        </w:rPr>
        <w:t>You should read this table in conjunction with our unaudited condensed interim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at September 30, 2015</w:t>
            </w: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As</w:t>
            </w:r>
          </w:p>
        </w:tc>
        <w:tc>
          <w:tcPr>
            <w:tcW w:w="7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87"/>
              </w:rPr>
              <w:t>Cash and cash equivalents</w:t>
            </w:r>
          </w:p>
        </w:tc>
        <w:tc>
          <w:tcPr>
            <w:tcW w:w="3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53,685</w:t>
            </w: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80,758</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shares nominal value CHF 0.02 per share, 8,758,500 shares issued and outstanding;</w:t>
            </w:r>
          </w:p>
        </w:tc>
        <w:tc>
          <w:tcPr>
            <w:tcW w:w="1960" w:type="dxa"/>
            <w:vAlign w:val="bottom"/>
            <w:gridSpan w:val="4"/>
            <w:shd w:val="clear" w:color="auto" w:fill="CCEEFF"/>
          </w:tcPr>
          <w:p>
            <w:pPr>
              <w:jc w:val="right"/>
              <w:ind w:right="1260"/>
              <w:spacing w:after="0" w:line="201"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shares issued and outstanding, as adjusted; and</w:t>
            </w:r>
          </w:p>
        </w:tc>
        <w:tc>
          <w:tcPr>
            <w:tcW w:w="1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authorized,</w:t>
            </w:r>
          </w:p>
        </w:tc>
        <w:tc>
          <w:tcPr>
            <w:tcW w:w="1960" w:type="dxa"/>
            <w:vAlign w:val="bottom"/>
            <w:gridSpan w:val="4"/>
            <w:shd w:val="clear" w:color="auto" w:fill="CCEEFF"/>
          </w:tcPr>
          <w:p>
            <w:pPr>
              <w:jc w:val="right"/>
              <w:ind w:right="1160"/>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as further adjusted</w:t>
            </w:r>
          </w:p>
        </w:tc>
        <w:tc>
          <w:tcPr>
            <w:tcW w:w="184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0" w:type="dxa"/>
            <w:vAlign w:val="bottom"/>
            <w:gridSpan w:val="7"/>
          </w:tcPr>
          <w:p>
            <w:pPr>
              <w:ind w:left="360"/>
              <w:spacing w:after="0" w:line="201" w:lineRule="exact"/>
              <w:rPr>
                <w:sz w:val="20"/>
                <w:szCs w:val="20"/>
                <w:color w:val="auto"/>
              </w:rPr>
            </w:pPr>
            <w:r>
              <w:rPr>
                <w:rFonts w:ascii="Arial" w:cs="Arial" w:eastAsia="Arial" w:hAnsi="Arial"/>
                <w:sz w:val="18"/>
                <w:szCs w:val="18"/>
                <w:color w:val="auto"/>
              </w:rPr>
              <w:t>Preferred shares nominal value CHF 0.02 per share, 34,062,000 authorized preferred shares, 34,062,000</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7"/>
          </w:tcPr>
          <w:p>
            <w:pPr>
              <w:ind w:left="540"/>
              <w:spacing w:after="0"/>
              <w:rPr>
                <w:sz w:val="20"/>
                <w:szCs w:val="20"/>
                <w:color w:val="auto"/>
              </w:rPr>
            </w:pPr>
            <w:r>
              <w:rPr>
                <w:rFonts w:ascii="Arial" w:cs="Arial" w:eastAsia="Arial" w:hAnsi="Arial"/>
                <w:sz w:val="18"/>
                <w:szCs w:val="18"/>
                <w:color w:val="auto"/>
              </w:rPr>
              <w:t>preferred shares issued and outstanding; no shares authorized or issued and outstanding, as adjusted or as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40"/>
              <w:spacing w:after="0"/>
              <w:rPr>
                <w:sz w:val="20"/>
                <w:szCs w:val="20"/>
                <w:color w:val="auto"/>
              </w:rPr>
            </w:pPr>
            <w:r>
              <w:rPr>
                <w:rFonts w:ascii="Arial" w:cs="Arial" w:eastAsia="Arial" w:hAnsi="Arial"/>
                <w:sz w:val="18"/>
                <w:szCs w:val="18"/>
                <w:color w:val="auto"/>
              </w:rPr>
              <w:t>further adjusted</w:t>
            </w:r>
          </w:p>
        </w:tc>
        <w:tc>
          <w:tcPr>
            <w:tcW w:w="3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83,112</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110,123</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(35,816)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(35,816)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75,226</w:t>
            </w: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20"/>
        <w:spacing w:after="0" w:line="255" w:lineRule="auto"/>
        <w:rPr>
          <w:sz w:val="20"/>
          <w:szCs w:val="20"/>
          <w:color w:val="auto"/>
        </w:rPr>
      </w:pPr>
      <w:r>
        <w:rPr>
          <w:rFonts w:ascii="Arial" w:cs="Arial" w:eastAsia="Arial" w:hAnsi="Arial"/>
          <w:sz w:val="18"/>
          <w:szCs w:val="18"/>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increase (decrease) as further adjusted cash and cash equivalents, additional paid-in capital, total shareholders’ equity and capitalization by</w:t>
      </w:r>
    </w:p>
    <w:p>
      <w:pPr>
        <w:spacing w:after="0" w:line="35" w:lineRule="exact"/>
        <w:rPr>
          <w:sz w:val="20"/>
          <w:szCs w:val="20"/>
          <w:color w:val="auto"/>
        </w:rPr>
      </w:pPr>
    </w:p>
    <w:p>
      <w:pPr>
        <w:ind w:left="460" w:hanging="6"/>
        <w:spacing w:after="0" w:line="261" w:lineRule="auto"/>
        <w:tabs>
          <w:tab w:leader="none" w:pos="9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 per share, after deducting the underwriting discount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right="60" w:hanging="325"/>
        <w:spacing w:after="0" w:line="277" w:lineRule="auto"/>
        <w:tabs>
          <w:tab w:leader="none" w:pos="14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14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September 30, 2015 at an exercise price of CHF 0.14548 per common share.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automatically convert into our common shares on a one-for-one basis upon the completion of this offering.</w:t>
      </w:r>
    </w:p>
    <w:p>
      <w:pPr>
        <w:spacing w:after="0" w:line="181" w:lineRule="exact"/>
        <w:rPr>
          <w:sz w:val="20"/>
          <w:szCs w:val="20"/>
          <w:color w:val="auto"/>
        </w:rPr>
      </w:pPr>
    </w:p>
    <w:p>
      <w:pPr>
        <w:jc w:val="both"/>
        <w:ind w:right="260" w:firstLine="456"/>
        <w:spacing w:after="0" w:line="288" w:lineRule="auto"/>
        <w:rPr>
          <w:sz w:val="20"/>
          <w:szCs w:val="20"/>
          <w:color w:val="auto"/>
        </w:rPr>
      </w:pPr>
      <w:r>
        <w:rPr>
          <w:rFonts w:ascii="Arial" w:cs="Arial" w:eastAsia="Arial" w:hAnsi="Arial"/>
          <w:sz w:val="16"/>
          <w:szCs w:val="16"/>
          <w:color w:val="auto"/>
        </w:rPr>
        <w:t>Net tangible book value is determined by dividing our total tangible assets less our total liabilities by the number of our common shares outstanding. Our historical net tangible book value as at September 30, 2015 was CHF 48.2 ($49.5) million, or CHF 5.50 ($5.65), per common share (on a fully diluted basis). Our as adjusted net tangible book value as at September 30, 2015, before giving effect to this offering was CHF 75.2 ($77.3) million, or CHF</w:t>
      </w:r>
    </w:p>
    <w:p>
      <w:pPr>
        <w:ind w:right="60"/>
        <w:spacing w:after="0" w:line="255" w:lineRule="auto"/>
        <w:rPr>
          <w:sz w:val="20"/>
          <w:szCs w:val="20"/>
          <w:color w:val="auto"/>
        </w:rPr>
      </w:pPr>
      <w:r>
        <w:rPr>
          <w:rFonts w:ascii="Arial" w:cs="Arial" w:eastAsia="Arial" w:hAnsi="Arial"/>
          <w:sz w:val="18"/>
          <w:szCs w:val="18"/>
          <w:color w:val="auto"/>
        </w:rPr>
        <w:t>1.64 ($1.68) per common share, based on the total number of our common shares outstanding as at September 30, 2015, after giving effect to the conversion of (i) all preferred stock outstanding as at September 30, 2015 into an aggregate of 34,062,000 common shares and (ii) all shares of our preferred stock issued in the Series E Private Placement into an aggregate of 3,113,250 common shares.</w:t>
      </w:r>
    </w:p>
    <w:p>
      <w:pPr>
        <w:spacing w:after="0" w:line="1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our sale of common</w:t>
      </w:r>
    </w:p>
    <w:tbl>
      <w:tblPr>
        <w:tblLayout w:type="fixed"/>
        <w:tblInd w:w="0" w:type="dxa"/>
        <w:tblCellMar>
          <w:top w:w="0" w:type="dxa"/>
          <w:left w:w="0" w:type="dxa"/>
          <w:bottom w:w="0" w:type="dxa"/>
          <w:right w:w="0" w:type="dxa"/>
        </w:tblCellMar>
      </w:tblPr>
      <w:tr>
        <w:trPr>
          <w:trHeight w:val="202"/>
        </w:trPr>
        <w:tc>
          <w:tcPr>
            <w:tcW w:w="4940" w:type="dxa"/>
            <w:vAlign w:val="bottom"/>
            <w:gridSpan w:val="5"/>
          </w:tcPr>
          <w:p>
            <w:pPr>
              <w:spacing w:after="0" w:line="202" w:lineRule="exact"/>
              <w:rPr>
                <w:sz w:val="20"/>
                <w:szCs w:val="20"/>
                <w:color w:val="auto"/>
              </w:rPr>
            </w:pPr>
            <w:r>
              <w:rPr>
                <w:rFonts w:ascii="Arial" w:cs="Arial" w:eastAsia="Arial" w:hAnsi="Arial"/>
                <w:sz w:val="18"/>
                <w:szCs w:val="18"/>
                <w:color w:val="auto"/>
                <w:w w:val="91"/>
              </w:rPr>
              <w:t>shares in this offering at an assumed initial public offering price of $</w:t>
            </w:r>
          </w:p>
        </w:tc>
        <w:tc>
          <w:tcPr>
            <w:tcW w:w="380" w:type="dxa"/>
            <w:vAlign w:val="bottom"/>
          </w:tcPr>
          <w:p>
            <w:pPr>
              <w:spacing w:after="0"/>
              <w:rPr>
                <w:sz w:val="17"/>
                <w:szCs w:val="17"/>
                <w:color w:val="auto"/>
              </w:rPr>
            </w:pPr>
          </w:p>
        </w:tc>
        <w:tc>
          <w:tcPr>
            <w:tcW w:w="6100" w:type="dxa"/>
            <w:vAlign w:val="bottom"/>
            <w:gridSpan w:val="9"/>
          </w:tcPr>
          <w:p>
            <w:pPr>
              <w:jc w:val="right"/>
              <w:ind w:right="640"/>
              <w:spacing w:after="0" w:line="202" w:lineRule="exact"/>
              <w:rPr>
                <w:sz w:val="20"/>
                <w:szCs w:val="20"/>
                <w:color w:val="auto"/>
              </w:rPr>
            </w:pPr>
            <w:r>
              <w:rPr>
                <w:rFonts w:ascii="Arial" w:cs="Arial" w:eastAsia="Arial" w:hAnsi="Arial"/>
                <w:sz w:val="18"/>
                <w:szCs w:val="18"/>
                <w:color w:val="auto"/>
                <w:w w:val="90"/>
              </w:rPr>
              <w:t>per share (the midpoint of the price range set forth on the cover page of this</w:t>
            </w:r>
          </w:p>
        </w:tc>
      </w:tr>
      <w:tr>
        <w:trPr>
          <w:trHeight w:val="216"/>
        </w:trPr>
        <w:tc>
          <w:tcPr>
            <w:tcW w:w="10760" w:type="dxa"/>
            <w:vAlign w:val="bottom"/>
            <w:gridSpan w:val="13"/>
          </w:tcPr>
          <w:p>
            <w:pPr>
              <w:spacing w:after="0"/>
              <w:rPr>
                <w:sz w:val="20"/>
                <w:szCs w:val="20"/>
                <w:color w:val="auto"/>
              </w:rPr>
            </w:pPr>
            <w:r>
              <w:rPr>
                <w:rFonts w:ascii="Arial" w:cs="Arial" w:eastAsia="Arial" w:hAnsi="Arial"/>
                <w:sz w:val="18"/>
                <w:szCs w:val="18"/>
                <w:color w:val="auto"/>
                <w:w w:val="91"/>
              </w:rPr>
              <w:t>prospectus), after deducting the underwriting discount and estimated expenses payable by us. Our as further adjusted net tangible book value as at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w w:val="98"/>
              </w:rPr>
              <w:t>September 30, 2015 would have been CHF</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20"/>
                <w:szCs w:val="20"/>
                <w:color w:val="auto"/>
              </w:rPr>
            </w:pPr>
            <w:r>
              <w:rPr>
                <w:rFonts w:ascii="Arial" w:cs="Arial" w:eastAsia="Arial" w:hAnsi="Arial"/>
                <w:sz w:val="18"/>
                <w:szCs w:val="18"/>
                <w:color w:val="auto"/>
                <w:w w:val="98"/>
              </w:rPr>
              <w:t>) million, or CHF</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260" w:type="dxa"/>
            <w:vAlign w:val="bottom"/>
            <w:gridSpan w:val="8"/>
          </w:tcPr>
          <w:p>
            <w:pPr>
              <w:jc w:val="right"/>
              <w:ind w:right="320"/>
              <w:spacing w:after="0"/>
              <w:rPr>
                <w:sz w:val="20"/>
                <w:szCs w:val="20"/>
                <w:color w:val="auto"/>
              </w:rPr>
            </w:pPr>
            <w:r>
              <w:rPr>
                <w:rFonts w:ascii="Arial" w:cs="Arial" w:eastAsia="Arial" w:hAnsi="Arial"/>
                <w:sz w:val="18"/>
                <w:szCs w:val="18"/>
                <w:color w:val="auto"/>
                <w:w w:val="88"/>
              </w:rPr>
              <w:t>) per share. This represents an immediate increase in as adjusted net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tangible book value of CHF</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340" w:type="dxa"/>
            <w:vAlign w:val="bottom"/>
            <w:gridSpan w:val="7"/>
          </w:tcPr>
          <w:p>
            <w:pPr>
              <w:ind w:left="180"/>
              <w:spacing w:after="0"/>
              <w:rPr>
                <w:sz w:val="20"/>
                <w:szCs w:val="20"/>
                <w:color w:val="auto"/>
              </w:rPr>
            </w:pPr>
            <w:r>
              <w:rPr>
                <w:rFonts w:ascii="Arial" w:cs="Arial" w:eastAsia="Arial" w:hAnsi="Arial"/>
                <w:sz w:val="18"/>
                <w:szCs w:val="18"/>
                <w:color w:val="auto"/>
                <w:w w:val="92"/>
              </w:rPr>
              <w:t>) per share to existing shareholders and an immediate dilution of CHF</w:t>
            </w:r>
          </w:p>
        </w:tc>
        <w:tc>
          <w:tcPr>
            <w:tcW w:w="960" w:type="dxa"/>
            <w:vAlign w:val="bottom"/>
          </w:tcPr>
          <w:p>
            <w:pPr>
              <w:ind w:left="280"/>
              <w:spacing w:after="0"/>
              <w:rPr>
                <w:sz w:val="20"/>
                <w:szCs w:val="20"/>
                <w:color w:val="auto"/>
              </w:rPr>
            </w:pPr>
            <w:r>
              <w:rPr>
                <w:rFonts w:ascii="Arial" w:cs="Arial" w:eastAsia="Arial" w:hAnsi="Arial"/>
                <w:sz w:val="18"/>
                <w:szCs w:val="18"/>
                <w:color w:val="auto"/>
              </w:rPr>
              <w:t>(USD</w:t>
            </w:r>
          </w:p>
        </w:tc>
        <w:tc>
          <w:tcPr>
            <w:tcW w:w="2360" w:type="dxa"/>
            <w:vAlign w:val="bottom"/>
            <w:gridSpan w:val="5"/>
          </w:tcPr>
          <w:p>
            <w:pPr>
              <w:jc w:val="right"/>
              <w:ind w:right="620"/>
              <w:spacing w:after="0"/>
              <w:rPr>
                <w:sz w:val="20"/>
                <w:szCs w:val="20"/>
                <w:color w:val="auto"/>
              </w:rPr>
            </w:pPr>
            <w:r>
              <w:rPr>
                <w:rFonts w:ascii="Arial" w:cs="Arial" w:eastAsia="Arial" w:hAnsi="Arial"/>
                <w:sz w:val="18"/>
                <w:szCs w:val="18"/>
                <w:color w:val="auto"/>
                <w:w w:val="93"/>
              </w:rPr>
              <w:t>) per share to investors</w:t>
            </w:r>
          </w:p>
        </w:tc>
      </w:tr>
      <w:tr>
        <w:trPr>
          <w:trHeight w:val="230"/>
        </w:trPr>
        <w:tc>
          <w:tcPr>
            <w:tcW w:w="4940" w:type="dxa"/>
            <w:vAlign w:val="bottom"/>
            <w:gridSpan w:val="5"/>
          </w:tcPr>
          <w:p>
            <w:pPr>
              <w:spacing w:after="0"/>
              <w:rPr>
                <w:sz w:val="20"/>
                <w:szCs w:val="20"/>
                <w:color w:val="auto"/>
              </w:rPr>
            </w:pPr>
            <w:r>
              <w:rPr>
                <w:rFonts w:ascii="Arial" w:cs="Arial" w:eastAsia="Arial" w:hAnsi="Arial"/>
                <w:sz w:val="18"/>
                <w:szCs w:val="18"/>
                <w:color w:val="auto"/>
                <w:w w:val="98"/>
              </w:rPr>
              <w:t>participating in this offering, as illustrated in the following table:</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(in USD)</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(in CHF)</w:t>
            </w:r>
          </w:p>
        </w:tc>
      </w:tr>
      <w:tr>
        <w:trPr>
          <w:trHeight w:val="196"/>
        </w:trPr>
        <w:tc>
          <w:tcPr>
            <w:tcW w:w="34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94"/>
              </w:rPr>
              <w:t>Assumed initial public offering price per share</w:t>
            </w: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gridSpan w:val="6"/>
          </w:tcPr>
          <w:p>
            <w:pPr>
              <w:ind w:left="360"/>
              <w:spacing w:after="0"/>
              <w:rPr>
                <w:sz w:val="20"/>
                <w:szCs w:val="20"/>
                <w:color w:val="auto"/>
              </w:rPr>
            </w:pPr>
            <w:r>
              <w:rPr>
                <w:rFonts w:ascii="Arial" w:cs="Arial" w:eastAsia="Arial" w:hAnsi="Arial"/>
                <w:sz w:val="18"/>
                <w:szCs w:val="18"/>
                <w:color w:val="auto"/>
                <w:w w:val="92"/>
              </w:rPr>
              <w:t>Historical net tangible book value per share at September 30, 2015</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5.65</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r>
      <w:tr>
        <w:trPr>
          <w:trHeight w:val="202"/>
        </w:trPr>
        <w:tc>
          <w:tcPr>
            <w:tcW w:w="9060" w:type="dxa"/>
            <w:vAlign w:val="bottom"/>
            <w:gridSpan w:val="10"/>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As adjusted net tangible book value per share at September 30, 2015, before giving effect to this offering but giving</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60" w:type="dxa"/>
            <w:vAlign w:val="bottom"/>
            <w:gridSpan w:val="10"/>
            <w:shd w:val="clear" w:color="auto" w:fill="CCEEFF"/>
          </w:tcPr>
          <w:p>
            <w:pPr>
              <w:ind w:left="540"/>
              <w:spacing w:after="0"/>
              <w:rPr>
                <w:sz w:val="20"/>
                <w:szCs w:val="20"/>
                <w:color w:val="auto"/>
              </w:rPr>
            </w:pPr>
            <w:r>
              <w:rPr>
                <w:rFonts w:ascii="Arial" w:cs="Arial" w:eastAsia="Arial" w:hAnsi="Arial"/>
                <w:sz w:val="18"/>
                <w:szCs w:val="18"/>
                <w:color w:val="auto"/>
                <w:w w:val="94"/>
              </w:rPr>
              <w:t>effect to the automatic conversion of all outstanding preferred shares, including the preferred shares issued in the</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Series E Private Placement, into common shares</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9060" w:type="dxa"/>
            <w:vAlign w:val="bottom"/>
            <w:gridSpan w:val="10"/>
          </w:tcPr>
          <w:p>
            <w:pPr>
              <w:ind w:left="360"/>
              <w:spacing w:after="0"/>
              <w:rPr>
                <w:sz w:val="20"/>
                <w:szCs w:val="20"/>
                <w:color w:val="auto"/>
              </w:rPr>
            </w:pPr>
            <w:r>
              <w:rPr>
                <w:rFonts w:ascii="Arial" w:cs="Arial" w:eastAsia="Arial" w:hAnsi="Arial"/>
                <w:sz w:val="18"/>
                <w:szCs w:val="18"/>
                <w:color w:val="auto"/>
                <w:w w:val="90"/>
              </w:rPr>
              <w:t>Increase in as adjusted net tangible book value per share attributable to new investors purchasing shares in this offering</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40" w:type="dxa"/>
            <w:vAlign w:val="bottom"/>
            <w:gridSpan w:val="5"/>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6160" w:type="dxa"/>
            <w:vAlign w:val="bottom"/>
            <w:gridSpan w:val="7"/>
          </w:tcPr>
          <w:p>
            <w:pPr>
              <w:ind w:left="46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1020" w:type="dxa"/>
            <w:vAlign w:val="bottom"/>
          </w:tcPr>
          <w:p>
            <w:pPr>
              <w:ind w:left="360"/>
              <w:spacing w:after="0"/>
              <w:rPr>
                <w:sz w:val="20"/>
                <w:szCs w:val="20"/>
                <w:color w:val="auto"/>
              </w:rPr>
            </w:pPr>
            <w:r>
              <w:rPr>
                <w:rFonts w:ascii="Arial" w:cs="Arial" w:eastAsia="Arial" w:hAnsi="Arial"/>
                <w:sz w:val="18"/>
                <w:szCs w:val="18"/>
                <w:color w:val="auto"/>
              </w:rPr>
              <w:t>(CHF</w:t>
            </w:r>
          </w:p>
        </w:tc>
        <w:tc>
          <w:tcPr>
            <w:tcW w:w="4240" w:type="dxa"/>
            <w:vAlign w:val="bottom"/>
            <w:gridSpan w:val="7"/>
          </w:tcPr>
          <w:p>
            <w:pPr>
              <w:jc w:val="right"/>
              <w:ind w:right="440"/>
              <w:spacing w:after="0"/>
              <w:rPr>
                <w:sz w:val="20"/>
                <w:szCs w:val="20"/>
                <w:color w:val="auto"/>
              </w:rPr>
            </w:pPr>
            <w:r>
              <w:rPr>
                <w:rFonts w:ascii="Arial" w:cs="Arial" w:eastAsia="Arial" w:hAnsi="Arial"/>
                <w:sz w:val="18"/>
                <w:szCs w:val="18"/>
                <w:color w:val="auto"/>
                <w:w w:val="91"/>
              </w:rPr>
              <w:t>) per share would increase (decrease) our as further</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w w:val="96"/>
              </w:rPr>
              <w:t>adjusted net tangible book value by approximately $</w:t>
            </w:r>
          </w:p>
        </w:tc>
        <w:tc>
          <w:tcPr>
            <w:tcW w:w="920" w:type="dxa"/>
            <w:vAlign w:val="bottom"/>
          </w:tcPr>
          <w:p>
            <w:pPr>
              <w:ind w:left="160"/>
              <w:spacing w:after="0"/>
              <w:rPr>
                <w:sz w:val="20"/>
                <w:szCs w:val="20"/>
                <w:color w:val="auto"/>
              </w:rPr>
            </w:pPr>
            <w:r>
              <w:rPr>
                <w:rFonts w:ascii="Arial" w:cs="Arial" w:eastAsia="Arial" w:hAnsi="Arial"/>
                <w:sz w:val="18"/>
                <w:szCs w:val="18"/>
                <w:color w:val="auto"/>
              </w:rPr>
              <w:t>(CHF</w:t>
            </w:r>
          </w:p>
        </w:tc>
        <w:tc>
          <w:tcPr>
            <w:tcW w:w="2240" w:type="dxa"/>
            <w:vAlign w:val="bottom"/>
            <w:gridSpan w:val="3"/>
          </w:tcPr>
          <w:p>
            <w:pPr>
              <w:ind w:left="20"/>
              <w:spacing w:after="0"/>
              <w:rPr>
                <w:sz w:val="20"/>
                <w:szCs w:val="20"/>
                <w:color w:val="auto"/>
              </w:rPr>
            </w:pPr>
            <w:r>
              <w:rPr>
                <w:rFonts w:ascii="Arial" w:cs="Arial" w:eastAsia="Arial" w:hAnsi="Arial"/>
                <w:sz w:val="18"/>
                <w:szCs w:val="18"/>
                <w:color w:val="auto"/>
                <w:w w:val="99"/>
              </w:rPr>
              <w:t>) million, or approximately $</w:t>
            </w:r>
          </w:p>
        </w:tc>
        <w:tc>
          <w:tcPr>
            <w:tcW w:w="920" w:type="dxa"/>
            <w:vAlign w:val="bottom"/>
          </w:tcPr>
          <w:p>
            <w:pPr>
              <w:ind w:left="260"/>
              <w:spacing w:after="0"/>
              <w:rPr>
                <w:sz w:val="20"/>
                <w:szCs w:val="20"/>
                <w:color w:val="auto"/>
              </w:rPr>
            </w:pPr>
            <w:r>
              <w:rPr>
                <w:rFonts w:ascii="Arial" w:cs="Arial" w:eastAsia="Arial" w:hAnsi="Arial"/>
                <w:sz w:val="18"/>
                <w:szCs w:val="18"/>
                <w:color w:val="auto"/>
              </w:rPr>
              <w:t>(CHF</w:t>
            </w:r>
          </w:p>
        </w:tc>
        <w:tc>
          <w:tcPr>
            <w:tcW w:w="3320" w:type="dxa"/>
            <w:vAlign w:val="bottom"/>
            <w:gridSpan w:val="6"/>
          </w:tcPr>
          <w:p>
            <w:pPr>
              <w:jc w:val="right"/>
              <w:ind w:right="340"/>
              <w:spacing w:after="0"/>
              <w:rPr>
                <w:sz w:val="20"/>
                <w:szCs w:val="20"/>
                <w:color w:val="auto"/>
              </w:rPr>
            </w:pPr>
            <w:r>
              <w:rPr>
                <w:rFonts w:ascii="Arial" w:cs="Arial" w:eastAsia="Arial" w:hAnsi="Arial"/>
                <w:sz w:val="18"/>
                <w:szCs w:val="18"/>
                <w:color w:val="auto"/>
                <w:w w:val="92"/>
              </w:rPr>
              <w:t>) per share, and the dilution per share to</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w w:val="99"/>
              </w:rPr>
              <w:t>investors in this offering by approximately $</w:t>
            </w:r>
          </w:p>
        </w:tc>
        <w:tc>
          <w:tcPr>
            <w:tcW w:w="580" w:type="dxa"/>
            <w:vAlign w:val="bottom"/>
          </w:tcPr>
          <w:p>
            <w:pPr>
              <w:jc w:val="right"/>
              <w:spacing w:after="0"/>
              <w:rPr>
                <w:sz w:val="20"/>
                <w:szCs w:val="20"/>
                <w:color w:val="auto"/>
              </w:rPr>
            </w:pPr>
            <w:r>
              <w:rPr>
                <w:rFonts w:ascii="Arial" w:cs="Arial" w:eastAsia="Arial" w:hAnsi="Arial"/>
                <w:sz w:val="18"/>
                <w:szCs w:val="18"/>
                <w:color w:val="auto"/>
              </w:rPr>
              <w:t>(CHF</w:t>
            </w:r>
          </w:p>
        </w:tc>
        <w:tc>
          <w:tcPr>
            <w:tcW w:w="7400" w:type="dxa"/>
            <w:vAlign w:val="bottom"/>
            <w:gridSpan w:val="11"/>
          </w:tcPr>
          <w:p>
            <w:pPr>
              <w:jc w:val="right"/>
              <w:ind w:right="260"/>
              <w:spacing w:after="0"/>
              <w:rPr>
                <w:sz w:val="20"/>
                <w:szCs w:val="20"/>
                <w:color w:val="auto"/>
              </w:rPr>
            </w:pPr>
            <w:r>
              <w:rPr>
                <w:rFonts w:ascii="Arial" w:cs="Arial" w:eastAsia="Arial" w:hAnsi="Arial"/>
                <w:sz w:val="18"/>
                <w:szCs w:val="18"/>
                <w:color w:val="auto"/>
                <w:w w:val="93"/>
              </w:rPr>
              <w:t>) per share, assuming that the number of shares offered by us, as set forth on the cover page of</w:t>
            </w:r>
          </w:p>
        </w:tc>
      </w:tr>
    </w:tbl>
    <w:p>
      <w:pPr>
        <w:ind w:right="280"/>
        <w:spacing w:after="0" w:line="281" w:lineRule="auto"/>
        <w:rPr>
          <w:sz w:val="20"/>
          <w:szCs w:val="20"/>
          <w:color w:val="auto"/>
        </w:rPr>
      </w:pPr>
      <w:r>
        <w:rPr>
          <w:rFonts w:ascii="Arial" w:cs="Arial" w:eastAsia="Arial" w:hAnsi="Arial"/>
          <w:sz w:val="16"/>
          <w:szCs w:val="16"/>
          <w:color w:val="auto"/>
        </w:rPr>
        <w:t>this prospectus, remains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5960" w:val="left"/>
          <w:tab w:leader="none" w:pos="8440" w:val="left"/>
          <w:tab w:leader="none" w:pos="922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0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w:t>
      </w:r>
    </w:p>
    <w:p>
      <w:pPr>
        <w:spacing w:after="0" w:line="9" w:lineRule="exact"/>
        <w:rPr>
          <w:sz w:val="20"/>
          <w:szCs w:val="20"/>
          <w:color w:val="auto"/>
        </w:rPr>
      </w:pPr>
    </w:p>
    <w:p>
      <w:pPr>
        <w:spacing w:after="0"/>
        <w:tabs>
          <w:tab w:leader="none" w:pos="480" w:val="left"/>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w:t>
      </w:r>
    </w:p>
    <w:p>
      <w:pPr>
        <w:spacing w:after="0" w:line="9" w:lineRule="exact"/>
        <w:rPr>
          <w:sz w:val="20"/>
          <w:szCs w:val="20"/>
          <w:color w:val="auto"/>
        </w:rPr>
      </w:pPr>
    </w:p>
    <w:p>
      <w:pPr>
        <w:jc w:val="center"/>
        <w:ind w:right="100"/>
        <w:spacing w:after="0" w:line="433" w:lineRule="auto"/>
        <w:rPr>
          <w:sz w:val="20"/>
          <w:szCs w:val="20"/>
          <w:color w:val="auto"/>
        </w:rPr>
      </w:pPr>
      <w:r>
        <w:rPr>
          <w:rFonts w:ascii="Arial" w:cs="Arial" w:eastAsia="Arial" w:hAnsi="Arial"/>
          <w:sz w:val="18"/>
          <w:szCs w:val="18"/>
          <w:color w:val="auto"/>
        </w:rPr>
        <w:t>discussed above is illustrative only and will be adjusted based on the actual initial public offering price and other terms of this offering determined at pricing. 64</w:t>
      </w:r>
    </w:p>
    <w:p>
      <w:pPr>
        <w:sectPr>
          <w:pgSz w:w="11900" w:h="16838" w:orient="portrait"/>
          <w:cols w:equalWidth="0" w:num="1">
            <w:col w:w="11420"/>
          </w:cols>
          <w:pgMar w:left="240" w:top="45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519"/>
        </w:trPr>
        <w:tc>
          <w:tcPr>
            <w:tcW w:w="280" w:type="dxa"/>
            <w:vAlign w:val="bottom"/>
          </w:tcPr>
          <w:p>
            <w:pPr>
              <w:spacing w:after="0"/>
              <w:rPr>
                <w:sz w:val="24"/>
                <w:szCs w:val="24"/>
                <w:color w:val="auto"/>
              </w:rPr>
            </w:pPr>
          </w:p>
        </w:tc>
        <w:tc>
          <w:tcPr>
            <w:tcW w:w="10800" w:type="dxa"/>
            <w:vAlign w:val="bottom"/>
            <w:gridSpan w:val="7"/>
          </w:tcPr>
          <w:p>
            <w:pPr>
              <w:ind w:left="180"/>
              <w:spacing w:after="0"/>
              <w:rPr>
                <w:sz w:val="20"/>
                <w:szCs w:val="20"/>
                <w:color w:val="auto"/>
              </w:rPr>
            </w:pPr>
            <w:r>
              <w:rPr>
                <w:rFonts w:ascii="Arial" w:cs="Arial" w:eastAsia="Arial" w:hAnsi="Arial"/>
                <w:sz w:val="18"/>
                <w:szCs w:val="18"/>
                <w:color w:val="auto"/>
                <w:w w:val="92"/>
              </w:rPr>
              <w:t>If the underwriters’ over-allotment option is exercised in full, the as further adjusted net tangible book value per share after this offering would be</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(CHF</w:t>
            </w:r>
          </w:p>
        </w:tc>
        <w:tc>
          <w:tcPr>
            <w:tcW w:w="8660" w:type="dxa"/>
            <w:vAlign w:val="bottom"/>
            <w:gridSpan w:val="4"/>
          </w:tcPr>
          <w:p>
            <w:pPr>
              <w:ind w:left="180"/>
              <w:spacing w:after="0"/>
              <w:rPr>
                <w:sz w:val="20"/>
                <w:szCs w:val="20"/>
                <w:color w:val="auto"/>
              </w:rPr>
            </w:pPr>
            <w:r>
              <w:rPr>
                <w:rFonts w:ascii="Arial" w:cs="Arial" w:eastAsia="Arial" w:hAnsi="Arial"/>
                <w:sz w:val="18"/>
                <w:szCs w:val="18"/>
                <w:color w:val="auto"/>
                <w:w w:val="91"/>
              </w:rPr>
              <w:t>) per share, the increase in as further adjusted net tangible book value per share to existing shareholders would be $</w:t>
            </w:r>
          </w:p>
        </w:tc>
        <w:tc>
          <w:tcPr>
            <w:tcW w:w="800" w:type="dxa"/>
            <w:vAlign w:val="bottom"/>
          </w:tcPr>
          <w:p>
            <w:pPr>
              <w:ind w:left="220"/>
              <w:spacing w:after="0"/>
              <w:rPr>
                <w:sz w:val="20"/>
                <w:szCs w:val="20"/>
                <w:color w:val="auto"/>
              </w:rPr>
            </w:pPr>
            <w:r>
              <w:rPr>
                <w:rFonts w:ascii="Arial" w:cs="Arial" w:eastAsia="Arial" w:hAnsi="Arial"/>
                <w:sz w:val="18"/>
                <w:szCs w:val="18"/>
                <w:color w:val="auto"/>
              </w:rPr>
              <w:t>(CHF</w:t>
            </w:r>
          </w:p>
        </w:tc>
        <w:tc>
          <w:tcPr>
            <w:tcW w:w="520" w:type="dxa"/>
            <w:vAlign w:val="bottom"/>
          </w:tcPr>
          <w:p>
            <w:pPr>
              <w:ind w:left="180"/>
              <w:spacing w:after="0"/>
              <w:rPr>
                <w:sz w:val="20"/>
                <w:szCs w:val="20"/>
                <w:color w:val="auto"/>
              </w:rPr>
            </w:pPr>
            <w:r>
              <w:rPr>
                <w:rFonts w:ascii="Arial" w:cs="Arial" w:eastAsia="Arial" w:hAnsi="Arial"/>
                <w:sz w:val="18"/>
                <w:szCs w:val="18"/>
                <w:color w:val="auto"/>
                <w:w w:val="86"/>
              </w:rPr>
              <w:t>) per</w:t>
            </w: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w w:val="93"/>
              </w:rPr>
              <w:t>share and the dilution to new investors purchasing shares in this offering would be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2700" w:type="dxa"/>
            <w:vAlign w:val="bottom"/>
          </w:tcPr>
          <w:p>
            <w:pPr>
              <w:ind w:left="180"/>
              <w:spacing w:after="0"/>
              <w:rPr>
                <w:sz w:val="20"/>
                <w:szCs w:val="20"/>
                <w:color w:val="auto"/>
              </w:rPr>
            </w:pPr>
            <w:r>
              <w:rPr>
                <w:rFonts w:ascii="Arial" w:cs="Arial" w:eastAsia="Arial" w:hAnsi="Arial"/>
                <w:sz w:val="18"/>
                <w:szCs w:val="18"/>
                <w:color w:val="auto"/>
              </w:rPr>
              <w:t>) per share.</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80" w:firstLine="456"/>
        <w:spacing w:after="0" w:line="264"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4"/>
            <w:vMerge w:val="restart"/>
          </w:tcPr>
          <w:p>
            <w:pPr>
              <w:jc w:val="center"/>
              <w:ind w:right="290"/>
              <w:spacing w:after="0"/>
              <w:rPr>
                <w:sz w:val="20"/>
                <w:szCs w:val="20"/>
                <w:color w:val="auto"/>
              </w:rPr>
            </w:pPr>
            <w:r>
              <w:rPr>
                <w:rFonts w:ascii="Arial" w:cs="Arial" w:eastAsia="Arial" w:hAnsi="Arial"/>
                <w:sz w:val="14"/>
                <w:szCs w:val="14"/>
                <w:b w:val="1"/>
                <w:bCs w:val="1"/>
                <w:color w:val="auto"/>
                <w:w w:val="92"/>
              </w:rPr>
              <w:t>Total Consideration</w:t>
            </w:r>
          </w:p>
        </w:tc>
        <w:tc>
          <w:tcPr>
            <w:tcW w:w="1800" w:type="dxa"/>
            <w:vAlign w:val="bottom"/>
            <w:gridSpan w:val="4"/>
            <w:vMerge w:val="restart"/>
          </w:tcPr>
          <w:p>
            <w:pPr>
              <w:jc w:val="center"/>
              <w:ind w:right="310"/>
              <w:spacing w:after="0"/>
              <w:rPr>
                <w:sz w:val="20"/>
                <w:szCs w:val="20"/>
                <w:color w:val="auto"/>
              </w:rPr>
            </w:pPr>
            <w:r>
              <w:rPr>
                <w:rFonts w:ascii="Arial" w:cs="Arial" w:eastAsia="Arial" w:hAnsi="Arial"/>
                <w:sz w:val="14"/>
                <w:szCs w:val="14"/>
                <w:b w:val="1"/>
                <w:bCs w:val="1"/>
                <w:color w:val="auto"/>
                <w:w w:val="94"/>
              </w:rPr>
              <w:t>Total Consideration</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8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68"/>
        </w:trPr>
        <w:tc>
          <w:tcPr>
            <w:tcW w:w="4500" w:type="dxa"/>
            <w:vAlign w:val="bottom"/>
          </w:tcPr>
          <w:p>
            <w:pPr>
              <w:spacing w:after="0"/>
              <w:rPr>
                <w:sz w:val="5"/>
                <w:szCs w:val="5"/>
                <w:color w:val="auto"/>
              </w:rPr>
            </w:pPr>
          </w:p>
        </w:tc>
        <w:tc>
          <w:tcPr>
            <w:tcW w:w="14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Shares</w:t>
            </w:r>
          </w:p>
        </w:tc>
        <w:tc>
          <w:tcPr>
            <w:tcW w:w="400" w:type="dxa"/>
            <w:vAlign w:val="bottom"/>
            <w:vMerge w:val="restart"/>
          </w:tcPr>
          <w:p>
            <w:pPr>
              <w:spacing w:after="0"/>
              <w:rPr>
                <w:sz w:val="5"/>
                <w:szCs w:val="5"/>
                <w:color w:val="auto"/>
              </w:rPr>
            </w:pPr>
          </w:p>
        </w:tc>
        <w:tc>
          <w:tcPr>
            <w:tcW w:w="940" w:type="dxa"/>
            <w:vAlign w:val="bottom"/>
            <w:gridSpan w:val="2"/>
            <w:vMerge w:val="restart"/>
          </w:tcPr>
          <w:p>
            <w:pPr>
              <w:jc w:val="center"/>
              <w:ind w:left="401"/>
              <w:spacing w:after="0"/>
              <w:rPr>
                <w:sz w:val="20"/>
                <w:szCs w:val="20"/>
                <w:color w:val="auto"/>
              </w:rPr>
            </w:pPr>
            <w:r>
              <w:rPr>
                <w:rFonts w:ascii="Arial" w:cs="Arial" w:eastAsia="Arial" w:hAnsi="Arial"/>
                <w:sz w:val="14"/>
                <w:szCs w:val="14"/>
                <w:b w:val="1"/>
                <w:bCs w:val="1"/>
                <w:color w:val="auto"/>
                <w:w w:val="97"/>
              </w:rPr>
              <w:t>(USD)</w:t>
            </w: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gridSpan w:val="2"/>
            <w:vMerge w:val="restart"/>
          </w:tcPr>
          <w:p>
            <w:pPr>
              <w:jc w:val="center"/>
              <w:ind w:left="401"/>
              <w:spacing w:after="0"/>
              <w:rPr>
                <w:sz w:val="20"/>
                <w:szCs w:val="20"/>
                <w:color w:val="auto"/>
              </w:rPr>
            </w:pPr>
            <w:r>
              <w:rPr>
                <w:rFonts w:ascii="Arial" w:cs="Arial" w:eastAsia="Arial" w:hAnsi="Arial"/>
                <w:sz w:val="14"/>
                <w:szCs w:val="14"/>
                <w:b w:val="1"/>
                <w:bCs w:val="1"/>
                <w:color w:val="auto"/>
              </w:rPr>
              <w:t>(CHF)</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500" w:type="dxa"/>
            <w:vAlign w:val="bottom"/>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40" w:type="dxa"/>
            <w:vAlign w:val="bottom"/>
            <w:tcBorders>
              <w:bottom w:val="single" w:sz="8" w:color="auto"/>
            </w:tcBorders>
            <w:gridSpan w:val="2"/>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
                <w:szCs w:val="2"/>
                <w:color w:val="auto"/>
              </w:rPr>
            </w:pPr>
          </w:p>
        </w:tc>
        <w:tc>
          <w:tcPr>
            <w:tcW w:w="8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5"/>
              </w:rPr>
              <w:t>Percent</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9"/>
              </w:rPr>
              <w:t>Percent</w:t>
            </w:r>
          </w:p>
        </w:tc>
        <w:tc>
          <w:tcPr>
            <w:tcW w:w="86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5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(USD)</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183,735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116,128</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111,042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6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100.0%</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100.0%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00" w:type="dxa"/>
            <w:vAlign w:val="bottom"/>
            <w:gridSpan w:val="5"/>
          </w:tcPr>
          <w:p>
            <w:pPr>
              <w:ind w:left="46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(CHF</w:t>
            </w:r>
          </w:p>
        </w:tc>
        <w:tc>
          <w:tcPr>
            <w:tcW w:w="3520" w:type="dxa"/>
            <w:vAlign w:val="bottom"/>
            <w:gridSpan w:val="8"/>
          </w:tcPr>
          <w:p>
            <w:pPr>
              <w:ind w:left="100"/>
              <w:spacing w:after="0"/>
              <w:rPr>
                <w:sz w:val="20"/>
                <w:szCs w:val="20"/>
                <w:color w:val="auto"/>
              </w:rPr>
            </w:pPr>
            <w:r>
              <w:rPr>
                <w:rFonts w:ascii="Arial" w:cs="Arial" w:eastAsia="Arial" w:hAnsi="Arial"/>
                <w:sz w:val="18"/>
                <w:szCs w:val="18"/>
                <w:color w:val="auto"/>
                <w:w w:val="90"/>
              </w:rPr>
              <w:t>) per share, would increase (decrease) the total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gridSpan w:val="7"/>
          </w:tcPr>
          <w:p>
            <w:pPr>
              <w:spacing w:after="0"/>
              <w:rPr>
                <w:sz w:val="20"/>
                <w:szCs w:val="20"/>
                <w:color w:val="auto"/>
              </w:rPr>
            </w:pPr>
            <w:r>
              <w:rPr>
                <w:rFonts w:ascii="Arial" w:cs="Arial" w:eastAsia="Arial" w:hAnsi="Arial"/>
                <w:sz w:val="18"/>
                <w:szCs w:val="18"/>
                <w:color w:val="auto"/>
                <w:w w:val="90"/>
              </w:rPr>
              <w:t>consideration paid to us by new investors and total consideration paid to us by all shareholders by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(CHF</w:t>
            </w:r>
          </w:p>
        </w:tc>
        <w:tc>
          <w:tcPr>
            <w:tcW w:w="3320" w:type="dxa"/>
            <w:vAlign w:val="bottom"/>
            <w:gridSpan w:val="8"/>
          </w:tcPr>
          <w:p>
            <w:pPr>
              <w:ind w:left="300"/>
              <w:spacing w:after="0"/>
              <w:rPr>
                <w:sz w:val="20"/>
                <w:szCs w:val="20"/>
                <w:color w:val="auto"/>
              </w:rPr>
            </w:pPr>
            <w:r>
              <w:rPr>
                <w:rFonts w:ascii="Arial" w:cs="Arial" w:eastAsia="Arial" w:hAnsi="Arial"/>
                <w:sz w:val="18"/>
                <w:szCs w:val="18"/>
                <w:color w:val="auto"/>
                <w:w w:val="99"/>
              </w:rPr>
              <w:t>) million, assuming that the number of</w:t>
            </w:r>
          </w:p>
        </w:tc>
        <w:tc>
          <w:tcPr>
            <w:tcW w:w="0" w:type="dxa"/>
            <w:vAlign w:val="bottom"/>
          </w:tcPr>
          <w:p>
            <w:pPr>
              <w:spacing w:after="0"/>
              <w:rPr>
                <w:sz w:val="1"/>
                <w:szCs w:val="1"/>
                <w:color w:val="auto"/>
              </w:rPr>
            </w:pPr>
          </w:p>
        </w:tc>
      </w:tr>
    </w:tbl>
    <w:p>
      <w:pPr>
        <w:ind w:right="120"/>
        <w:spacing w:after="0" w:line="280"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paid to us by new investors and total consideration paid to us by all shareholders by approximately $ (CHF ) million, assuming an initial public offering price of $ (CHF ) per share, after deducting the underwriting discount and estimated offering expenses payable by us.</w:t>
      </w:r>
    </w:p>
    <w:p>
      <w:pPr>
        <w:spacing w:after="0" w:line="170"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color w:val="auto"/>
        </w:rPr>
        <w:t>The calculations above are based on</w:t>
      </w:r>
      <w:r>
        <w:rPr>
          <w:sz w:val="20"/>
          <w:szCs w:val="20"/>
          <w:color w:val="auto"/>
        </w:rPr>
        <w:tab/>
      </w:r>
      <w:r>
        <w:rPr>
          <w:rFonts w:ascii="Arial" w:cs="Arial" w:eastAsia="Arial" w:hAnsi="Arial"/>
          <w:sz w:val="16"/>
          <w:szCs w:val="16"/>
          <w:color w:val="auto"/>
        </w:rPr>
        <w:t>shares outstanding as at September 30, 2015 after giving effect to the conversion of all outstanding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preferred stock (including the preferred shares issued in the Series E Private Placement) into common shares and exclude:</w:t>
      </w:r>
    </w:p>
    <w:p>
      <w:pPr>
        <w:spacing w:after="0" w:line="116" w:lineRule="exact"/>
        <w:rPr>
          <w:sz w:val="20"/>
          <w:szCs w:val="20"/>
          <w:color w:val="auto"/>
        </w:rPr>
      </w:pPr>
    </w:p>
    <w:p>
      <w:pPr>
        <w:ind w:left="900" w:right="280" w:hanging="325"/>
        <w:spacing w:after="0" w:line="277" w:lineRule="auto"/>
        <w:tabs>
          <w:tab w:leader="none" w:pos="14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14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September 30, 2015 at an exercise price of CHF 0.14548 per common share.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46"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November 13, 2015, the exchange rate as reported by the U.S. Federal Reserve Bank was CHF 1.0088 to $1.00. In this prospectus, translations from CHF to U.S. dollars were made at the rate of 0.9733 to $1.00, the official exchange rate quoted as at September 30, 2015 by the U.S. Federal Reserve Bank.</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2010</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0.9369</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1.0354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2012</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2014</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May 31,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0.9404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0.9316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0.9146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0.9508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0.9346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0.9321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0.9188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0.9467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July 31,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0.9636</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0.9547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0.9456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0.9636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August 31, 2015</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0.9681</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0.9685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0.9347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0.9869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September 30,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0.9733</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0.9722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0.9797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October 2015</w:t>
            </w:r>
          </w:p>
        </w:tc>
        <w:tc>
          <w:tcPr>
            <w:tcW w:w="3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0.9858</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0.9687</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0.9489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0.9915</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November 2015 (through November 13, 2015)</w:t>
            </w:r>
          </w:p>
        </w:tc>
        <w:tc>
          <w:tcPr>
            <w:tcW w:w="3040" w:type="dxa"/>
            <w:vAlign w:val="bottom"/>
            <w:gridSpan w:val="2"/>
          </w:tcPr>
          <w:p>
            <w:pPr>
              <w:jc w:val="right"/>
              <w:ind w:right="168"/>
              <w:spacing w:after="0"/>
              <w:rPr>
                <w:sz w:val="20"/>
                <w:szCs w:val="20"/>
                <w:color w:val="auto"/>
              </w:rPr>
            </w:pPr>
            <w:r>
              <w:rPr>
                <w:rFonts w:ascii="Arial" w:cs="Arial" w:eastAsia="Arial" w:hAnsi="Arial"/>
                <w:sz w:val="18"/>
                <w:szCs w:val="18"/>
                <w:color w:val="auto"/>
              </w:rPr>
              <w:t>1.0088</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0.9991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0.9853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350"/>
        </w:trPr>
        <w:tc>
          <w:tcPr>
            <w:tcW w:w="4280" w:type="dxa"/>
            <w:vAlign w:val="bottom"/>
          </w:tcPr>
          <w:p>
            <w:pPr>
              <w:spacing w:after="0"/>
              <w:rPr>
                <w:sz w:val="24"/>
                <w:szCs w:val="24"/>
                <w:color w:val="auto"/>
              </w:rPr>
            </w:pPr>
          </w:p>
        </w:tc>
        <w:tc>
          <w:tcPr>
            <w:tcW w:w="210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tables summarize our financial data as at the dates and for the periods indicated. The financial data for the years ended December 31, 2014 and 2013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financial data as at September 30, 2015 and for the nine months ended September 30, 2015 and 2014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at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22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220" w:type="dxa"/>
            <w:vAlign w:val="bottom"/>
            <w:gridSpan w:val="3"/>
          </w:tcPr>
          <w:p>
            <w:pPr>
              <w:jc w:val="center"/>
              <w:ind w:left="734"/>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60" w:type="dxa"/>
            <w:vAlign w:val="bottom"/>
            <w:gridSpan w:val="7"/>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(in CHF thousands except for share and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per share data)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38,775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30,269</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gridSpan w:val="2"/>
          </w:tcPr>
          <w:p>
            <w:pPr>
              <w:jc w:val="right"/>
              <w:ind w:right="93"/>
              <w:spacing w:after="0"/>
              <w:rPr>
                <w:sz w:val="20"/>
                <w:szCs w:val="20"/>
                <w:color w:val="auto"/>
              </w:rPr>
            </w:pPr>
            <w:r>
              <w:rPr>
                <w:rFonts w:ascii="Arial" w:cs="Arial" w:eastAsia="Arial" w:hAnsi="Arial"/>
                <w:sz w:val="18"/>
                <w:szCs w:val="18"/>
                <w:color w:val="auto"/>
              </w:rPr>
              <w:t>(11,346)</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(11,021)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(16,116)</w:t>
            </w:r>
          </w:p>
        </w:tc>
        <w:tc>
          <w:tcPr>
            <w:tcW w:w="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(3,436)</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Operating income / (loss)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(9,090)</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Finance costs—net</w:t>
            </w:r>
          </w:p>
        </w:tc>
        <w:tc>
          <w:tcPr>
            <w:tcW w:w="11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income / (loss) before tax</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income / (loss) for the period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Earnings / (loss) per share (basic)(1)</w:t>
            </w:r>
          </w:p>
        </w:tc>
        <w:tc>
          <w:tcPr>
            <w:tcW w:w="11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Earnings / (loss) per share (fully diluted)(1)</w:t>
            </w:r>
          </w:p>
        </w:tc>
        <w:tc>
          <w:tcPr>
            <w:tcW w:w="1120" w:type="dxa"/>
            <w:vAlign w:val="bottom"/>
            <w:gridSpan w:val="2"/>
          </w:tcPr>
          <w:p>
            <w:pPr>
              <w:jc w:val="right"/>
              <w:ind w:right="15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11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w w:val="97"/>
              </w:rPr>
              <w:t>42,740,500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42,681,250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42,684,750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40,589,000</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w w:val="93"/>
              </w:rPr>
              <w:t>Weighted-average number of shares used to compute earnings / (loss) per share fully diluted</w:t>
            </w:r>
          </w:p>
        </w:tc>
        <w:tc>
          <w:tcPr>
            <w:tcW w:w="1120" w:type="dxa"/>
            <w:vAlign w:val="bottom"/>
            <w:gridSpan w:val="2"/>
          </w:tcPr>
          <w:p>
            <w:pPr>
              <w:jc w:val="right"/>
              <w:ind w:right="153"/>
              <w:spacing w:after="0"/>
              <w:rPr>
                <w:sz w:val="20"/>
                <w:szCs w:val="20"/>
                <w:color w:val="auto"/>
              </w:rPr>
            </w:pPr>
            <w:r>
              <w:rPr>
                <w:rFonts w:ascii="Arial" w:cs="Arial" w:eastAsia="Arial" w:hAnsi="Arial"/>
                <w:sz w:val="18"/>
                <w:szCs w:val="18"/>
                <w:color w:val="auto"/>
                <w:w w:val="97"/>
              </w:rPr>
              <w:t>46,347,500</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45,073,500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45,552,500</w:t>
            </w:r>
          </w:p>
        </w:tc>
        <w:tc>
          <w:tcPr>
            <w:tcW w:w="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42,689,500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November 2, 2015, and these preferred shares will be converted on a one-for-one basis upon the closing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2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0"/>
              </w:rPr>
              <w:t>As at September 30</w:t>
            </w:r>
          </w:p>
        </w:tc>
        <w:tc>
          <w:tcPr>
            <w:tcW w:w="1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3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20" w:type="dxa"/>
            <w:vAlign w:val="bottom"/>
            <w:gridSpan w:val="2"/>
          </w:tcPr>
          <w:p>
            <w:pPr>
              <w:jc w:val="right"/>
              <w:ind w:right="275"/>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53,685</w:t>
            </w:r>
          </w:p>
        </w:tc>
        <w:tc>
          <w:tcPr>
            <w:tcW w:w="10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3,306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300" w:type="dxa"/>
            <w:vAlign w:val="bottom"/>
            <w:gridSpan w:val="3"/>
          </w:tcPr>
          <w:p>
            <w:pPr>
              <w:jc w:val="right"/>
              <w:ind w:right="548"/>
              <w:spacing w:after="0"/>
              <w:rPr>
                <w:sz w:val="20"/>
                <w:szCs w:val="20"/>
                <w:color w:val="auto"/>
              </w:rPr>
            </w:pPr>
            <w:r>
              <w:rPr>
                <w:rFonts w:ascii="Arial" w:cs="Arial" w:eastAsia="Arial" w:hAnsi="Arial"/>
                <w:sz w:val="18"/>
                <w:szCs w:val="18"/>
                <w:color w:val="auto"/>
              </w:rPr>
              <w:t>55,139</w:t>
            </w:r>
          </w:p>
        </w:tc>
        <w:tc>
          <w:tcPr>
            <w:tcW w:w="1000" w:type="dxa"/>
            <w:vAlign w:val="bottom"/>
          </w:tcPr>
          <w:p>
            <w:pPr>
              <w:jc w:val="right"/>
              <w:ind w:right="275"/>
              <w:spacing w:after="0"/>
              <w:rPr>
                <w:sz w:val="20"/>
                <w:szCs w:val="20"/>
                <w:color w:val="auto"/>
              </w:rPr>
            </w:pPr>
            <w:r>
              <w:rPr>
                <w:rFonts w:ascii="Arial" w:cs="Arial" w:eastAsia="Arial" w:hAnsi="Arial"/>
                <w:sz w:val="18"/>
                <w:szCs w:val="18"/>
                <w:color w:val="auto"/>
              </w:rPr>
              <w:t>30,296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30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(35,816)</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(60,445)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300" w:type="dxa"/>
            <w:vAlign w:val="bottom"/>
            <w:gridSpan w:val="3"/>
          </w:tcPr>
          <w:p>
            <w:pPr>
              <w:jc w:val="right"/>
              <w:ind w:right="548"/>
              <w:spacing w:after="0"/>
              <w:rPr>
                <w:sz w:val="20"/>
                <w:szCs w:val="20"/>
                <w:color w:val="auto"/>
              </w:rPr>
            </w:pPr>
            <w:r>
              <w:rPr>
                <w:rFonts w:ascii="Arial" w:cs="Arial" w:eastAsia="Arial" w:hAnsi="Arial"/>
                <w:sz w:val="18"/>
                <w:szCs w:val="18"/>
                <w:color w:val="auto"/>
              </w:rPr>
              <w:t>48,152</w:t>
            </w:r>
          </w:p>
        </w:tc>
        <w:tc>
          <w:tcPr>
            <w:tcW w:w="1000" w:type="dxa"/>
            <w:vAlign w:val="bottom"/>
          </w:tcPr>
          <w:p>
            <w:pPr>
              <w:jc w:val="right"/>
              <w:ind w:right="275"/>
              <w:spacing w:after="0"/>
              <w:rPr>
                <w:sz w:val="20"/>
                <w:szCs w:val="20"/>
                <w:color w:val="auto"/>
              </w:rPr>
            </w:pPr>
            <w:r>
              <w:rPr>
                <w:rFonts w:ascii="Arial" w:cs="Arial" w:eastAsia="Arial" w:hAnsi="Arial"/>
                <w:sz w:val="18"/>
                <w:szCs w:val="18"/>
                <w:color w:val="auto"/>
              </w:rPr>
              <w:t>23,467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30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55,139</w:t>
            </w:r>
          </w:p>
        </w:tc>
        <w:tc>
          <w:tcPr>
            <w:tcW w:w="10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30,296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12,751</w:t>
            </w:r>
          </w:p>
        </w:tc>
      </w:tr>
      <w:tr>
        <w:trPr>
          <w:trHeight w:val="365"/>
        </w:trPr>
        <w:tc>
          <w:tcPr>
            <w:tcW w:w="3300" w:type="dxa"/>
            <w:vAlign w:val="bottom"/>
          </w:tcPr>
          <w:p>
            <w:pPr>
              <w:spacing w:after="0"/>
              <w:rPr>
                <w:sz w:val="24"/>
                <w:szCs w:val="24"/>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color w:val="auto"/>
              </w:rPr>
              <w:t>67</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Genentech met with the FDA in October 2014 and again in September 2015 to discuss the Phase 3 study design.</w:t>
      </w:r>
    </w:p>
    <w:p>
      <w:pPr>
        <w:spacing w:after="0" w:line="17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26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29"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11.2 million for the year ended December 31, 2013 and net losses of CHF 9.1 million for the nine months ended September 30, 2014. In addition, we had an accumulated deficit of CHF 35.8 million as at September 30,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the low double-digits to the mid-teens.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The total future payments that we would be entitled to under the agreement for clinical milestones amounts to CHF 83.5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2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employment costs, by major development program for the periods covered by this “Management’s Discussion and Analysis of Financial Condition and Results of Operations” section.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Nine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82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5"/>
              </w:rPr>
              <w:t>Change</w:t>
            </w:r>
          </w:p>
        </w:tc>
        <w:tc>
          <w:tcPr>
            <w:tcW w:w="1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00" w:type="dxa"/>
            <w:vAlign w:val="bottom"/>
            <w:tcBorders>
              <w:top w:val="single" w:sz="8" w:color="auto"/>
            </w:tcBorders>
            <w:gridSpan w:val="6"/>
          </w:tcPr>
          <w:p>
            <w:pPr>
              <w:jc w:val="right"/>
              <w:ind w:right="293"/>
              <w:spacing w:after="0" w:line="142" w:lineRule="exact"/>
              <w:rPr>
                <w:sz w:val="20"/>
                <w:szCs w:val="20"/>
                <w:color w:val="auto"/>
              </w:rPr>
            </w:pPr>
            <w:r>
              <w:rPr>
                <w:rFonts w:ascii="Arial" w:cs="Arial" w:eastAsia="Arial" w:hAnsi="Arial"/>
                <w:sz w:val="14"/>
                <w:szCs w:val="14"/>
                <w:b w:val="1"/>
                <w:bCs w:val="1"/>
                <w:color w:val="auto"/>
              </w:rPr>
              <w:t>(in CHF thousands)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ACI-35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2,241</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1,760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481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2,787</w:t>
            </w: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535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1,513</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4"/>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5,357</w:t>
            </w: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5,937</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8,325</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9,266</w:t>
            </w: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Interest income consists of interest received from banks on our cash balances. Other financial income relates principally to gains that we have made historically on foreign currency transactions, which arise from the fact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some of our collaboration agreements such as the collaboration agreements with Janssen and Piramal Imaging are in currencies other than Swiss Francs, and selected purchases, which we effect in foreign currencies.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at December 31, 2014, we had tax loss carryforwards totaling CHF 49.3 million. There is no certainty that we will make sufficient profits to avail ourselves of these tax loss carryforwards.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Nine Months Ended September 30, 2015 and September 30,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first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Milestones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38,306</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38,306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38,775</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4,248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34,527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Total revenues rose to CHF 38.8 million for the nine months ended September 30, 2015 from CHF 4.2 million for the nine months ended September 30, 2014, an increase of CHF 34.5 million. The increase was principally due to revenues recognized in connection with a CHF 14.0 million milestone payment from Genentech pursuant to our collaboration agreement for the anti-tau antibody vaccine and the $25 million milestone payment from Genentech pursuant to our collaboration agreement for crenezumab. Income related to research collaborations declined to CHF 0.3 million in the nine months ended September 30, 2015 from CHF 4.2 million in the nine months ended September 30, 2014. The figure for 2014 includes a portion of the original upfront payment we received in connection with the anti-tau antibody collaboration agreement, which we recognized over a three year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Grant revenue totaled CHF 0.2 million for the first nine months of 2015, up CHF 0.1 million from the same period in 2014. The amounts recognized in the nine months ended September 30, 2014 relate to a research grant we had with the University of Tübingen for Huntington’s disease, which expired in 2014. The grant income recorded in our income statement for the nine months ended September 30, 2015 relates to a grant we were awarded by the Michael J. Fox Foundation to conduct research on an alpha-synuclein PET imaging product, which commenced in February 2015 and is expected to run to July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6,579</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6,970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4,552</w:t>
            </w:r>
          </w:p>
        </w:tc>
        <w:tc>
          <w:tcPr>
            <w:tcW w:w="4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3,829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11,021</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research and development expenses totaled CHF 11.3 million for the nine months ended September 30, 2015, up CHF 0.3 million from the CHF 11.0 million of research and development expenses incurred in the nine months ended September 30, 2014.</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research and development operating expenses declined to CHF 6.6 million in the nine months ended September 30, 2015, a decrease of CHF 0.4 million as compared to the nine months ended September 30, 2014 due principally to a reduction in the amount of prepaid supplies. In the first nine months of 2015, salaries and related compensation costs amounted to CHF 4.6 million, which represents a CHF 0.7 million increase over the CHF 3.8 million recorded in the first nine months of 2014. The increase is primarily due to the initial ramp up of joint research activity on ACI-35 with Janssen and higher performance-related bonus payments to our employees.</w:t>
      </w:r>
    </w:p>
    <w:p>
      <w:pPr>
        <w:spacing w:after="0" w:line="18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expect a significant increase in research and development expenses in the last quarter of 2015. This is due to the fact that we have agreed with Janssen, our partner for ACI-35, to increase the scale and scope of our clinical studies for ACI-35 product candidate. Beyond 2015, we would expect our research and development expenses to continue to rise as we seek to increase the number of projects we are funding into later-stage research and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370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84"/>
              </w:rPr>
              <w:t>2,023</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4"/>
              </w:rPr>
              <w:t>1,006</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320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4"/>
              </w:rPr>
              <w:t>1,466</w:t>
            </w:r>
          </w:p>
        </w:tc>
        <w:tc>
          <w:tcPr>
            <w:tcW w:w="4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1,311</w:t>
            </w:r>
          </w:p>
        </w:tc>
        <w:tc>
          <w:tcPr>
            <w:tcW w:w="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32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3,489</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2,317</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200" w:type="dxa"/>
            <w:vAlign w:val="bottom"/>
            <w:vMerge w:val="restart"/>
          </w:tcPr>
          <w:p>
            <w:pPr>
              <w:jc w:val="right"/>
              <w:ind w:right="2090"/>
              <w:spacing w:after="0"/>
              <w:rPr>
                <w:sz w:val="20"/>
                <w:szCs w:val="20"/>
                <w:color w:val="auto"/>
              </w:rPr>
            </w:pPr>
            <w:r>
              <w:rPr>
                <w:rFonts w:ascii="Arial" w:cs="Arial" w:eastAsia="Arial" w:hAnsi="Arial"/>
                <w:sz w:val="18"/>
                <w:szCs w:val="18"/>
                <w:color w:val="auto"/>
              </w:rPr>
              <w:t>74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General and administrative expenses rose by CHF 1.2 million to CHF 3.5 million for the nine months ended September 30, 2015. The increase was driven principally by costs associated with us preparing for becoming a public company and seeking to raise capital.</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first nine months of 2015, salaries and related compensation costs amounted to CHF 1.5 million, which represents a CHF 0.2 million increase over the CHF 1.3 million recorded in the first nine months of 2014. The increase is primarily related to compensation related expenses in the finance function as we prepare for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2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8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8"/>
                <w:szCs w:val="18"/>
                <w:color w:val="auto"/>
              </w:rPr>
              <w:t>17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Total financial income rose to CHF 0.9 million for the nine month period ended September 30, 2015, an increase of CHF 0.9 million as compared to the nine month period ended September 30, 2014. The increase was principally due to the positive impact of exchange rate movements of financial assets and payables owed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30,179</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8,520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21,659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30,269</w:t>
            </w: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8,637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21,632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Total revenues rose to CHF 30.3 million for the year ended December 31, 2014 from CHF 8.6 million for the year ended December 31, 2013, an increase of CHF 21.6 million. The increase was principally due to collaboration and license revenues rising to CHF 30.2 million for the year ended December 31, 2014 from CHF 8.5 million for the year ended December 31, 2013. In 2014, we recognized revenue from three collaboration and license agreements including a CHF 25.9 million upfront payment from Janssen in connection with the collaboration agreement on ACI-35 tau vaccine, CHF 3.9 million related to the portion of the upfront fee associated with the Genentech collaboration agreement for our anti-tau antibody started in 2012, and CHF 0.6 million related to the portion of the upfront payment pursuant to our collaboration agreement with Piramal Imaging attributable to this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5,828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5,586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17,180</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research and development expenses declined to CHF 16.1 million for the year ended December 31, 2014 from CHF 17.2 million, a decrease of CHF 1.1 million, as compared to the year ended December 31, 2013.</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For the year ended December 31, 2014 our research and development operating costs decreased by CHF 1.3 million to CHF 10.0 million due principally to the transfer of costs within the collaboration with Genentech on the anti-tau antibodies program in 2014 and the collaboration-related costs occurred in 2013.</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remained relatively stable, rising to CHF 5.8 million in the year ended December 31, 2014 from CHF 5.6 million in the year ended December 31, 2013, a CHF 0.2 million increase. This increase is due to an average increase in base compensation of 1% and a slight increase in stock based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agreement with Janssen requires us to significantly increase our research and development expenses related to the Phase 1b studies for ACI-35.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 a two year period, we have committed to spend over CHF 13.8 million to support the on-going clinical development of ACI-35.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1,999</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1,813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1,437</w:t>
            </w: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1,142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3,436</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2,955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General and administrative expenses were CHF 3.4 million for the year ended December 31, 2014, an increase of CHF 0.5 million from CHF 3.0 million for the year ended December 31, 2013. The increase was primarily due to an increase in operating expenses associated with commencing initial preparations for becoming a public company in the United States.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5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62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Net financial income declined to CHF 27 thousand for the year ended December 31, 2014 from CHF 0.3 million in 2013, a decline of CHF 0.2 million compared to the year ended December 31, 2013. The decline was driven primarily by a reduction in gains related to foreign exchange and a decline in interest income driven by the decrease in our cash balances.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operations have been financed primarily from proceeds from the collaboration and license agreements we have with a number of partners, including Genentech, Janssen and Piramal Imaging, research grants awarded to us and net proceeds from the issuance of preferred shares. At September 30, 2015 we had cash and cash equivalents of CHF 53.7 million. At September 30, 2015, after giving effect to the Series E Private Placement, we would have had cash and cash equivalents of CHF 80.8 million.</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and a number of research initiatives focused on neurodegenerative orphan diseases other than AD.</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or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Nine Months Ended September 30,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(in CHF thousands)</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49,659</w:t>
            </w:r>
          </w:p>
        </w:tc>
        <w:tc>
          <w:tcPr>
            <w:tcW w:w="6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(13,454)</w:t>
            </w:r>
          </w:p>
        </w:tc>
        <w:tc>
          <w:tcPr>
            <w:tcW w:w="620" w:type="dxa"/>
            <w:vAlign w:val="bottom"/>
          </w:tcPr>
          <w:p>
            <w:pPr>
              <w:jc w:val="right"/>
              <w:spacing w:after="0"/>
              <w:rPr>
                <w:sz w:val="20"/>
                <w:szCs w:val="20"/>
                <w:color w:val="auto"/>
              </w:rPr>
            </w:pPr>
            <w:r>
              <w:rPr>
                <w:rFonts w:ascii="Arial" w:cs="Arial" w:eastAsia="Arial" w:hAnsi="Arial"/>
                <w:sz w:val="18"/>
                <w:szCs w:val="18"/>
                <w:color w:val="auto"/>
              </w:rPr>
              <w:t>63,113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9,784</w:t>
            </w:r>
          </w:p>
        </w:tc>
        <w:tc>
          <w:tcPr>
            <w:tcW w:w="3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49,462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vMerge w:val="restart"/>
          </w:tcPr>
          <w:p>
            <w:pPr>
              <w:jc w:val="right"/>
              <w:ind w:right="1470"/>
              <w:spacing w:after="0"/>
              <w:rPr>
                <w:sz w:val="20"/>
                <w:szCs w:val="20"/>
                <w:color w:val="auto"/>
              </w:rPr>
            </w:pPr>
            <w:r>
              <w:rPr>
                <w:rFonts w:ascii="Arial" w:cs="Arial" w:eastAsia="Arial" w:hAnsi="Arial"/>
                <w:sz w:val="18"/>
                <w:szCs w:val="18"/>
                <w:color w:val="auto"/>
              </w:rPr>
              <w:t>77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Net cash generated in operating activities was CHF 49.7 million for the nine months ended September 30, 2015 compared with net cash used in operating activities of CHF 13.4 million for the nine months ended September 30, 2014. The significant increase in cash generated from operating activities in the first nine month of 2015 was due to (i) the Company generating a CHF 24.9 million net income in the first nine months of 2015 driven by the anti-tau antibody and crenezumab milestone payments compared with a CHF 9.1 million loss during the same period in 2014, and (ii) receipt in January 2015 of the CHF 25.9 million upfront payment associated with the collaboration with Janssen on ACI-35.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Net cash used in investing activities rose to CHF 0.2 million for the nine months ended September 30, 2015 compared with cash used in investing activities of CHF 0.1 million in the first nine months of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cash provided by financing activities was CHF 42 thousand for the nine months ended September 30, 2015, compared with CHF 9.8 million for the nine months ended September 30, 2014. The 2014 figure contains the proceeds from a CHF 9.9 million capital increase net of expenses associated with the issuance of preferred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0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w w:val="98"/>
              </w:rPr>
              <w:t>(17,624)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(19,804)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rPr>
              <w:t>9,801</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(7,954)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(10,045)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net cash used in operating activities declined from CHF 19.8 million for the year ended December 31, 2013 to CHF 17.6 million for the year ended December 31, 2014, a decline of CHF 2.0 million. The decline is primarily related to three factors: (i) we generated net income of CHF 10.7 million in the year ended December 31, 2014 compared with a CHF 11.2 million net loss in the year ended December 31, 2013, (ii) a significant increase in other current receivables from CHF 0.2 million at December 31, 2013 to CHF 25.9 million at December 31, 2014, and (iii) a reduction in deferred revenue, which declined from CHF 8.5 million to CHF 3.7 million for the years ended December 31, 2013 and 2014, respectively. The changes discussed in clauses (i) and (ii) above were primarily due to the upfront fee associated with ACI-35 under the collaboration agreement that we signed with Janssen in December 2014, which fee was recognized as revenue in the year ended December 31, 2014 but was not actually paid until January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Net cash used in investing activities was CHF 0.1 million for the year ended December 31, 2014, compared to CHF 0.2 million for the year ended December 31, 2013. The decrease in net cash used was primarily the result of a deliberate policy in 2014 of reducing investments in fixed assets in the laboratory to a minimum.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Net cash provided by financing activities was CHF 9.8 million for the year ended December 31, 2014, compared with CHF 10.0 million for the year ended December 31, 2013. The decrease was primarily related to higher costs associated with the issuance of new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at September 30, 2015, we had cash balances totaling CHF 53.7 million, a significant increase from the CHF 3.3 million we had as of December 31, 2014. The significant increase is due primarily to (i) receipt of the CHF 25.9 million upfront payment for ACI-35 under the Janssen agreement, and (ii) a total of CHF 38.3 million of cash proceeds from Genentech associated with the milestone payments for the antibodies program and crenezumab collaboration.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and expenditures and assuming our receipt of the net</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proceeds from this offering in the amount of $ (based on the midpoint of the range set forth in the cover of this prospectus), we believe that our existing capital resources (including the proceeds we received from the Series E Private Placement, as described below under “—Subsequent Event—Series E Private</w:t>
      </w:r>
    </w:p>
    <w:p>
      <w:pPr>
        <w:spacing w:after="0" w:line="1"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Placement”) will be sufficient to meet our projected operating requirements through</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preparing our financial statements as at and for the year ended December 31, 2014,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5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 w:lineRule="exact"/>
        <w:rPr>
          <w:sz w:val="20"/>
          <w:szCs w:val="20"/>
          <w:color w:val="auto"/>
        </w:rPr>
      </w:pPr>
    </w:p>
    <w:p>
      <w:pPr>
        <w:ind w:right="400" w:firstLine="456"/>
        <w:spacing w:after="0" w:line="261" w:lineRule="auto"/>
        <w:rPr>
          <w:sz w:val="20"/>
          <w:szCs w:val="20"/>
          <w:color w:val="auto"/>
        </w:rPr>
      </w:pPr>
      <w:r>
        <w:rPr>
          <w:rFonts w:ascii="Arial" w:cs="Arial" w:eastAsia="Arial" w:hAnsi="Arial"/>
          <w:sz w:val="18"/>
          <w:szCs w:val="18"/>
          <w:color w:val="auto"/>
        </w:rPr>
        <w:t>Although we are implementing these measures, the implementation of these measures may not fully address this material weakness in our internal control over financial reporting, and we therefore may not be able to conclude that it has been fully remedied.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0.2 million and CHF 0.3 million in each of the years ended December 31, 2013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were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upon completion of this offering.</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board of directors has the authority to accelerate the vesting of all outstanding unvested options granted to employees prior to July 2014, in the event of an initial public offering. Pursuant to a board decision on October 13, 2015, if we are successful in completing this offering, the board will accelerate a total of 129,250 options which were granted to directors and executive officers which were tied to the consummation of this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Private Placement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2, 2015, we completed a private placement of Series E preferred shares, each with a nominal value of CHF 5.00 per share (the “Series E Private Placement”). An aggregate of 12,453 Series E preferred shares were issued to certain institutions and existing shareholders in the Series E Private Placement for an aggregate subscription amount of approximately $30.0 million. The Series E preferred shares have substantially the same terms as the Series A, B, C and D preferred shares, will be accounted for as equity on our balance sheet and will automatically convert into common shares on a one-for-one basis upon the closing of this offering. Adjusted for the 250-for-1 stock split effected on November 2, 2015, the Series E Private Placement resulted in the issuance of 3,113,250 preferred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at September 30, 2015 we had cash and cash equivalents of CHF 53.7 million (or CHF 80.8 million after giving effect to the Series E Private Placement),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lead product candidate is crenezumab, a humanized, monoclonal, conformation-specific anti-Abeta antibody that we developed using our SupraAntigen™ platform. Crenezumab is expected to enter Phase 3 clinical studies in early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Genentech is the sponsor of an active Investigational New Drug Application (IND) for crenezumab in the treatment of AD. Genentech met with the FDA in October 2014 and again in September 2015 to discuss the Phase 3 study design.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8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40" w:hanging="446"/>
        <w:spacing w:after="0" w:line="286" w:lineRule="auto"/>
        <w:tabs>
          <w:tab w:leader="none" w:pos="14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2"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patients with Down syndrome, a population which is at high risk for AD, and we currently have an open Investigational New Drug Application, or IND, for ACI-24 in Down syndrome, which was approved by the FDA in January 2013 (IND 15342).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96840" cy="3129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9684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97" w:lineRule="auto"/>
        <w:rPr>
          <w:sz w:val="20"/>
          <w:szCs w:val="20"/>
          <w:color w:val="auto"/>
        </w:rPr>
      </w:pPr>
      <w:r>
        <w:rPr>
          <w:rFonts w:ascii="Arial" w:cs="Arial" w:eastAsia="Arial" w:hAnsi="Arial"/>
          <w:sz w:val="16"/>
          <w:szCs w:val="16"/>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w:t>
      </w:r>
    </w:p>
    <w:p>
      <w:pPr>
        <w:spacing w:after="0" w:line="64" w:lineRule="exact"/>
        <w:rPr>
          <w:sz w:val="20"/>
          <w:szCs w:val="20"/>
          <w:color w:val="auto"/>
        </w:rPr>
      </w:pPr>
    </w:p>
    <w:p>
      <w:pPr>
        <w:ind w:left="900" w:right="8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80" w:hanging="446"/>
        <w:spacing w:after="0" w:line="264"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into Phase 3 clinical studies and seek regulatory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20" w:hanging="446"/>
        <w:spacing w:after="0" w:line="255"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ACI-24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advance ACI-24, both through completion of an ongoing Phase 1/2a clinical study to evaluate the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is expected to commence in the fourth quarter of 2015. We own the global rights to ACI-24 and we intend to continue to develop ACI-24 in-house as a therapeutic candidate.</w:t>
      </w:r>
    </w:p>
    <w:p>
      <w:pPr>
        <w:spacing w:after="0" w:line="98" w:lineRule="exact"/>
        <w:rPr>
          <w:rFonts w:ascii="Arial" w:cs="Arial" w:eastAsia="Arial" w:hAnsi="Arial"/>
          <w:sz w:val="18"/>
          <w:szCs w:val="18"/>
          <w:color w:val="auto"/>
        </w:rPr>
      </w:pPr>
    </w:p>
    <w:p>
      <w:pPr>
        <w:ind w:left="1480" w:right="140" w:hanging="446"/>
        <w:spacing w:after="0" w:line="308" w:lineRule="auto"/>
        <w:tabs>
          <w:tab w:leader="none" w:pos="148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ind w:left="900" w:right="220" w:hanging="325"/>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that share the same disease targets as misfolded Abeta, tau and alpha-synuclein proteins, which are the key features in the pathology of many 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59" w:lineRule="exact"/>
        <w:rPr>
          <w:rFonts w:ascii="Arial" w:cs="Arial" w:eastAsia="Arial" w:hAnsi="Arial"/>
          <w:sz w:val="16"/>
          <w:szCs w:val="16"/>
          <w:color w:val="auto"/>
        </w:rPr>
      </w:pPr>
    </w:p>
    <w:p>
      <w:pPr>
        <w:ind w:left="900" w:right="80" w:hanging="325"/>
        <w:spacing w:after="0" w:line="25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diagnosis and treatment may result in the generation of individualized treatment options for patients and improve clinical outcomes.</w:t>
      </w:r>
    </w:p>
    <w:p>
      <w:pPr>
        <w:spacing w:after="0" w:line="127" w:lineRule="exact"/>
        <w:rPr>
          <w:sz w:val="20"/>
          <w:szCs w:val="20"/>
          <w:color w:val="auto"/>
        </w:rPr>
      </w:pPr>
    </w:p>
    <w:p>
      <w:pPr>
        <w:ind w:left="900" w:right="20" w:hanging="325"/>
        <w:spacing w:after="0" w:line="291"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73880" cy="1869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7388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955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patients with milder stages of the disease. As a result of this, in recent years, there has been a movement 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205740</wp:posOffset>
            </wp:positionV>
            <wp:extent cx="2607310" cy="1560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58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099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changing the equilibrium from the insoluble pathological to the soluble fibers which are depleted by the antibodies. Both crenezumab and the anti-tau antibodies were derived from this platform.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September 30, 2015,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8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681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right="280" w:hanging="446"/>
        <w:spacing w:after="0" w:line="264"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480" w:hanging="446"/>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205740</wp:posOffset>
            </wp:positionV>
            <wp:extent cx="4081780" cy="2066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8178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Antibody</w:t>
            </w:r>
          </w:p>
        </w:tc>
        <w:tc>
          <w:tcPr>
            <w:tcW w:w="620" w:type="dxa"/>
            <w:vAlign w:val="bottom"/>
          </w:tcPr>
          <w:p>
            <w:pPr>
              <w:spacing w:after="0"/>
              <w:rPr>
                <w:sz w:val="16"/>
                <w:szCs w:val="16"/>
                <w:color w:val="auto"/>
              </w:rPr>
            </w:pPr>
          </w:p>
        </w:tc>
        <w:tc>
          <w:tcPr>
            <w:tcW w:w="3520" w:type="dxa"/>
            <w:vAlign w:val="bottom"/>
            <w:gridSpan w:val="2"/>
          </w:tcPr>
          <w:p>
            <w:pPr>
              <w:ind w:left="1000"/>
              <w:spacing w:after="0"/>
              <w:rPr>
                <w:sz w:val="20"/>
                <w:szCs w:val="20"/>
                <w:color w:val="auto"/>
              </w:rPr>
            </w:pPr>
            <w:r>
              <w:rPr>
                <w:rFonts w:ascii="Arial" w:cs="Arial" w:eastAsia="Arial" w:hAnsi="Arial"/>
                <w:sz w:val="14"/>
                <w:szCs w:val="14"/>
                <w:b w:val="1"/>
                <w:bCs w:val="1"/>
                <w:color w:val="auto"/>
              </w:rPr>
              <w:t>Stage of development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Isotype</w:t>
            </w:r>
          </w:p>
        </w:tc>
        <w:tc>
          <w:tcPr>
            <w:tcW w:w="2900" w:type="dxa"/>
            <w:vAlign w:val="bottom"/>
          </w:tcPr>
          <w:p>
            <w:pPr>
              <w:ind w:left="940"/>
              <w:spacing w:after="0"/>
              <w:rPr>
                <w:sz w:val="20"/>
                <w:szCs w:val="20"/>
                <w:color w:val="auto"/>
              </w:rPr>
            </w:pPr>
            <w:r>
              <w:rPr>
                <w:rFonts w:ascii="Arial" w:cs="Arial" w:eastAsia="Arial" w:hAnsi="Arial"/>
                <w:sz w:val="14"/>
                <w:szCs w:val="14"/>
                <w:b w:val="1"/>
                <w:bCs w:val="1"/>
                <w:color w:val="auto"/>
              </w:rPr>
              <w:t>ARIA-E (safety)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8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Crenezumab</w:t>
            </w:r>
          </w:p>
        </w:tc>
        <w:tc>
          <w:tcPr>
            <w:tcW w:w="620" w:type="dxa"/>
            <w:vAlign w:val="bottom"/>
            <w:vMerge w:val="continue"/>
            <w:shd w:val="clear" w:color="auto" w:fill="CCEEFF"/>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w w:val="89"/>
              </w:rPr>
              <w:t>Phase 3 (planned to commence in early 2016)</w:t>
            </w:r>
          </w:p>
        </w:tc>
        <w:tc>
          <w:tcPr>
            <w:tcW w:w="2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IgG4</w:t>
            </w:r>
          </w:p>
        </w:tc>
        <w:tc>
          <w:tcPr>
            <w:tcW w:w="320" w:type="dxa"/>
            <w:vAlign w:val="bottom"/>
            <w:vMerge w:val="continue"/>
            <w:shd w:val="clear" w:color="auto" w:fill="CCEEFF"/>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&lt; 0.3% in Ph2</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(Genentech / AC Immune)</w:t>
            </w:r>
          </w:p>
        </w:tc>
        <w:tc>
          <w:tcPr>
            <w:tcW w:w="620" w:type="dxa"/>
            <w:vAlign w:val="bottom"/>
            <w:tcBorders>
              <w:bottom w:val="single" w:sz="8" w:color="auto"/>
            </w:tcBorders>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Solanezumab</w:t>
            </w:r>
          </w:p>
        </w:tc>
        <w:tc>
          <w:tcPr>
            <w:tcW w:w="4140" w:type="dxa"/>
            <w:vAlign w:val="bottom"/>
            <w:gridSpan w:val="3"/>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0.9% in Ph3</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 Lilly)</w:t>
            </w: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Gantenerumab</w:t>
            </w:r>
          </w:p>
        </w:tc>
        <w:tc>
          <w:tcPr>
            <w:tcW w:w="4140" w:type="dxa"/>
            <w:vAlign w:val="bottom"/>
            <w:gridSpan w:val="3"/>
            <w:shd w:val="clear" w:color="auto" w:fill="CCEEFF"/>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in Ph1 Multiple Ascending Doses</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(Roche)</w:t>
            </w:r>
          </w:p>
        </w:tc>
        <w:tc>
          <w:tcPr>
            <w:tcW w:w="620" w:type="dxa"/>
            <w:vAlign w:val="bottom"/>
            <w:tcBorders>
              <w:bottom w:val="single" w:sz="8" w:color="auto"/>
            </w:tcBorders>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Aducanumab</w:t>
            </w:r>
          </w:p>
        </w:tc>
        <w:tc>
          <w:tcPr>
            <w:tcW w:w="4140" w:type="dxa"/>
            <w:vAlign w:val="bottom"/>
            <w:gridSpan w:val="3"/>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41% in Ph1b</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(Biogen)</w:t>
            </w: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Bapineuzumab</w:t>
            </w:r>
          </w:p>
        </w:tc>
        <w:tc>
          <w:tcPr>
            <w:tcW w:w="4140" w:type="dxa"/>
            <w:vAlign w:val="bottom"/>
            <w:gridSpan w:val="3"/>
            <w:shd w:val="clear" w:color="auto" w:fill="CCEEFF"/>
          </w:tcPr>
          <w:p>
            <w:pPr>
              <w:ind w:left="620"/>
              <w:spacing w:after="0" w:line="198" w:lineRule="exact"/>
              <w:rPr>
                <w:sz w:val="20"/>
                <w:szCs w:val="20"/>
                <w:color w:val="auto"/>
              </w:rPr>
            </w:pPr>
            <w:r>
              <w:rPr>
                <w:rFonts w:ascii="Arial" w:cs="Arial" w:eastAsia="Arial" w:hAnsi="Arial"/>
                <w:sz w:val="18"/>
                <w:szCs w:val="18"/>
                <w:color w:val="auto"/>
              </w:rPr>
              <w:t>Terminated after Phase 3</w:t>
            </w:r>
          </w:p>
        </w:tc>
        <w:tc>
          <w:tcPr>
            <w:tcW w:w="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 in Ph3</w:t>
            </w:r>
          </w:p>
        </w:tc>
        <w:tc>
          <w:tcPr>
            <w:tcW w:w="0" w:type="dxa"/>
            <w:vAlign w:val="bottom"/>
          </w:tcPr>
          <w:p>
            <w:pPr>
              <w:spacing w:after="0"/>
              <w:rPr>
                <w:sz w:val="1"/>
                <w:szCs w:val="1"/>
                <w:color w:val="auto"/>
              </w:rPr>
            </w:pPr>
          </w:p>
        </w:tc>
      </w:tr>
      <w:tr>
        <w:trPr>
          <w:trHeight w:val="24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(Elan / Pfizer / J&amp;J)</w:t>
            </w:r>
          </w:p>
        </w:tc>
        <w:tc>
          <w:tcPr>
            <w:tcW w:w="62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delayed recall, leading to a highest possible score of 80 points. On average, the score of patients with mild to moderate AD increases by 5 to 8 points per year.</w:t>
      </w:r>
    </w:p>
    <w:p>
      <w:pPr>
        <w:spacing w:after="0" w:line="2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171450</wp:posOffset>
            </wp:positionV>
            <wp:extent cx="5196840" cy="3378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0171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501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402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Although the results were not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119380</wp:posOffset>
            </wp:positionV>
            <wp:extent cx="5213985" cy="26327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324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3873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60"/>
          </w:cols>
          <w:pgMar w:left="240" w:top="459" w:right="3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57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explore safety at higher doses, crenezumab is currently being tested in a Phase 1 clinical study conducted in the United States. This randomized, placebo-controlled, double-blind, four parallel-arm study will evaluate the safety and tolerability of two doses of intravenous crenezumab in approximately 24 patients with mild to moderate AD (MMSE 18-28) between the ages of 50 to 90. An optional open-label extension stage will be offered to patients after completion of the double-blind stage of the study. The final data collection date for the primary outcome measure is planned for the fourth quarter of 2015. This study is expected to be completed in July 2016.</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3 Study</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Genentech has announced that it plans to enter Phase 3 clinical development of crenezumab in early 2016. The design and number of studies have not yet been disclosed but will take into account results of the Phase 2 studies as well as the additional ongoing Phase 1 study of higher doses, which is expected to be completed in the fourth quarter of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2075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 IND to study the disease-modifying properties of ACI-24 for the prevention of cognitive decline with Down syndrome was filed and cleared by the FDA. ACI-24 is expected to enter Phase 1 clinical studies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141605</wp:posOffset>
            </wp:positionV>
            <wp:extent cx="4570730" cy="1912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diagram above, based on unpublished work by AC Immune in collaboration with Dr. Mobley,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900" w:type="dxa"/>
            <w:vAlign w:val="bottom"/>
          </w:tcPr>
          <w:p>
            <w:pPr>
              <w:spacing w:after="0"/>
              <w:rPr>
                <w:sz w:val="16"/>
                <w:szCs w:val="16"/>
                <w:color w:val="auto"/>
              </w:rPr>
            </w:pP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tau</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 This molecule is expected to enter Phase 1 clinical studies in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targeting misfolded Abeta. The agreement provides for a second therapeutic product based on the same intellectual property and anti-Abeta antibody compound, as well as an anti-Abeta diagnostic product. Genentech recently announced that it intends to commence Phase 3 clinical studies for crenezumab in 2016.</w:t>
      </w:r>
    </w:p>
    <w:p>
      <w:pPr>
        <w:spacing w:after="0" w:line="181"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low double-digits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a second indication, additional regulatory milestone payments are payable by Janssen to us upon receipt of each of the regulatory approvals in the U.S., Europe and Japan.</w:t>
      </w:r>
    </w:p>
    <w:p>
      <w:pPr>
        <w:spacing w:after="0" w:line="76" w:lineRule="exact"/>
        <w:rPr>
          <w:sz w:val="20"/>
          <w:szCs w:val="20"/>
          <w:color w:val="auto"/>
        </w:rPr>
      </w:pPr>
    </w:p>
    <w:p>
      <w:pPr>
        <w:ind w:left="900" w:right="2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22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2015, we were awarded an important grant from the Michael J. Fox Foundation for Parkinson’s Research. The grant is funding the development of a diagnostic imaging agent capable of detecting PD at an early stage.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40" w:hanging="325"/>
        <w:spacing w:after="0" w:line="25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 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93"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candidates for ACI-24 include Affitope-AD-02 (AFFiRiS AG / GlaxoSmithKline) and CAD-106 (Novartis International AG), each of which has completed a Phase 2 study.</w:t>
      </w:r>
    </w:p>
    <w:p>
      <w:pPr>
        <w:spacing w:after="0" w:line="76" w:lineRule="exact"/>
        <w:rPr>
          <w:sz w:val="20"/>
          <w:szCs w:val="20"/>
          <w:color w:val="auto"/>
        </w:rPr>
      </w:pPr>
    </w:p>
    <w:p>
      <w:pPr>
        <w:ind w:left="900" w:right="26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of October 19, 2015, we owned or co-owned approximately 16 issued U.S. patents and 117 issued patents in other jurisdictions, as well as 22 pending U.S. patent applications and 378 pending foreign patent applications. As of October 19, 2015, we licensed approximately eight issued U.S. patents and 15 pending U.S. patent applications, as well as 73 issued patents in other jurisdictions and 285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October 19, 2015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patent portfolio for crenezumab includes composition of matter claims (including for the humanized crenezumab monoclonal antibody, of a fragment thereof, a polynucleotide encoding the antibody or fragment thereof, a cell line used to produce the crenezumab antibody as well as pharmaceutical compositions comprising crenezumab), claims directed to treating certain indications using crenezumab including AD, and claims directed to a method of manufacturing crenezumab. Our patent portfolio includes three patent families that are directed to a humanized IgG4 antibody, methods of using such humanized IgG4 antibody for ocular indications, and the murine antibody equivalent.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patent portfolio for crenezumab consists of approximately 28 issued patents and 72 pending patent applications in 35 countries. With respect to the patent family directed to a humanized IgG4 antibody, we own approximately three issued U.S. patents and one pending U.S. patent applications. The PCT patent filing date for such humanized IgG4 antibody patent family is July 13, 2007. The issued patents from this patent family, if the appropriate maintenance, renewal, annuity or other governmental fees are paid, are expected to expire in 2027, excluding any additional term for patent term adjustments or patent term extensions.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patent portfolio for ACI-24 consists of approximately 19 issued patents and 15 pending patent applications in 31 countries. With respect to the U.S., we own two issued U.S. patents.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patent portfolio for ACI-35 consists of approximately seven issued patents and 23 pending patent applications in 28 countries. With respect to the U.S., we own one issued U.S. patent.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ACI-24 and ACI-35 are produced by Bachem AG, an experienced company based in Switzerland. Drug products for the advancement of ACI-24 are manufactured by Polymun, a company based in Austria with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three Scientific Advice meetings, which are the European equivalent of pre-IND meetings (with German BfArM, Swedish Medical Products Agency and the European Medicines Agency). Since 2008, our regulatory department has filed a total of six clinical study applications in the EU (Germany, Austria, Denmark, Sweden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8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cost of preparing and submitting an NDA is substantial. Under federal law, NDAs are subject to substantial application user fees and the sponsor of an approved NDA is also subject to annual product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establishment user fees. Under the Prescription Drug User Fee Act, or PDUFA, as amended, each NDA must be accompanied by a user fee. The FDA adjusts the PDUFA user fees on an annual basis. According to the FDA’s fee schedule, effective through September 30, 2015, the user fee for each NDA application requiring clinical data is $2,335,200. PDUFA also imposes an annual product fee for drugs ($110,370), and an annual establishment fee ($569,200)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begins except with the written agreement of the sponsor and the FDA, or if the FDA determines that a substantial scientific issue essential to determining the safety or effectiveness of the drug was identified after the testing began.</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of September 30, 2015, we employed 55 employees, 10 of whom were part-time employees. 29 of our employees hold Ph.D. degrees and 15 hold M.Sc. degrees. Our 55 employees are from over 20 countries. We have never had a work stoppage, and none of our employees is represented by a labor organization or under any collective-bargaining arrangements. We consider our employee relations to be good.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Proceedings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On November 13, 2014, the USPTO declared an interference involving us, Genentech and AbbVie. Our U.S. Patent Nos. 7,772,375 and 7,892,544, which relate to crenezumab, and AbbVie’s U.S. Patent Appl. No. 13/188,034 are implicated in this interference. On September 24, 2015, the interference proceeded to the priority phase.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On October 15, 2014, AbbVie filed an opposition in the European Patent Office against our EP2361638 patent, which relates to crenezumab. On that same day, we and Genentech filed an opposition in the European Patent Office against AbbVie’s EP1976877 patent. Oral argument in both proceedings currently is scheduled for March 2016.</w:t>
      </w:r>
    </w:p>
    <w:p>
      <w:pPr>
        <w:spacing w:after="0" w:line="18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There can be no assurance as to the outcome of the interference and opposition proceedings, but if we and Genentech are unsuccessful in any of these pending proceedings they could result in a material adverse effect on our business, financial condition, results of operations or prospects.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additional information on the risks associated with these proceedings, see the section titled “Risk Factors— Risks Related to Intellectual Property— We and Genentech are parties to interference proceedings that relate to crenzumab, and we may be involved in other proceedings or lawsuits to protect or enforce our patents or the patents of our licensors, any of which could be expensive, time consuming, and unsuccessful, and may ultimately result in our loss of intellectual property.”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directors and director nominees, including their ages, as of November 20, 2015. The term of each of our directors is one year and, accordingly, will expire one year from the date of our 2015 annual shareholder meeting held on April 14,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Nominee</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Deputy 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Hans-Beat Gürtler</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 Nominee</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Nominee</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Andrea Pfeifer, Ph.D., Co-Founder, Chief Executive Officer and Director Nominee: </w:t>
      </w:r>
      <w:r>
        <w:rPr>
          <w:rFonts w:ascii="Arial" w:cs="Arial" w:eastAsia="Arial" w:hAnsi="Arial"/>
          <w:sz w:val="16"/>
          <w:szCs w:val="16"/>
          <w:color w:val="auto"/>
        </w:rPr>
        <w:t>Dr. Pfeifer co-founded AC Immune in April 2003,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serve as a director on our board effective upon completion of this offering.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Dr. Pfeifer is a member of the CEOi Initiative on Alzheimer’s Disease.</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David A. Lowe, Ph.D., Deputy Chief Scientific Officer: </w:t>
      </w:r>
      <w:r>
        <w:rPr>
          <w:rFonts w:ascii="Arial" w:cs="Arial" w:eastAsia="Arial" w:hAnsi="Arial"/>
          <w:sz w:val="16"/>
          <w:szCs w:val="16"/>
          <w:color w:val="auto"/>
        </w:rPr>
        <w:t>Dr. Lowe has served as our Deputy Chief Scientific Officer since January 2014 and leads our</w:t>
      </w:r>
      <w:r>
        <w:rPr>
          <w:rFonts w:ascii="Arial" w:cs="Arial" w:eastAsia="Arial" w:hAnsi="Arial"/>
          <w:sz w:val="16"/>
          <w:szCs w:val="16"/>
          <w:b w:val="1"/>
          <w:bCs w:val="1"/>
          <w:color w:val="auto"/>
        </w:rPr>
        <w:t xml:space="preserve"> </w:t>
      </w:r>
      <w:r>
        <w:rPr>
          <w:rFonts w:ascii="Arial" w:cs="Arial" w:eastAsia="Arial" w:hAnsi="Arial"/>
          <w:sz w:val="16"/>
          <w:szCs w:val="16"/>
          <w:color w:val="auto"/>
        </w:rPr>
        <w:t>Parkinson’s Disease Therapeutics and Imaging programs.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Dr. Lowe is also an adjunct professor of Neuroscience at the Icahn School of Medicine in New York City. He received his Ph.D. in Neurobiology from the University of Leeds, UK.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b w:val="1"/>
          <w:bCs w:val="1"/>
          <w:color w:val="auto"/>
        </w:rPr>
        <w:t xml:space="preserve">Hans-Beat Gürtler, Director: </w:t>
      </w:r>
      <w:r>
        <w:rPr>
          <w:rFonts w:ascii="Arial" w:cs="Arial" w:eastAsia="Arial" w:hAnsi="Arial"/>
          <w:sz w:val="16"/>
          <w:szCs w:val="16"/>
          <w:color w:val="auto"/>
        </w:rPr>
        <w:t>Mr. Gürtler has served on our board of directors since August 2003. Mr. Gürtler brings extensive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finance experience from more than 30 years in Ciba-Geigy and Novartis’ agricultural and animal health businesses, both in Switzerland and abroad. Until 2002, he was CEO of Novartis’ Animal Health business. Mr. Gürtler also has extensive experience in Mergers and Acquisitions and serves as Board Member in various companies, among them publicly traded Basilea Pharmaceutica (Switzerland) and Implenia (Switzerland).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Non-Executive Director Nominee</w:t>
      </w:r>
    </w:p>
    <w:p>
      <w:pPr>
        <w:spacing w:after="0" w:line="225" w:lineRule="exact"/>
        <w:rPr>
          <w:sz w:val="20"/>
          <w:szCs w:val="20"/>
          <w:color w:val="auto"/>
        </w:rPr>
      </w:pPr>
    </w:p>
    <w:p>
      <w:pPr>
        <w:jc w:val="both"/>
        <w:ind w:right="760" w:firstLine="456"/>
        <w:spacing w:after="0" w:line="266" w:lineRule="auto"/>
        <w:rPr>
          <w:sz w:val="20"/>
          <w:szCs w:val="20"/>
          <w:color w:val="auto"/>
        </w:rPr>
      </w:pPr>
      <w:r>
        <w:rPr>
          <w:rFonts w:ascii="Arial" w:cs="Arial" w:eastAsia="Arial" w:hAnsi="Arial"/>
          <w:sz w:val="18"/>
          <w:szCs w:val="18"/>
          <w:b w:val="1"/>
          <w:bCs w:val="1"/>
          <w:color w:val="auto"/>
        </w:rPr>
        <w:t xml:space="preserve">Peter Bollmann, Ph.D., Director Nominee: </w:t>
      </w:r>
      <w:r>
        <w:rPr>
          <w:rFonts w:ascii="Arial" w:cs="Arial" w:eastAsia="Arial" w:hAnsi="Arial"/>
          <w:sz w:val="18"/>
          <w:szCs w:val="18"/>
          <w:color w:val="auto"/>
        </w:rPr>
        <w:t>Dr. Bollmann will join our board in December 2015. He has extensive management and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Switzerland and abroad as CEO, CFO and member of the board. His broad industry experience embraces biotechnology and medical technology including Cytos Biotechnology and Prionics.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left="460"/>
        <w:spacing w:after="0"/>
        <w:tabs>
          <w:tab w:leader="none" w:pos="7120" w:val="left"/>
        </w:tabs>
        <w:rPr>
          <w:sz w:val="20"/>
          <w:szCs w:val="20"/>
          <w:color w:val="auto"/>
        </w:rPr>
      </w:pPr>
      <w:r>
        <w:rPr>
          <w:rFonts w:ascii="Arial" w:cs="Arial" w:eastAsia="Arial" w:hAnsi="Arial"/>
          <w:sz w:val="18"/>
          <w:szCs w:val="18"/>
          <w:color w:val="auto"/>
        </w:rPr>
        <w:t>Our board of directors is composed of five members and will be expanded to a total of</w:t>
      </w:r>
      <w:r>
        <w:rPr>
          <w:sz w:val="20"/>
          <w:szCs w:val="20"/>
          <w:color w:val="auto"/>
        </w:rPr>
        <w:tab/>
      </w:r>
      <w:r>
        <w:rPr>
          <w:rFonts w:ascii="Arial" w:cs="Arial" w:eastAsia="Arial" w:hAnsi="Arial"/>
          <w:sz w:val="16"/>
          <w:szCs w:val="16"/>
          <w:color w:val="auto"/>
        </w:rPr>
        <w:t>members upon completion of this offering. Each director is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elected for a one-year term. The current members of our board of directors were appointed at a shareholders’ meeting held on April 14, 2015 to serve until their successors are duly elected and qualified.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consistent of independent requirements, subject to certain phase-in schedules. However, our board of directors has determined that, under current listing requirements and rules of NASDAQ (which we are not subject to) and</w:t>
      </w:r>
    </w:p>
    <w:p>
      <w:pPr>
        <w:spacing w:after="0" w:line="254" w:lineRule="auto"/>
        <w:rPr>
          <w:sz w:val="20"/>
          <w:szCs w:val="20"/>
          <w:color w:val="auto"/>
        </w:rPr>
      </w:pPr>
      <w:r>
        <w:rPr>
          <w:rFonts w:ascii="Arial" w:cs="Arial" w:eastAsia="Arial" w:hAnsi="Arial"/>
          <w:sz w:val="18"/>
          <w:szCs w:val="18"/>
          <w:color w:val="auto"/>
        </w:rPr>
        <w:t>taking account any applicable committee independence standards, , and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The audit and finance committee, which is expected to consist of , and ,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will serve</w:t>
      </w:r>
    </w:p>
    <w:p>
      <w:pPr>
        <w:spacing w:after="0"/>
        <w:rPr>
          <w:sz w:val="20"/>
          <w:szCs w:val="20"/>
          <w:color w:val="auto"/>
        </w:rPr>
      </w:pPr>
      <w:r>
        <w:rPr>
          <w:rFonts w:ascii="Arial" w:cs="Arial" w:eastAsia="Arial" w:hAnsi="Arial"/>
          <w:sz w:val="16"/>
          <w:szCs w:val="16"/>
          <w:color w:val="auto"/>
        </w:rPr>
        <w:t>as Chairman of the committee. The audit and finance committee will consist exclusively of members of our supervisory board who are financially literate, and</w:t>
      </w:r>
    </w:p>
    <w:p>
      <w:pPr>
        <w:spacing w:after="0" w:line="386" w:lineRule="exact"/>
        <w:rPr>
          <w:sz w:val="20"/>
          <w:szCs w:val="20"/>
          <w:color w:val="auto"/>
        </w:rPr>
      </w:pPr>
    </w:p>
    <w:p>
      <w:pPr>
        <w:ind w:right="140" w:firstLine="1305"/>
        <w:spacing w:after="0" w:line="264" w:lineRule="auto"/>
        <w:rPr>
          <w:sz w:val="20"/>
          <w:szCs w:val="20"/>
          <w:color w:val="auto"/>
        </w:rPr>
      </w:pPr>
      <w:r>
        <w:rPr>
          <w:rFonts w:ascii="Arial" w:cs="Arial" w:eastAsia="Arial" w:hAnsi="Arial"/>
          <w:sz w:val="18"/>
          <w:szCs w:val="18"/>
          <w:color w:val="auto"/>
        </w:rPr>
        <w:t>is considered an “audit committee financial expert” as defined by the SEC. Our board of directors has determined that satisfies the “independence” requirements set forth in Rule 10A-3 under the Exchange Act and that upon the consummation of this offering will satisfy such “independence” requirements.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22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5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 and</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left="460"/>
        <w:spacing w:after="0"/>
        <w:tabs>
          <w:tab w:leader="none" w:pos="7560" w:val="left"/>
          <w:tab w:leader="none" w:pos="8220" w:val="left"/>
          <w:tab w:leader="none" w:pos="9080" w:val="left"/>
        </w:tabs>
        <w:rPr>
          <w:sz w:val="20"/>
          <w:szCs w:val="20"/>
          <w:color w:val="auto"/>
        </w:rPr>
      </w:pPr>
      <w:r>
        <w:rPr>
          <w:rFonts w:ascii="Arial" w:cs="Arial" w:eastAsia="Arial" w:hAnsi="Arial"/>
          <w:sz w:val="17"/>
          <w:szCs w:val="17"/>
          <w:color w:val="auto"/>
        </w:rPr>
        <w:t>The compensation, nomination and governance committee, which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will assist our board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2014, the aggregate compensation accrued or paid to the members of our board of directors and our executive officers for services in all capacities was CHF 1,637,000.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2014, the total payment made to directors and executive officers under performance incentive plans was CHF 511,000.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96,000 in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at September 30, 2015, there were 455,500 and 3,422,750 common shares underlying outstanding unvested options and vested options granted pursuant to our Prior Plans, respectively.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in the event this offering is completed.</w:t>
      </w:r>
    </w:p>
    <w:p>
      <w:pPr>
        <w:spacing w:after="0" w:line="17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Furthermore, pursuant to a board resolution on October 13, 2015 all options which were granted to directors and executive officers in connection with this offering will be accelerated upon consummation of this offering. This will result in the acceleration of a total of 129,250 unvested options.</w:t>
      </w:r>
    </w:p>
    <w:p>
      <w:pPr>
        <w:spacing w:after="0" w:line="124"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36.37. The original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options issued under Plan A was CHF 232.965. However, this exercise price was amended in June 2015 with the approval of our board of directors to be CHF 36.37. As a result, as at September 30, 2015, all options outstanding under our Prior Plans have an exercise price of CHF 36.37.</w:t>
      </w:r>
    </w:p>
    <w:p>
      <w:pPr>
        <w:spacing w:after="0" w:line="147" w:lineRule="exact"/>
        <w:rPr>
          <w:sz w:val="20"/>
          <w:szCs w:val="20"/>
          <w:color w:val="auto"/>
        </w:rPr>
      </w:pPr>
    </w:p>
    <w:p>
      <w:pPr>
        <w:jc w:val="both"/>
        <w:ind w:right="44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2014, we granted our executive officers, in the aggregate, the right to acquire 500 shares at a price of CHF 2,000 per share for a period of two months after the commencement of employment with us. At our sole discretion, we are permitted to repurchase such shares over a one year period as follows:</w:t>
      </w:r>
    </w:p>
    <w:p>
      <w:pPr>
        <w:spacing w:after="0" w:line="87"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500 shares prior to October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375 shares prior to January 15,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250 shares prior to April 15, 2016;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125 shares prior to July 15, 2017.</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purchase price at which we are allowed to acquire the shares, at our sole discretion, is the original purchase price of CHF 2,000 per share, plus 0.25% per month starting on July 15, 2016. Our right to repurchase the shares will lapse on the first day of trading of our shares.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Additionally, since the beginning of the last fiscal year ended December 31, 2014, we have granted our executive officers, in the aggregate, the right to acquire 787 shares at a price of CHF 36.37 per share. Contingent upon continued employment and approval of our Board of Directors, such options will vest as follows:</w:t>
      </w:r>
    </w:p>
    <w:p>
      <w:pPr>
        <w:spacing w:after="0" w:line="87" w:lineRule="exact"/>
        <w:rPr>
          <w:sz w:val="20"/>
          <w:szCs w:val="20"/>
          <w:color w:val="auto"/>
        </w:rPr>
      </w:pPr>
    </w:p>
    <w:p>
      <w:pPr>
        <w:ind w:left="900" w:right="78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180 shares which became purchasable on July 1, 2015, on a monthly basis over a 24-month period but become fully exerciseable upon completion of the offering at a price of CHF 36.37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394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213 shares which will become purchasable starting on July 1, 2017, on a monthly basis over a 48-month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PRINCIPAL SHAREHOLDERS</w:t>
            </w:r>
          </w:p>
        </w:tc>
        <w:tc>
          <w:tcPr>
            <w:tcW w:w="2900" w:type="dxa"/>
            <w:vAlign w:val="bottom"/>
          </w:tcPr>
          <w:p>
            <w:pPr>
              <w:spacing w:after="0"/>
              <w:rPr>
                <w:sz w:val="24"/>
                <w:szCs w:val="24"/>
                <w:color w:val="auto"/>
              </w:rPr>
            </w:pPr>
          </w:p>
        </w:tc>
      </w:tr>
      <w:tr>
        <w:trPr>
          <w:trHeight w:val="41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7"/>
              </w:rPr>
              <w:t>The following table presents information relating to the beneficial ownership of our common shares as of</w:t>
            </w:r>
          </w:p>
        </w:tc>
        <w:tc>
          <w:tcPr>
            <w:tcW w:w="2900" w:type="dxa"/>
            <w:vAlign w:val="bottom"/>
          </w:tcPr>
          <w:p>
            <w:pPr>
              <w:ind w:left="480"/>
              <w:spacing w:after="0"/>
              <w:rPr>
                <w:sz w:val="20"/>
                <w:szCs w:val="20"/>
                <w:color w:val="auto"/>
              </w:rPr>
            </w:pPr>
            <w:r>
              <w:rPr>
                <w:rFonts w:ascii="Arial" w:cs="Arial" w:eastAsia="Arial" w:hAnsi="Arial"/>
                <w:sz w:val="18"/>
                <w:szCs w:val="18"/>
                <w:color w:val="auto"/>
                <w:w w:val="90"/>
              </w:rPr>
              <w:t>, 2015, as if the conversion of our</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preferred shares into common shares on a one-for-one basis had occurred, by:</w:t>
            </w:r>
          </w:p>
        </w:tc>
        <w:tc>
          <w:tcPr>
            <w:tcW w:w="29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executive officers, directors and director nominee as a group.</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will automatically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w:t>
      </w:r>
    </w:p>
    <w:p>
      <w:pPr>
        <w:ind w:right="240"/>
        <w:spacing w:after="0" w:line="255" w:lineRule="auto"/>
        <w:rPr>
          <w:sz w:val="20"/>
          <w:szCs w:val="20"/>
          <w:color w:val="auto"/>
        </w:rPr>
      </w:pPr>
      <w:r>
        <w:rPr>
          <w:rFonts w:ascii="Arial" w:cs="Arial" w:eastAsia="Arial" w:hAnsi="Arial"/>
          <w:sz w:val="18"/>
          <w:szCs w:val="18"/>
          <w:color w:val="auto"/>
        </w:rPr>
        <w:t>to acquire within 60 days of , 2015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0" w:lineRule="exact"/>
        <w:rPr>
          <w:sz w:val="20"/>
          <w:szCs w:val="20"/>
          <w:color w:val="auto"/>
        </w:rPr>
      </w:pPr>
    </w:p>
    <w:p>
      <w:pPr>
        <w:ind w:left="460"/>
        <w:spacing w:after="0"/>
        <w:tabs>
          <w:tab w:leader="none" w:pos="6400" w:val="left"/>
          <w:tab w:leader="none" w:pos="9740" w:val="left"/>
        </w:tabs>
        <w:rPr>
          <w:sz w:val="20"/>
          <w:szCs w:val="20"/>
          <w:color w:val="auto"/>
        </w:rPr>
      </w:pPr>
      <w:r>
        <w:rPr>
          <w:rFonts w:ascii="Arial" w:cs="Arial" w:eastAsia="Arial" w:hAnsi="Arial"/>
          <w:sz w:val="18"/>
          <w:szCs w:val="18"/>
          <w:color w:val="auto"/>
        </w:rPr>
        <w:t>The percentage of outstanding common shares is computed on the basis of</w:t>
      </w:r>
      <w:r>
        <w:rPr>
          <w:sz w:val="20"/>
          <w:szCs w:val="20"/>
          <w:color w:val="auto"/>
        </w:rPr>
        <w:tab/>
      </w:r>
      <w:r>
        <w:rPr>
          <w:rFonts w:ascii="Arial" w:cs="Arial" w:eastAsia="Arial" w:hAnsi="Arial"/>
          <w:sz w:val="18"/>
          <w:szCs w:val="18"/>
          <w:color w:val="auto"/>
        </w:rPr>
        <w:t>common shares outstanding as of</w:t>
      </w:r>
      <w:r>
        <w:rPr>
          <w:sz w:val="20"/>
          <w:szCs w:val="20"/>
          <w:color w:val="auto"/>
        </w:rPr>
        <w:tab/>
      </w:r>
      <w:r>
        <w:rPr>
          <w:rFonts w:ascii="Arial" w:cs="Arial" w:eastAsia="Arial" w:hAnsi="Arial"/>
          <w:sz w:val="15"/>
          <w:szCs w:val="15"/>
          <w:color w:val="auto"/>
        </w:rPr>
        <w:t>, 2015, based on the</w:t>
      </w:r>
    </w:p>
    <w:p>
      <w:pPr>
        <w:spacing w:after="0" w:line="23" w:lineRule="exact"/>
        <w:rPr>
          <w:sz w:val="20"/>
          <w:szCs w:val="20"/>
          <w:color w:val="auto"/>
        </w:rPr>
      </w:pPr>
    </w:p>
    <w:p>
      <w:pPr>
        <w:spacing w:after="0"/>
        <w:tabs>
          <w:tab w:leader="none" w:pos="11220" w:val="left"/>
        </w:tabs>
        <w:rPr>
          <w:sz w:val="20"/>
          <w:szCs w:val="20"/>
          <w:color w:val="auto"/>
        </w:rPr>
      </w:pPr>
      <w:r>
        <w:rPr>
          <w:rFonts w:ascii="Arial" w:cs="Arial" w:eastAsia="Arial" w:hAnsi="Arial"/>
          <w:sz w:val="17"/>
          <w:szCs w:val="17"/>
          <w:color w:val="auto"/>
        </w:rPr>
        <w:t>midpoint of the price range stated on the front cover of this prospectus. Common shares that a person has the right to acquire within 60 days of</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2015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at</w:t>
      </w:r>
    </w:p>
    <w:p>
      <w:pPr>
        <w:spacing w:after="0" w:line="2" w:lineRule="exact"/>
        <w:rPr>
          <w:sz w:val="20"/>
          <w:szCs w:val="20"/>
          <w:color w:val="auto"/>
        </w:rPr>
      </w:pPr>
    </w:p>
    <w:p>
      <w:pPr>
        <w:spacing w:after="0"/>
        <w:tabs>
          <w:tab w:leader="none" w:pos="2520" w:val="left"/>
          <w:tab w:leader="none" w:pos="6380" w:val="left"/>
        </w:tabs>
        <w:rPr>
          <w:sz w:val="20"/>
          <w:szCs w:val="20"/>
          <w:color w:val="auto"/>
        </w:rPr>
      </w:pPr>
      <w:r>
        <w:rPr>
          <w:rFonts w:ascii="Arial" w:cs="Arial" w:eastAsia="Arial" w:hAnsi="Arial"/>
          <w:sz w:val="18"/>
          <w:szCs w:val="18"/>
          <w:color w:val="auto"/>
        </w:rPr>
        <w:t>September 30, 2015, a total of</w:t>
      </w:r>
      <w:r>
        <w:rPr>
          <w:sz w:val="20"/>
          <w:szCs w:val="20"/>
          <w:color w:val="auto"/>
        </w:rPr>
        <w:tab/>
      </w:r>
      <w:r>
        <w:rPr>
          <w:rFonts w:ascii="Arial" w:cs="Arial" w:eastAsia="Arial" w:hAnsi="Arial"/>
          <w:sz w:val="18"/>
          <w:szCs w:val="18"/>
          <w:color w:val="auto"/>
        </w:rPr>
        <w:t>of our common shares were held by a total of</w:t>
      </w:r>
      <w:r>
        <w:rPr>
          <w:sz w:val="20"/>
          <w:szCs w:val="20"/>
          <w:color w:val="auto"/>
        </w:rPr>
        <w:tab/>
      </w:r>
      <w:r>
        <w:rPr>
          <w:rFonts w:ascii="Arial" w:cs="Arial" w:eastAsia="Arial" w:hAnsi="Arial"/>
          <w:sz w:val="16"/>
          <w:szCs w:val="16"/>
          <w:color w:val="auto"/>
        </w:rPr>
        <w:t>U.S. record holders.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580" w:firstLine="900"/>
        <w:spacing w:after="0" w:line="261" w:lineRule="auto"/>
        <w:rPr>
          <w:sz w:val="20"/>
          <w:szCs w:val="20"/>
          <w:color w:val="auto"/>
        </w:rPr>
      </w:pPr>
      <w:r>
        <w:rPr>
          <w:rFonts w:ascii="Arial" w:cs="Arial" w:eastAsia="Arial" w:hAnsi="Arial"/>
          <w:sz w:val="18"/>
          <w:szCs w:val="18"/>
          <w:color w:val="auto"/>
        </w:rPr>
        <w:t>, 2015. The percentage of common shares beneficially owned after this offering is based on common shares that will be issued and outstanding upon the completion of this offering.</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dievini Hopp BioTech holding GmbH &amp; Co KG</w:t>
      </w:r>
    </w:p>
    <w:p>
      <w:pPr>
        <w:spacing w:after="0"/>
        <w:rPr>
          <w:sz w:val="20"/>
          <w:szCs w:val="20"/>
          <w:color w:val="auto"/>
        </w:rPr>
      </w:pPr>
      <w:r>
        <w:rPr>
          <w:rFonts w:ascii="Arial" w:cs="Arial" w:eastAsia="Arial" w:hAnsi="Arial"/>
          <w:sz w:val="14"/>
          <w:szCs w:val="14"/>
          <w:color w:val="auto"/>
        </w:rPr>
        <w:t>Varuma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Directors and Director Nominee</w:t>
      </w:r>
    </w:p>
    <w:p>
      <w:pPr>
        <w:spacing w:after="0" w:line="226" w:lineRule="auto"/>
        <w:rPr>
          <w:sz w:val="20"/>
          <w:szCs w:val="20"/>
          <w:color w:val="auto"/>
        </w:rPr>
      </w:pPr>
      <w:r>
        <w:rPr>
          <w:rFonts w:ascii="Arial" w:cs="Arial" w:eastAsia="Arial" w:hAnsi="Arial"/>
          <w:sz w:val="14"/>
          <w:szCs w:val="14"/>
          <w:color w:val="auto"/>
        </w:rPr>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Andreas Muhs</w:t>
      </w:r>
    </w:p>
    <w:p>
      <w:pPr>
        <w:spacing w:after="0" w:line="221" w:lineRule="auto"/>
        <w:rPr>
          <w:sz w:val="20"/>
          <w:szCs w:val="20"/>
          <w:color w:val="auto"/>
        </w:rPr>
      </w:pPr>
      <w:r>
        <w:rPr>
          <w:rFonts w:ascii="Arial" w:cs="Arial" w:eastAsia="Arial" w:hAnsi="Arial"/>
          <w:sz w:val="14"/>
          <w:szCs w:val="14"/>
          <w:color w:val="auto"/>
        </w:rPr>
        <w:t>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Jean-Fabien Monin</w:t>
      </w:r>
    </w:p>
    <w:p>
      <w:pPr>
        <w:spacing w:after="0" w:line="221" w:lineRule="auto"/>
        <w:rPr>
          <w:sz w:val="20"/>
          <w:szCs w:val="20"/>
          <w:color w:val="auto"/>
        </w:rPr>
      </w:pPr>
      <w:r>
        <w:rPr>
          <w:rFonts w:ascii="Arial" w:cs="Arial" w:eastAsia="Arial" w:hAnsi="Arial"/>
          <w:sz w:val="14"/>
          <w:szCs w:val="14"/>
          <w:color w:val="auto"/>
        </w:rPr>
        <w:t>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Mathias Hothum</w:t>
      </w:r>
    </w:p>
    <w:p>
      <w:pPr>
        <w:spacing w:after="0" w:line="221" w:lineRule="auto"/>
        <w:rPr>
          <w:sz w:val="20"/>
          <w:szCs w:val="20"/>
          <w:color w:val="auto"/>
        </w:rPr>
      </w:pPr>
      <w:r>
        <w:rPr>
          <w:rFonts w:ascii="Arial" w:cs="Arial" w:eastAsia="Arial" w:hAnsi="Arial"/>
          <w:sz w:val="14"/>
          <w:szCs w:val="14"/>
          <w:color w:val="auto"/>
        </w:rPr>
        <w:t>Hans-Beat Gürtler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Detlev Riesner</w:t>
      </w:r>
    </w:p>
    <w:p>
      <w:pPr>
        <w:spacing w:after="0" w:line="222" w:lineRule="auto"/>
        <w:rPr>
          <w:sz w:val="20"/>
          <w:szCs w:val="20"/>
          <w:color w:val="auto"/>
        </w:rPr>
      </w:pPr>
      <w:r>
        <w:rPr>
          <w:rFonts w:ascii="Arial" w:cs="Arial" w:eastAsia="Arial" w:hAnsi="Arial"/>
          <w:sz w:val="14"/>
          <w:szCs w:val="14"/>
          <w:color w:val="auto"/>
        </w:rPr>
        <w:t>Friedrich von Bohlen und Halbach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Peter Bollmann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 executive officers, directors and director nominee as a group (10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 Indicates beneficial ownership of less than 1% of the total issued and outstanding common shares.</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Shares Beneficially Owned</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Shares Beneficially Owned</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Before This Offering</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After This Offering</w:t>
            </w: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79"/>
        </w:trPr>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6"/>
                <w:szCs w:val="6"/>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80" w:type="dxa"/>
            <w:vAlign w:val="bottom"/>
            <w:vMerge w:val="restart"/>
          </w:tcPr>
          <w:p>
            <w:pPr>
              <w:spacing w:after="0"/>
              <w:rPr>
                <w:sz w:val="6"/>
                <w:szCs w:val="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6"/>
                <w:szCs w:val="6"/>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bl>
    <w:p>
      <w:pPr>
        <w:sectPr>
          <w:pgSz w:w="11900" w:h="16838" w:orient="portrait"/>
          <w:cols w:equalWidth="0" w:num="2">
            <w:col w:w="5840" w:space="600"/>
            <w:col w:w="4980"/>
          </w:cols>
          <w:pgMar w:left="240" w:top="446"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2012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16,490 Preferred Series D Shares for CHF 1,212.90 each (in two tranches), and all shares were subscribed by current shareholders. On December 10, 2013, we entered into agreement with our shareholders and investors pursuant to which we agreed to issue 8,245 Series D preferred shares in exchange for a contribution of CHF 10 million as a first tranche and an additional 8,245 Series D preferred shares in exchange for a contribution of CHF 10 million. The 8,245 Series D shares of the first tranche were issued on January 7, 2014 for CHF 10 million and the 8,245 Series D shares of the second tranche were issued on July 7, 2014 for CHF 10 million. Taking into consideration the 250-for-1 stock split effected on November 2, 2015, the number of preferred shares issued in the Series D preferred share financing was 3,870,500 and the split adjusted subscription price was CHF 4.8516 per preferred share.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number of our Series D preferred shares adjusted to take into consideration the 250-for-1 stock split effected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2, 2015 purchased by our executive officers, directors and certain related parties and their affiliates: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6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entered into a registration rights agreement in connection with the Series E Private Placement with certain of our existing shareholders and certain investors in the Series E Private Placement pursuant to which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granted them certain demand and piggyback registration rights for the resale of the common shares held by them, as described below. The shareholders party</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the registration rights agreement hold an aggregate of of our common shares, representing approximately %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40"/>
          </w:cols>
          <w:pgMar w:left="240" w:top="459" w:right="7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Canton of Vaud, near Lausanne,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basis and (iii) our planned stock split, our issued fully paid-in share capital will consist of CHF divided into common shares with a nominal value of CHF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Swiss law, we may increase our share capital (capital-actions)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9"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the CO, shareholders have pre-emptive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 resolution passed at a general meeting of shareholders by two-thirds of the shares represented and the absolute majority of the nominal value of the shares represented may authorize our board of directors to withdraw or limit pre-emptive rights or advance subscription rights in certain circumstances.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75"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articles of association, our board of directors is authorized at any time until December 31, 2016 to increase our nominal share capital by a maximum aggregate amount of CHF 458,083 through the issuance of not more than 22,904,125 shares, which would have to be fully paid-in, with a nominal</w:t>
      </w:r>
    </w:p>
    <w:p>
      <w:pPr>
        <w:spacing w:after="0"/>
        <w:tabs>
          <w:tab w:leader="none" w:pos="1600" w:val="left"/>
        </w:tabs>
        <w:rPr>
          <w:sz w:val="20"/>
          <w:szCs w:val="20"/>
          <w:color w:val="auto"/>
        </w:rPr>
      </w:pPr>
      <w:r>
        <w:rPr>
          <w:rFonts w:ascii="Arial" w:cs="Arial" w:eastAsia="Arial" w:hAnsi="Arial"/>
          <w:sz w:val="18"/>
          <w:szCs w:val="18"/>
          <w:color w:val="auto"/>
        </w:rPr>
        <w:t>value of CHF</w:t>
      </w:r>
      <w:r>
        <w:rPr>
          <w:sz w:val="20"/>
          <w:szCs w:val="20"/>
          <w:color w:val="auto"/>
        </w:rPr>
        <w:tab/>
      </w:r>
      <w:r>
        <w:rPr>
          <w:rFonts w:ascii="Arial" w:cs="Arial" w:eastAsia="Arial" w:hAnsi="Arial"/>
          <w:sz w:val="15"/>
          <w:szCs w:val="15"/>
          <w:color w:val="auto"/>
        </w:rPr>
        <w:t>each.</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nominal share capital may be increased by a maximum aggregate amount of CHF 91,617 through the issuance of not more than 4,580,825 common shares, which would have to be fully paid-in, with a nominal value of CHF 0.02 each, by the exercise of option and conversion rights granted in connection with warrants and convertible bonds of the Company or one of our subsidiaries. Shareholders will not have pre-emptive rights in such circumstances. The holders of convertible bonds are entitled to the new shares upon the occurrence of the applicable conversion feature.</w:t>
      </w:r>
    </w:p>
    <w:p>
      <w:pPr>
        <w:spacing w:after="0" w:line="17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that the advance subscription rights are withdrawn, (i) the convertible bonds are to be issued at market conditions; (ii) the term to exercise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option or conversion rights may not exceed years as of the date of the convertible bond issue and twenty years for conversion rights; and (iii) the exercise price for the new shares must at least correspond to the market conditions at the time of the convertible bond issuance.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nominal share capital may, to the exclusion of the pre-emptive rights of shareholders, be increased by a maximum aggregate amount of CHF 32,676 through the issuance of not more than 1,633,800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 973c of the CO)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xml:space="preserve">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In accordance with art. 973c of the CO, we will maintain a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limiting or suppressing shareholder’s pre-emptive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Voting rights may be exercised only after a shareholder has been entered in our share register (</w:t>
      </w:r>
      <w:r>
        <w:rPr>
          <w:rFonts w:ascii="Arial" w:cs="Arial" w:eastAsia="Arial" w:hAnsi="Arial"/>
          <w:sz w:val="16"/>
          <w:szCs w:val="16"/>
          <w:i w:val="1"/>
          <w:iCs w:val="1"/>
          <w:color w:val="auto"/>
        </w:rPr>
        <w:t>registre des actions</w:t>
      </w:r>
      <w:r>
        <w:rPr>
          <w:rFonts w:ascii="Arial" w:cs="Arial" w:eastAsia="Arial" w:hAnsi="Arial"/>
          <w:sz w:val="16"/>
          <w:szCs w:val="16"/>
          <w:color w:val="auto"/>
        </w:rPr>
        <w:t>)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art.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1400"/>
          </w:cols>
          <w:pgMar w:left="240" w:top="459" w:right="25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59"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420"/>
          </w:cols>
          <w:pgMar w:left="240" w:top="45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ectPr>
          <w:pgSz w:w="11900" w:h="16838" w:orient="portrait"/>
          <w:cols w:equalWidth="0" w:num="2">
            <w:col w:w="5840" w:space="220"/>
            <w:col w:w="5340"/>
          </w:cols>
          <w:pgMar w:left="240" w:top="460" w:right="25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20"/>
          </w:cols>
          <w:pgMar w:left="240" w:top="459" w:right="23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underwriters exercise their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60"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8"/>
        <w:spacing w:after="0" w:line="342" w:lineRule="auto"/>
        <w:rPr>
          <w:sz w:val="20"/>
          <w:szCs w:val="20"/>
          <w:color w:val="auto"/>
        </w:rPr>
      </w:pPr>
      <w:r>
        <w:rPr>
          <w:rFonts w:ascii="Arial" w:cs="Arial" w:eastAsia="Arial" w:hAnsi="Arial"/>
          <w:sz w:val="16"/>
          <w:szCs w:val="16"/>
          <w:color w:val="auto"/>
        </w:rPr>
        <w:t>, 2015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600"/>
            <w:col w:w="3840"/>
          </w:cols>
          <w:pgMar w:left="240" w:top="460"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60"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60" w:right="259" w:bottom="1440" w:gutter="0" w:footer="0" w:header="0"/>
          <w:type w:val="continuous"/>
        </w:sectPr>
      </w:pPr>
    </w:p>
    <w:p>
      <w:pPr>
        <w:ind w:left="900" w:right="2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Common Shares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of our existing shareholders and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of our directors, executive officers and the holders of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U.S. as in effect on the date hereof, which are subject to change (or subject to changes in interpretation), possibly with retroactive effect.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shareholders who are not resident in Switzerland, and who, in each case, hold their Shares as part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market value of at least CHF 1 million.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potential application of the provisions of the Code known as the Medicare contribution tax and tax consequences applicable to U.S.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60"/>
          </w:cols>
          <w:pgMar w:left="240" w:top="460" w:right="3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718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718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have granted to the underwriters a 30-day over-allotment option to purchase up to additional common shares from us at the initial public offering price less the underwriting discounts and commissions. The option may be exercised only to cover any over-allotments of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and directors and all of our shareholders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w:t>
      </w:r>
    </w:p>
    <w:p>
      <w:pPr>
        <w:spacing w:after="0" w:line="255" w:lineRule="auto"/>
        <w:rPr>
          <w:sz w:val="20"/>
          <w:szCs w:val="20"/>
          <w:color w:val="auto"/>
        </w:rPr>
      </w:pPr>
      <w:r>
        <w:rPr>
          <w:rFonts w:ascii="Arial" w:cs="Arial" w:eastAsia="Arial" w:hAnsi="Arial"/>
          <w:sz w:val="18"/>
          <w:szCs w:val="18"/>
          <w:color w:val="auto"/>
        </w:rPr>
        <w:t>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9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40" w:hanging="325"/>
        <w:spacing w:after="0" w:line="290"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20" w:hanging="446"/>
        <w:spacing w:after="0" w:line="277"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80" w:hanging="446"/>
        <w:spacing w:after="0" w:line="264"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100" w:hanging="446"/>
        <w:spacing w:after="0" w:line="277"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sz w:val="20"/>
          <w:szCs w:val="20"/>
          <w:color w:val="auto"/>
        </w:rPr>
      </w:pPr>
    </w:p>
    <w:p>
      <w:pPr>
        <w:ind w:left="900" w:hanging="446"/>
        <w:spacing w:after="0" w:line="255"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gridSpan w:val="3"/>
          </w:tcPr>
          <w:p>
            <w:pPr>
              <w:ind w:left="1380"/>
              <w:spacing w:after="0"/>
              <w:rPr>
                <w:sz w:val="20"/>
                <w:szCs w:val="20"/>
                <w:color w:val="auto"/>
              </w:rPr>
            </w:pPr>
            <w:r>
              <w:rPr>
                <w:rFonts w:ascii="Arial" w:cs="Arial" w:eastAsia="Arial" w:hAnsi="Arial"/>
                <w:sz w:val="14"/>
                <w:szCs w:val="14"/>
                <w:b w:val="1"/>
                <w:bCs w:val="1"/>
                <w:color w:val="auto"/>
              </w:rPr>
              <w:t>Expenses</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18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  To be provided by amendment.</w:t>
            </w: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2014 and 2013 and for each of the years in the two-year period ended December 31, 2014,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40"/>
          </w:cols>
          <w:pgMar w:left="240" w:top="459" w:right="3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80"/>
          </w:cols>
          <w:pgMar w:left="240" w:top="460" w:right="27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5100" w:type="dxa"/>
            <w:vAlign w:val="bottom"/>
            <w:gridSpan w:val="10"/>
          </w:tcPr>
          <w:p>
            <w:pPr>
              <w:jc w:val="center"/>
              <w:ind w:right="940"/>
              <w:spacing w:after="0"/>
              <w:rPr>
                <w:sz w:val="20"/>
                <w:szCs w:val="20"/>
                <w:color w:val="auto"/>
              </w:rPr>
            </w:pPr>
            <w:r>
              <w:rPr>
                <w:rFonts w:ascii="Arial" w:cs="Arial" w:eastAsia="Arial" w:hAnsi="Arial"/>
                <w:sz w:val="18"/>
                <w:szCs w:val="18"/>
                <w:b w:val="1"/>
                <w:bCs w:val="1"/>
                <w:color w:val="auto"/>
              </w:rPr>
              <w:t>INDEX TO FINANCIAL STATEMENTS</w:t>
            </w:r>
          </w:p>
        </w:tc>
        <w:tc>
          <w:tcPr>
            <w:tcW w:w="2580" w:type="dxa"/>
            <w:vAlign w:val="bottom"/>
          </w:tcPr>
          <w:p>
            <w:pPr>
              <w:spacing w:after="0"/>
              <w:rPr>
                <w:sz w:val="24"/>
                <w:szCs w:val="24"/>
                <w:color w:val="auto"/>
              </w:rPr>
            </w:pPr>
          </w:p>
        </w:tc>
      </w:tr>
      <w:tr>
        <w:trPr>
          <w:trHeight w:val="445"/>
        </w:trPr>
        <w:tc>
          <w:tcPr>
            <w:tcW w:w="8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2580" w:type="dxa"/>
            <w:vAlign w:val="bottom"/>
          </w:tcPr>
          <w:p>
            <w:pPr>
              <w:spacing w:after="0"/>
              <w:rPr>
                <w:sz w:val="24"/>
                <w:szCs w:val="24"/>
                <w:color w:val="auto"/>
              </w:rPr>
            </w:pPr>
          </w:p>
        </w:tc>
      </w:tr>
      <w:tr>
        <w:trPr>
          <w:trHeight w:val="190"/>
        </w:trPr>
        <w:tc>
          <w:tcPr>
            <w:tcW w:w="8740" w:type="dxa"/>
            <w:vAlign w:val="bottom"/>
            <w:gridSpan w:val="12"/>
          </w:tcPr>
          <w:p>
            <w:pPr>
              <w:spacing w:after="0" w:line="190" w:lineRule="exact"/>
              <w:rPr>
                <w:rFonts w:ascii="Arial" w:cs="Arial" w:eastAsia="Arial" w:hAnsi="Arial"/>
                <w:sz w:val="18"/>
                <w:szCs w:val="18"/>
                <w:color w:val="0000EE"/>
              </w:rPr>
            </w:pPr>
            <w:hyperlink w:anchor="page195">
              <w:r>
                <w:rPr>
                  <w:rFonts w:ascii="Arial" w:cs="Arial" w:eastAsia="Arial" w:hAnsi="Arial"/>
                  <w:sz w:val="18"/>
                  <w:szCs w:val="18"/>
                  <w:color w:val="0000EE"/>
                </w:rPr>
                <w:t>Balance Sheets as at September 30, 2015 and December 31, 2014</w:t>
              </w:r>
            </w:hyperlink>
          </w:p>
        </w:tc>
        <w:tc>
          <w:tcPr>
            <w:tcW w:w="2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Income Statements and Statements of Comprehensive Income for the Nine Months Ended September 30, 2015 and 2014</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8740" w:type="dxa"/>
            <w:vAlign w:val="bottom"/>
            <w:gridSpan w:val="12"/>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Statements of Changes in Equity for the Nine Months Ended September 30, 2015 and 2014</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Statements of Cash Flows for the Nine Months Ended September 30, 2015 and 2014</w:t>
              </w:r>
            </w:hyperlink>
          </w:p>
        </w:tc>
        <w:tc>
          <w:tcPr>
            <w:tcW w:w="480" w:type="dxa"/>
            <w:vAlign w:val="bottom"/>
            <w:tcBorders>
              <w:top w:val="single" w:sz="8" w:color="0000EE"/>
            </w:tcBorders>
            <w:gridSpan w:val="3"/>
          </w:tcPr>
          <w:p>
            <w:pPr>
              <w:spacing w:after="0"/>
              <w:rPr>
                <w:sz w:val="17"/>
                <w:szCs w:val="17"/>
                <w:color w:val="auto"/>
              </w:rPr>
            </w:pPr>
          </w:p>
        </w:tc>
        <w:tc>
          <w:tcPr>
            <w:tcW w:w="216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8740" w:type="dxa"/>
            <w:vAlign w:val="bottom"/>
            <w:gridSpan w:val="12"/>
          </w:tcPr>
          <w:p>
            <w:pPr>
              <w:spacing w:after="0" w:line="196" w:lineRule="exact"/>
              <w:rPr>
                <w:rFonts w:ascii="Arial" w:cs="Arial" w:eastAsia="Arial" w:hAnsi="Arial"/>
                <w:sz w:val="18"/>
                <w:szCs w:val="18"/>
                <w:color w:val="0000EE"/>
                <w:w w:val="97"/>
              </w:rPr>
            </w:pPr>
            <w:hyperlink w:anchor="page199">
              <w:r>
                <w:rPr>
                  <w:rFonts w:ascii="Arial" w:cs="Arial" w:eastAsia="Arial" w:hAnsi="Arial"/>
                  <w:sz w:val="18"/>
                  <w:szCs w:val="18"/>
                  <w:color w:val="0000EE"/>
                  <w:w w:val="97"/>
                </w:rPr>
                <w:t>Notes to the Interim Condensed Financial Statements for the Nine Months Ended September 30, 2015 and 2014</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30"/>
        </w:trPr>
        <w:tc>
          <w:tcPr>
            <w:tcW w:w="806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Audited Financial Statements</w:t>
            </w:r>
          </w:p>
        </w:tc>
        <w:tc>
          <w:tcPr>
            <w:tcW w:w="680" w:type="dxa"/>
            <w:vAlign w:val="bottom"/>
            <w:gridSpan w:val="2"/>
          </w:tcPr>
          <w:p>
            <w:pPr>
              <w:spacing w:after="0"/>
              <w:rPr>
                <w:sz w:val="24"/>
                <w:szCs w:val="24"/>
                <w:color w:val="auto"/>
              </w:rPr>
            </w:pPr>
          </w:p>
        </w:tc>
        <w:tc>
          <w:tcPr>
            <w:tcW w:w="2580" w:type="dxa"/>
            <w:vAlign w:val="bottom"/>
          </w:tcPr>
          <w:p>
            <w:pPr>
              <w:spacing w:after="0"/>
              <w:rPr>
                <w:sz w:val="24"/>
                <w:szCs w:val="24"/>
                <w:color w:val="auto"/>
              </w:rPr>
            </w:pPr>
          </w:p>
        </w:tc>
      </w:tr>
      <w:tr>
        <w:trPr>
          <w:trHeight w:val="190"/>
        </w:trPr>
        <w:tc>
          <w:tcPr>
            <w:tcW w:w="8740" w:type="dxa"/>
            <w:vAlign w:val="bottom"/>
            <w:gridSpan w:val="12"/>
          </w:tcPr>
          <w:p>
            <w:pPr>
              <w:spacing w:after="0" w:line="190" w:lineRule="exact"/>
              <w:rPr>
                <w:rFonts w:ascii="Arial" w:cs="Arial" w:eastAsia="Arial" w:hAnsi="Arial"/>
                <w:sz w:val="18"/>
                <w:szCs w:val="18"/>
                <w:color w:val="0000EE"/>
              </w:rPr>
            </w:pPr>
            <w:hyperlink w:anchor="page206">
              <w:r>
                <w:rPr>
                  <w:rFonts w:ascii="Arial" w:cs="Arial" w:eastAsia="Arial" w:hAnsi="Arial"/>
                  <w:sz w:val="18"/>
                  <w:szCs w:val="18"/>
                  <w:color w:val="0000EE"/>
                </w:rPr>
                <w:t>Report of Independent Registered Public Accounting Firm</w:t>
              </w:r>
            </w:hyperlink>
          </w:p>
        </w:tc>
        <w:tc>
          <w:tcPr>
            <w:tcW w:w="2580" w:type="dxa"/>
            <w:vAlign w:val="bottom"/>
          </w:tcPr>
          <w:p>
            <w:pPr>
              <w:jc w:val="right"/>
              <w:spacing w:after="0" w:line="190" w:lineRule="exact"/>
              <w:rPr>
                <w:sz w:val="20"/>
                <w:szCs w:val="20"/>
                <w:color w:val="auto"/>
              </w:rPr>
            </w:pPr>
            <w:r>
              <w:rPr>
                <w:rFonts w:ascii="Arial" w:cs="Arial" w:eastAsia="Arial" w:hAnsi="Arial"/>
                <w:sz w:val="18"/>
                <w:szCs w:val="18"/>
                <w:color w:val="auto"/>
              </w:rPr>
              <w:t>F-13</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Balance Sheets as at December 31, 2014 and 2013</w:t>
              </w:r>
            </w:hyperlink>
          </w:p>
        </w:tc>
        <w:tc>
          <w:tcPr>
            <w:tcW w:w="452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740" w:type="dxa"/>
            <w:vAlign w:val="bottom"/>
            <w:gridSpan w:val="12"/>
          </w:tcPr>
          <w:p>
            <w:pPr>
              <w:spacing w:after="0" w:line="196" w:lineRule="exact"/>
              <w:rPr>
                <w:rFonts w:ascii="Arial" w:cs="Arial" w:eastAsia="Arial" w:hAnsi="Arial"/>
                <w:sz w:val="18"/>
                <w:szCs w:val="18"/>
                <w:color w:val="0000EE"/>
                <w:w w:val="91"/>
              </w:rPr>
            </w:pPr>
            <w:hyperlink w:anchor="page208">
              <w:r>
                <w:rPr>
                  <w:rFonts w:ascii="Arial" w:cs="Arial" w:eastAsia="Arial" w:hAnsi="Arial"/>
                  <w:sz w:val="18"/>
                  <w:szCs w:val="18"/>
                  <w:color w:val="0000EE"/>
                  <w:w w:val="91"/>
                </w:rPr>
                <w:t>Income Statements and Statements of Comprehensive Income for the fiscal years ended December 31, 2014 and 2013</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6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Statements of Changes in Equity for the fiscal years ended December 31, 2014 and 2013</w:t>
              </w:r>
            </w:hyperlink>
          </w:p>
        </w:tc>
        <w:tc>
          <w:tcPr>
            <w:tcW w:w="214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8740" w:type="dxa"/>
            <w:vAlign w:val="bottom"/>
            <w:gridSpan w:val="12"/>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Statements of Cash Flows for the fiscal years ended December 31, 2014 and 2013</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20"/>
        </w:trPr>
        <w:tc>
          <w:tcPr>
            <w:tcW w:w="5900" w:type="dxa"/>
            <w:vAlign w:val="bottom"/>
            <w:gridSpan w:val="5"/>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Notes to the Financial Statements for the fiscal years ended December 31, 2014 and 2013</w:t>
              </w:r>
            </w:hyperlink>
          </w:p>
        </w:tc>
        <w:tc>
          <w:tcPr>
            <w:tcW w:w="228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F-18</w:t>
            </w:r>
          </w:p>
        </w:tc>
      </w:tr>
      <w:tr>
        <w:trPr>
          <w:trHeight w:val="385"/>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8"/>
          </w:tcPr>
          <w:p>
            <w:pPr>
              <w:jc w:val="center"/>
              <w:ind w:right="2040"/>
              <w:spacing w:after="0"/>
              <w:rPr>
                <w:sz w:val="20"/>
                <w:szCs w:val="20"/>
                <w:color w:val="auto"/>
              </w:rPr>
            </w:pPr>
            <w:r>
              <w:rPr>
                <w:rFonts w:ascii="Arial" w:cs="Arial" w:eastAsia="Arial" w:hAnsi="Arial"/>
                <w:sz w:val="18"/>
                <w:szCs w:val="18"/>
                <w:color w:val="auto"/>
                <w:w w:val="96"/>
              </w:rPr>
              <w:t>F-1</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1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2"/>
              </w:rPr>
              <w:t>Notes</w:t>
            </w:r>
          </w:p>
        </w:tc>
        <w:tc>
          <w:tcPr>
            <w:tcW w:w="16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As at September 30,</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Financial assets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653</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income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54,486</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55,139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83,112</w:t>
            </w:r>
          </w:p>
        </w:tc>
        <w:tc>
          <w:tcPr>
            <w:tcW w:w="4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(35,816)</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48,152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3,302</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expenses</w:t>
            </w: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2,824</w:t>
            </w:r>
          </w:p>
        </w:tc>
        <w:tc>
          <w:tcPr>
            <w:tcW w:w="4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6,987</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55,139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0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87"/>
              </w:rPr>
              <w:t>Notes</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Contract revenue</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8"/>
                <w:szCs w:val="18"/>
                <w:color w:val="auto"/>
              </w:rPr>
              <w:t>38,775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38,775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(11,346)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8"/>
                <w:szCs w:val="18"/>
                <w:color w:val="auto"/>
              </w:rPr>
              <w:t>(3,489)</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(14,835)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(13,338)</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23,940</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924</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24,864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tax expense</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24,864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(9,068)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145.44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8"/>
                <w:szCs w:val="18"/>
                <w:color w:val="auto"/>
              </w:rPr>
              <w:t>134.12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170,962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8"/>
                <w:szCs w:val="18"/>
                <w:color w:val="auto"/>
              </w:rPr>
              <w:t>185,390</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180,294</w:t>
            </w:r>
          </w:p>
        </w:tc>
        <w:tc>
          <w:tcPr>
            <w:tcW w:w="0" w:type="dxa"/>
            <w:vAlign w:val="bottom"/>
          </w:tcPr>
          <w:p>
            <w:pPr>
              <w:spacing w:after="0"/>
              <w:rPr>
                <w:sz w:val="1"/>
                <w:szCs w:val="1"/>
                <w:color w:val="auto"/>
              </w:rPr>
            </w:pPr>
          </w:p>
        </w:tc>
      </w:tr>
      <w:tr>
        <w:trPr>
          <w:trHeight w:val="52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Statements of Other Comprehensive Income</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24,864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line="198" w:lineRule="exact"/>
              <w:rPr>
                <w:sz w:val="20"/>
                <w:szCs w:val="20"/>
                <w:color w:val="auto"/>
              </w:rPr>
            </w:pPr>
            <w:r>
              <w:rPr>
                <w:rFonts w:ascii="Arial" w:cs="Arial" w:eastAsia="Arial" w:hAnsi="Arial"/>
                <w:sz w:val="18"/>
                <w:szCs w:val="18"/>
                <w:b w:val="1"/>
                <w:bCs w:val="1"/>
                <w:color w:val="auto"/>
                <w:w w:val="87"/>
              </w:rPr>
              <w:t>Other comprehensive income not to be reclassified to income or loss in subsequent periods (net of</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tax)</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 / (losses) on defined benefit plans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86"/>
              </w:rPr>
              <w:t>812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Income / (loss) for the period</w:t>
            </w:r>
          </w:p>
        </w:tc>
        <w:tc>
          <w:tcPr>
            <w:tcW w:w="800" w:type="dxa"/>
            <w:vAlign w:val="bottom"/>
            <w:tcBorders>
              <w:top w:val="single" w:sz="8" w:color="auto"/>
            </w:tcBorders>
          </w:tcPr>
          <w:p>
            <w:pPr>
              <w:jc w:val="center"/>
              <w:ind w:left="4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i w:val="1"/>
                <w:iCs w:val="1"/>
                <w:color w:val="auto"/>
                <w:w w:val="99"/>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(10,135)</w:t>
            </w:r>
          </w:p>
        </w:tc>
        <w:tc>
          <w:tcPr>
            <w:tcW w:w="5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(10,135</w:t>
            </w:r>
          </w:p>
        </w:tc>
        <w:tc>
          <w:tcPr>
            <w:tcW w:w="100" w:type="dxa"/>
            <w:vAlign w:val="bottom"/>
          </w:tcPr>
          <w:p>
            <w:pPr>
              <w:jc w:val="right"/>
              <w:spacing w:after="0"/>
              <w:rPr>
                <w:sz w:val="20"/>
                <w:szCs w:val="20"/>
                <w:color w:val="auto"/>
              </w:rPr>
            </w:pPr>
            <w:r>
              <w:rPr>
                <w:rFonts w:ascii="Arial" w:cs="Arial" w:eastAsia="Arial" w:hAnsi="Arial"/>
                <w:sz w:val="16"/>
                <w:szCs w:val="16"/>
                <w:i w:val="1"/>
                <w:i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9,857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9,855</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2014</w:t>
            </w:r>
          </w:p>
        </w:tc>
        <w:tc>
          <w:tcPr>
            <w:tcW w:w="800" w:type="dxa"/>
            <w:vAlign w:val="bottom"/>
            <w:shd w:val="clear" w:color="auto" w:fill="CCEEFF"/>
          </w:tcPr>
          <w:p>
            <w:pPr>
              <w:jc w:val="center"/>
              <w:ind w:left="452"/>
              <w:spacing w:after="0"/>
              <w:rPr>
                <w:sz w:val="20"/>
                <w:szCs w:val="20"/>
                <w:color w:val="auto"/>
              </w:rPr>
            </w:pPr>
            <w:r>
              <w:rPr>
                <w:rFonts w:ascii="Arial" w:cs="Arial" w:eastAsia="Arial" w:hAnsi="Arial"/>
                <w:sz w:val="18"/>
                <w:szCs w:val="18"/>
                <w:b w:val="1"/>
                <w:bCs w:val="1"/>
                <w:color w:val="auto"/>
                <w:w w:val="86"/>
              </w:rPr>
              <w:t>854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(80,072)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86"/>
              </w:rPr>
              <w:t>854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(60,455)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Income / (loss) for the period</w:t>
            </w:r>
          </w:p>
        </w:tc>
        <w:tc>
          <w:tcPr>
            <w:tcW w:w="800" w:type="dxa"/>
            <w:vAlign w:val="bottom"/>
            <w:tcBorders>
              <w:top w:val="single" w:sz="8" w:color="auto"/>
            </w:tcBorders>
          </w:tcPr>
          <w:p>
            <w:pPr>
              <w:jc w:val="center"/>
              <w:ind w:left="4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i w:val="1"/>
                <w:iCs w:val="1"/>
                <w:color w:val="auto"/>
                <w:w w:val="99"/>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24,156</w:t>
            </w:r>
          </w:p>
        </w:tc>
        <w:tc>
          <w:tcPr>
            <w:tcW w:w="5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24,156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44</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2015</w:t>
            </w:r>
          </w:p>
        </w:tc>
        <w:tc>
          <w:tcPr>
            <w:tcW w:w="8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b w:val="1"/>
                <w:bCs w:val="1"/>
                <w:color w:val="auto"/>
                <w:w w:val="86"/>
              </w:rPr>
              <w:t>856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83,112</w:t>
            </w: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(35,816)</w:t>
            </w: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7760" w:type="dxa"/>
            <w:vAlign w:val="bottom"/>
            <w:gridSpan w:val="2"/>
            <w:vMerge w:val="continue"/>
          </w:tcPr>
          <w:p>
            <w:pPr>
              <w:spacing w:after="0"/>
              <w:rPr>
                <w:sz w:val="12"/>
                <w:szCs w:val="12"/>
                <w:color w:val="auto"/>
              </w:rPr>
            </w:pPr>
          </w:p>
        </w:tc>
        <w:tc>
          <w:tcPr>
            <w:tcW w:w="118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Income / (loss) for the period</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24,864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income/(loss) for the period to net cash flows:</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215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(924)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483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(198)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25,759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198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(723)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49,652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(26)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 (used in) operating activities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49,659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(13,454)</w:t>
            </w: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(239)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180" w:type="dxa"/>
            <w:vAlign w:val="bottom"/>
          </w:tcPr>
          <w:p>
            <w:pPr>
              <w:ind w:left="10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(239)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2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23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23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180" w:type="dxa"/>
            <w:vAlign w:val="bottom"/>
            <w:tcBorders>
              <w:top w:val="single" w:sz="8" w:color="auto"/>
            </w:tcBorders>
          </w:tcPr>
          <w:p>
            <w:pPr>
              <w:ind w:left="1000"/>
              <w:spacing w:after="0"/>
              <w:rPr>
                <w:sz w:val="20"/>
                <w:szCs w:val="20"/>
                <w:color w:val="auto"/>
              </w:rPr>
            </w:pPr>
            <w:r>
              <w:rPr>
                <w:rFonts w:ascii="Arial" w:cs="Arial" w:eastAsia="Arial" w:hAnsi="Arial"/>
                <w:sz w:val="18"/>
                <w:szCs w:val="18"/>
                <w:b w:val="1"/>
                <w:bCs w:val="1"/>
                <w:color w:val="auto"/>
                <w:w w:val="79"/>
              </w:rPr>
              <w:t>42</w:t>
            </w:r>
          </w:p>
        </w:tc>
        <w:tc>
          <w:tcPr>
            <w:tcW w:w="11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49,462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(3,755)</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11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4"/>
              </w:rPr>
              <w:t>3,306</w:t>
            </w:r>
          </w:p>
        </w:tc>
        <w:tc>
          <w:tcPr>
            <w:tcW w:w="11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Exchange gains on cash and cash equivalents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917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and cash equivalents at September 30</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53,685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49,462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(CHF thousands, except share and per share amounts)</w:t>
      </w:r>
    </w:p>
    <w:p>
      <w:pPr>
        <w:spacing w:after="0" w:line="112"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interim condensed financial statements of AC Immune SA for the nine months period ended September 30, 2015 were authorized for issue in accordance with a resolution of the Board of Directors on October 20, 2015.</w:t>
      </w:r>
    </w:p>
    <w:p>
      <w:pPr>
        <w:spacing w:after="0" w:line="315" w:lineRule="exact"/>
        <w:rPr>
          <w:sz w:val="20"/>
          <w:szCs w:val="20"/>
          <w:color w:val="auto"/>
        </w:rPr>
      </w:pPr>
    </w:p>
    <w:p>
      <w:pPr>
        <w:ind w:right="5460" w:firstLine="8"/>
        <w:spacing w:after="0" w:line="378" w:lineRule="auto"/>
        <w:tabs>
          <w:tab w:leader="none" w:pos="44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Going concern</w:t>
      </w:r>
    </w:p>
    <w:p>
      <w:pPr>
        <w:spacing w:after="0" w:line="293" w:lineRule="auto"/>
        <w:rPr>
          <w:sz w:val="20"/>
          <w:szCs w:val="20"/>
          <w:color w:val="auto"/>
        </w:rPr>
      </w:pPr>
      <w:r>
        <w:rPr>
          <w:rFonts w:ascii="Arial" w:cs="Arial" w:eastAsia="Arial" w:hAnsi="Arial"/>
          <w:sz w:val="16"/>
          <w:szCs w:val="16"/>
          <w:color w:val="auto"/>
        </w:rPr>
        <w:t>The financial statements have been prepared on the basis that the Company will continue as a going concern after considering the two milestone payments received in 2015 pursuant to its collaboration agreements with Genentech. Specifically, in July the Company received a CHF 14 million milestone payment for reaching the ED-GO decision for its anti-tau antibody program and in August the Company received a $25 million (CHF 24.3 million) milestone payment associated with the decision by Roche/Genentech to move crenezumab into Phase 3 studies. These two milestones have increased the Company’s cash position to CHF 53.7 million as at September 30, 2015. Furthermore, in October 2015, the Company completed an approximately $30.0 million Private Placement of preferred shares Series E which have resulted in a pro forma cash balance as of September 30, 2015 of CHF 80.8 million.</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00" w:firstLine="8"/>
        <w:spacing w:after="0" w:line="261" w:lineRule="auto"/>
        <w:tabs>
          <w:tab w:leader="none" w:pos="3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interim condensed financial statements for the nine months ended September 30, 2015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2014.</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assumptions and estimates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2014, except for the adoption of new standards and interpretations effective as of January 1, 2015.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00" w:type="dxa"/>
            <w:vAlign w:val="bottom"/>
          </w:tcPr>
          <w:p>
            <w:pPr>
              <w:spacing w:after="0"/>
              <w:rPr>
                <w:sz w:val="14"/>
                <w:szCs w:val="14"/>
                <w:color w:val="auto"/>
              </w:rPr>
            </w:pPr>
          </w:p>
        </w:tc>
        <w:tc>
          <w:tcPr>
            <w:tcW w:w="368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246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Milestones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38,306</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38,775</w:t>
            </w:r>
          </w:p>
        </w:tc>
        <w:tc>
          <w:tcPr>
            <w:tcW w:w="13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20" w:type="dxa"/>
            <w:vAlign w:val="bottom"/>
            <w:gridSpan w:val="2"/>
          </w:tcPr>
          <w:p>
            <w:pPr>
              <w:jc w:val="right"/>
              <w:ind w:right="1577"/>
              <w:spacing w:after="0"/>
              <w:rPr>
                <w:sz w:val="20"/>
                <w:szCs w:val="20"/>
                <w:color w:val="auto"/>
              </w:rPr>
            </w:pPr>
            <w:r>
              <w:rPr>
                <w:rFonts w:ascii="Arial" w:cs="Arial" w:eastAsia="Arial" w:hAnsi="Arial"/>
                <w:sz w:val="18"/>
                <w:szCs w:val="18"/>
                <w:color w:val="auto"/>
              </w:rPr>
              <w:t>F-7</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and collaboration agreements</w:t>
      </w:r>
    </w:p>
    <w:p>
      <w:pPr>
        <w:spacing w:after="0" w:line="374" w:lineRule="exact"/>
        <w:rPr>
          <w:sz w:val="20"/>
          <w:szCs w:val="20"/>
          <w:color w:val="auto"/>
        </w:rPr>
      </w:pPr>
    </w:p>
    <w:p>
      <w:pPr>
        <w:ind w:right="5000"/>
        <w:spacing w:after="0" w:line="378" w:lineRule="auto"/>
        <w:rPr>
          <w:sz w:val="20"/>
          <w:szCs w:val="20"/>
          <w:color w:val="auto"/>
        </w:rPr>
      </w:pPr>
      <w:r>
        <w:rPr>
          <w:rFonts w:ascii="Arial" w:cs="Arial" w:eastAsia="Arial" w:hAnsi="Arial"/>
          <w:sz w:val="18"/>
          <w:szCs w:val="18"/>
          <w:b w:val="1"/>
          <w:bCs w:val="1"/>
          <w:color w:val="auto"/>
        </w:rPr>
        <w:t xml:space="preserve">4.1 Research Collaboration and License Revenue </w:t>
      </w:r>
      <w:r>
        <w:rPr>
          <w:rFonts w:ascii="Arial" w:cs="Arial" w:eastAsia="Arial" w:hAnsi="Arial"/>
          <w:sz w:val="18"/>
          <w:szCs w:val="18"/>
          <w:i w:val="1"/>
          <w:iCs w:val="1"/>
          <w:color w:val="auto"/>
        </w:rPr>
        <w:t>Tau-PET imaging agent in AD—Collaboration agreement of 2014 with Piramal Imaging</w:t>
      </w:r>
    </w:p>
    <w:p>
      <w:pPr>
        <w:ind w:right="8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upfront payment of EUR 500 thousand received from this collaboration is deferred over a period of 12 months which is the Joint Research Collaboration period. As such, the remaining CHF 205 thousand in deferred revenue at December 31, 2014, was recognized until May 2015.</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AD—Collaboration agreement of 2012 with Genentech</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June 2012, the Company has entered into an exclusive global license agreement and research collaboration with Genentech, Inc. for the development of anti-tau antibodies for the potential treatment and diagnosis of AD and other human diseases.</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Under the terms of this agreement, Genentech has made an upfront payment to AC Immune, with the potential of over CHF 400 million in payments upon successful completion of non-clinical, clinical and regulatory milestones for Alzheimer’s and additional applications. Upon commercialization of a product, Genentech will pay AC Immune royalties on net sales of AC Immune’s antibodies in the field of Alzheimer’s or other human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upfront payment received from the collaboration with Genentech is deferred over a period of two years, ending June 2014.</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 On July 3, 2015, the Company received the proceeds related to this milestone payment of CHF 14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recently announced it intends to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in excess of $340 million, excluding royalties. On July 29, 2015 we received the proceeds from milestone payment of $25 million (CHF 24.3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light of our accounting policies and the fact that there are no further performance requirements from AC Immune, we have recognized the Phase 3 payment as revenue in our Q3 2015 financials.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 to tax loss carry-forward expiring by the end of 2014 since they will expire within the tax holiday period and also because of a forecasted effective tax rate of nil. The Company has also not recognized any deferred tax asset relating to tax loss carry-forward expiring after the tax holiday since the criteria for recognition are not met.</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income tax expense recognized for the nine month period to September 30, 2015, is based on the best estimate of the weighted average annual income tax rate expected for the full financial year to December 31, 2015. The estimate of the weighted average annual income tax rate 2015 takes into consideration the utilization of previously unrecognized tax losses, as the Company has made taxable profits for the nine month period to September 30, 2015 and expects also to make taxable profits for the full financial year to December 31, 2015, due to contract revenue earned in 2015. In accordance with IAS 34, no deferred tax assets have been recognised at the date of the interim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72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vMerge w:val="continue"/>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2015</w:t>
            </w:r>
          </w:p>
        </w:tc>
        <w:tc>
          <w:tcPr>
            <w:tcW w:w="130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24,864</w:t>
            </w: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Tax expense calculated at the statutory rate of 22.5% (2014: 0%)</w:t>
            </w:r>
          </w:p>
        </w:tc>
        <w:tc>
          <w:tcPr>
            <w:tcW w:w="2460" w:type="dxa"/>
            <w:vAlign w:val="bottom"/>
            <w:gridSpan w:val="2"/>
          </w:tcPr>
          <w:p>
            <w:pPr>
              <w:jc w:val="right"/>
              <w:ind w:right="1240"/>
              <w:spacing w:after="0"/>
              <w:rPr>
                <w:sz w:val="20"/>
                <w:szCs w:val="20"/>
                <w:color w:val="auto"/>
              </w:rPr>
            </w:pPr>
            <w:r>
              <w:rPr>
                <w:rFonts w:ascii="Arial" w:cs="Arial" w:eastAsia="Arial" w:hAnsi="Arial"/>
                <w:sz w:val="18"/>
                <w:szCs w:val="18"/>
                <w:color w:val="auto"/>
              </w:rPr>
              <w:t>(5,599)</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24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5,599</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(four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14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2015</w:t>
            </w:r>
          </w:p>
        </w:tc>
        <w:tc>
          <w:tcPr>
            <w:tcW w:w="242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August 2015, one of the Board members resigned reducing the number of Board members to four as at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2015, we expanded our Executive Team by one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180 options were granted to Executive Officers of the Company for the nine months ended September 30, 2015 compared to 250 options for the nine months ended September 2014.</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options were granted to Directors of the Company for the nine months ended September 2015 compared to 205 options that were granted for the nine months ended September 30,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created conditional share capital for the potential issuance of common shares under the stock option plan for employees, board members and persons in comparable positions.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administers the stock option plans. The granting to employees, Executive Officers and members of the Board of Directors is, according to the stock option plan regulations, under the discretion of the Plan Administrator, who is elected by the Board of Directors. All plans are equity-settled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 on Plan A: SOP 2003/2004</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this plan a total of 1,451 options on common shares were granted and vested in 2004. The exercise price was set at CHF 232.97, the lock-up period was four years and the duration is 10.5 years from the date of grant, which was December 31, 2004.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June 5, 2015 the Board of Directors has decided to modify the conditions of exercise of these options and amend the above mentioned Notice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Reduction of the Exercise Price (Strike Price):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-Exercise Price (Strike Price):</w:t>
      </w:r>
      <w:r>
        <w:rPr>
          <w:sz w:val="20"/>
          <w:szCs w:val="20"/>
          <w:color w:val="auto"/>
        </w:rPr>
        <w:tab/>
      </w:r>
      <w:r>
        <w:rPr>
          <w:rFonts w:ascii="Arial" w:cs="Arial" w:eastAsia="Arial" w:hAnsi="Arial"/>
          <w:sz w:val="16"/>
          <w:szCs w:val="16"/>
          <w:color w:val="auto"/>
        </w:rPr>
        <w:t>CHF 36.37 (instead of CHF 232.97)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Extension of the Expiration Date: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6"/>
          <w:szCs w:val="16"/>
          <w:color w:val="auto"/>
        </w:rPr>
        <w:t>June 30, 2017 (instead of June 30,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impact of the change in the Plan A options was an increase in share-based compensation costs for the nine month period ended September 30, 2015 of CHF 336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Movements in the number of options outstanding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9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Strike price</w:t>
            </w: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Strike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CHF</w:t>
            </w:r>
          </w:p>
        </w:tc>
        <w:tc>
          <w:tcPr>
            <w:tcW w:w="6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 CHF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w:t>
            </w:r>
          </w:p>
        </w:tc>
        <w:tc>
          <w:tcPr>
            <w:tcW w:w="2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 of which exercisable</w:t>
            </w:r>
          </w:p>
        </w:tc>
        <w:tc>
          <w:tcPr>
            <w:tcW w:w="338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rPr>
              <w:t>1,451</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at September 30</w:t>
            </w:r>
          </w:p>
        </w:tc>
        <w:tc>
          <w:tcPr>
            <w:tcW w:w="3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1,451</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36.37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1,451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 of which exercisable</w:t>
            </w:r>
          </w:p>
        </w:tc>
        <w:tc>
          <w:tcPr>
            <w:tcW w:w="338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rPr>
              <w:t>1,451</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life of options in circulation</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3"/>
              </w:rPr>
              <w:t>1.8 years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0.8 year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380" w:type="dxa"/>
            <w:vAlign w:val="bottom"/>
            <w:gridSpan w:val="3"/>
          </w:tcPr>
          <w:p>
            <w:pPr>
              <w:jc w:val="right"/>
              <w:ind w:right="2460"/>
              <w:spacing w:after="0"/>
              <w:rPr>
                <w:sz w:val="20"/>
                <w:szCs w:val="20"/>
                <w:color w:val="auto"/>
              </w:rPr>
            </w:pPr>
            <w:r>
              <w:rPr>
                <w:rFonts w:ascii="Arial" w:cs="Arial" w:eastAsia="Arial" w:hAnsi="Arial"/>
                <w:sz w:val="18"/>
                <w:szCs w:val="18"/>
                <w:color w:val="auto"/>
              </w:rPr>
              <w:t>F-10</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43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4320" w:type="dxa"/>
            <w:vAlign w:val="bottom"/>
            <w:gridSpan w:val="4"/>
            <w:vMerge w:val="continue"/>
          </w:tcPr>
          <w:p>
            <w:pPr>
              <w:spacing w:after="0"/>
              <w:rPr>
                <w:sz w:val="12"/>
                <w:szCs w:val="12"/>
                <w:color w:val="auto"/>
              </w:rPr>
            </w:pPr>
          </w:p>
        </w:tc>
        <w:tc>
          <w:tcPr>
            <w:tcW w:w="11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248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Receivables</w:t>
            </w:r>
          </w:p>
        </w:tc>
        <w:tc>
          <w:tcPr>
            <w:tcW w:w="31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53,861</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29,241</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contains assets and liabilities held at amortization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219"/>
          </w:cols>
          <w:pgMar w:left="240" w:top="460" w:right="1440"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November 2, 2015, AC Immune completed a private placement of Series E preferred shares, each with a nominal value of CHF 5.00 per share (the “Series E Private Placement”). An aggregate of 12,453 Series E preferred shares were issued at a price of $2,409.06 per preferred share to certain institutions and existing shareholders in the Series E Private Placement for an aggregate subscription amount of approximately $30.0 million. The Series E preferred shares have substantially the same terms as the Series A, B, C and D preferred shares and will be as accounted for as equity on AC Immune’s balance sheet. Adjusted for the 250-for-1 stock split effected on November 2, 2015, the Series E Private Placement resulted in the issuance of 3,113,250 preferred shares.</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On November 2, 2015 AC Immune completed a 250-for-1 stock split. The split applies to all of AC Immune’s outstanding common shares, preferred shares (Series A, B, C, D and E) and vested and unvested options outstanding. The stock split has an impact on the earnings per share (“EPS”). To facilitate a comparison of EPS figures, the table below provide a reconciliation of the reported EPS figures prior to the stock split and pro forma for the stock split for each of the nine month periods ended September 30, 2015 and 2014 as well as the full year financials ended December 31, 2014 and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0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4"/>
                <w:szCs w:val="14"/>
                <w:b w:val="1"/>
                <w:bCs w:val="1"/>
                <w:color w:val="auto"/>
              </w:rPr>
              <w:t>EPS Calculations Pre-Stock split</w:t>
            </w: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EPS Calculations Post-Stock Split</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50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5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8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500" w:type="dxa"/>
            <w:vAlign w:val="bottom"/>
            <w:gridSpan w:val="4"/>
            <w:vMerge w:val="continue"/>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8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 31</w:t>
            </w: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figures in CHF ‘000)</w:t>
            </w: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 31</w:t>
            </w:r>
          </w:p>
        </w:tc>
        <w:tc>
          <w:tcPr>
            <w:tcW w:w="1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 30</w:t>
            </w: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2041</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 (loss) for the period</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24,864</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(9,068)</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10,744</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(11,243)</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24,864</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(9,068)</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10,744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(11,243)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EPS Calculation Prior to taking into Account Series E Financing</w:t>
            </w: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 (loss) per share (basic)</w:t>
            </w:r>
            <w:r>
              <w:rPr>
                <w:rFonts w:ascii="Arial" w:cs="Arial" w:eastAsia="Arial" w:hAnsi="Arial"/>
                <w:sz w:val="12"/>
                <w:szCs w:val="12"/>
                <w:color w:val="auto"/>
              </w:rPr>
              <w:t>(1)</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145.44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(53.11)</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(69.25)</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0.58</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Earnings / (loss) per share (fully diluted)</w:t>
            </w:r>
            <w:r>
              <w:rPr>
                <w:rFonts w:ascii="Arial" w:cs="Arial" w:eastAsia="Arial" w:hAnsi="Arial"/>
                <w:sz w:val="12"/>
                <w:szCs w:val="12"/>
                <w:color w:val="auto"/>
              </w:rPr>
              <w:t>(1)</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134.12</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(50.30)</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58.96</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(65.84)</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0.54</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0.24</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Weighted-average number of shares used to compute earnings / (loss) per share</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170,962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170,725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170,739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162,356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42,740,500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42,681,250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42,684,750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40,589,000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w w:val="92"/>
              </w:rPr>
              <w:t>Weighted-average number of shares used to compute earnings / (loss) per share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60" w:type="dxa"/>
            <w:vAlign w:val="bottom"/>
          </w:tcPr>
          <w:p>
            <w:pPr>
              <w:ind w:left="140"/>
              <w:spacing w:after="0"/>
              <w:rPr>
                <w:sz w:val="20"/>
                <w:szCs w:val="20"/>
                <w:color w:val="auto"/>
              </w:rPr>
            </w:pPr>
            <w:r>
              <w:rPr>
                <w:rFonts w:ascii="Arial" w:cs="Arial" w:eastAsia="Arial" w:hAnsi="Arial"/>
                <w:sz w:val="14"/>
                <w:szCs w:val="14"/>
                <w:color w:val="auto"/>
              </w:rPr>
              <w:t>(fully diluted)</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185,390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180,294</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182,210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170,758</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46,347,500</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45,073,500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45,552,500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42,689,500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EPS Calculation Pro Forma For Series E Financing</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Pro forma earnings / (loss) per share (basic)</w:t>
            </w:r>
            <w:r>
              <w:rPr>
                <w:rFonts w:ascii="Arial" w:cs="Arial" w:eastAsia="Arial" w:hAnsi="Arial"/>
                <w:sz w:val="12"/>
                <w:szCs w:val="12"/>
                <w:color w:val="auto"/>
              </w:rPr>
              <w:t>(2)</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135.56</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58.65</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earnings / (loss) per share (fully diluted)</w:t>
            </w:r>
            <w:r>
              <w:rPr>
                <w:rFonts w:ascii="Arial" w:cs="Arial" w:eastAsia="Arial" w:hAnsi="Arial"/>
                <w:sz w:val="12"/>
                <w:szCs w:val="12"/>
                <w:color w:val="auto"/>
              </w:rPr>
              <w:t>(2)</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125.68</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55.19</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Weighted-average number of shares used to compute pro forma earnings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ind w:left="140"/>
              <w:spacing w:after="0"/>
              <w:rPr>
                <w:sz w:val="20"/>
                <w:szCs w:val="20"/>
                <w:color w:val="auto"/>
              </w:rPr>
            </w:pPr>
            <w:r>
              <w:rPr>
                <w:rFonts w:ascii="Arial" w:cs="Arial" w:eastAsia="Arial" w:hAnsi="Arial"/>
                <w:sz w:val="14"/>
                <w:szCs w:val="14"/>
                <w:color w:val="auto"/>
              </w:rPr>
              <w:t>/(loss) per share (basic)</w:t>
            </w:r>
            <w:r>
              <w:rPr>
                <w:rFonts w:ascii="Arial" w:cs="Arial" w:eastAsia="Arial" w:hAnsi="Arial"/>
                <w:sz w:val="12"/>
                <w:szCs w:val="12"/>
                <w:color w:val="auto"/>
              </w:rPr>
              <w:t>(2)</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183,415</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183,192</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45,853,750</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42,697,203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Weighted-average number of shares used to compute pro forma earnings/(loss)</w:t>
            </w: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 (fully diluted)</w:t>
            </w:r>
            <w:r>
              <w:rPr>
                <w:rFonts w:ascii="Arial" w:cs="Arial" w:eastAsia="Arial" w:hAnsi="Arial"/>
                <w:sz w:val="12"/>
                <w:szCs w:val="12"/>
                <w:color w:val="auto"/>
              </w:rPr>
              <w:t>(2)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197,843</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194,663</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49,460,750</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45,564,953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2"/>
          <w:szCs w:val="12"/>
          <w:color w:val="auto"/>
        </w:rPr>
      </w:pPr>
      <w:r>
        <w:rPr>
          <w:rFonts w:ascii="Arial" w:cs="Arial" w:eastAsia="Arial" w:hAnsi="Arial"/>
          <w:sz w:val="14"/>
          <w:szCs w:val="14"/>
          <w:color w:val="auto"/>
        </w:rPr>
        <w:t>Included preferred shares outstanding as of the dates indicated, and these preferred shares will be converted on a one-for-one basis upon the closing of this offering.</w:t>
      </w:r>
    </w:p>
    <w:p>
      <w:pPr>
        <w:spacing w:after="0" w:line="68" w:lineRule="exact"/>
        <w:rPr>
          <w:rFonts w:ascii="Arial" w:cs="Arial" w:eastAsia="Arial" w:hAnsi="Arial"/>
          <w:sz w:val="12"/>
          <w:szCs w:val="12"/>
          <w:color w:val="auto"/>
        </w:rPr>
      </w:pPr>
    </w:p>
    <w:p>
      <w:pPr>
        <w:ind w:left="340" w:right="20" w:hanging="332"/>
        <w:spacing w:after="0" w:line="264" w:lineRule="auto"/>
        <w:tabs>
          <w:tab w:leader="none" w:pos="34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The pro forma earnings / (loss) per share basic and fully diluted data give effect to the Series E Private Placement and the conversion of all the preferred shares issued in the Series Private Placement into common shares. The unaudited pro forma earnings / (loss) per shares information presented is for information purposes only and is not necessarily indicative of what our results would have been had the conversion of the preferred shares occured at the dates indicated or at any other time, nor is the information indicative of our future performance.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balance sheets of AC Immune SA at December 31, 2014 and 2013, and the related income statements, statements of comprehensive income, statements of changes in equity and statements of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2014 and 2013, and the results of its operations and its cash flows for each of the two years in the period ended December 31, 2014,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6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As at December 31,</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629</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income</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25,935</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29,667</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11,956</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83,068</w:t>
            </w:r>
          </w:p>
        </w:tc>
        <w:tc>
          <w:tcPr>
            <w:tcW w:w="42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73,211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(60,455)</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2,410</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2,630</w:t>
            </w:r>
          </w:p>
        </w:tc>
        <w:tc>
          <w:tcPr>
            <w:tcW w:w="42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6,829</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8,820</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30,269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8,637</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(16,116)</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(3,436)</w:t>
            </w: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(19,552)</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(20,135)</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10,717</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10,744</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10,744</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62.93</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58.96</w:t>
            </w: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earnings/(loss) per share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170,739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earnings/(loss) per share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182,210</w:t>
            </w:r>
          </w:p>
        </w:tc>
        <w:tc>
          <w:tcPr>
            <w:tcW w:w="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170,758</w:t>
            </w:r>
          </w:p>
        </w:tc>
        <w:tc>
          <w:tcPr>
            <w:tcW w:w="0" w:type="dxa"/>
            <w:vAlign w:val="bottom"/>
          </w:tcPr>
          <w:p>
            <w:pPr>
              <w:spacing w:after="0"/>
              <w:rPr>
                <w:sz w:val="1"/>
                <w:szCs w:val="1"/>
                <w:color w:val="auto"/>
              </w:rPr>
            </w:pPr>
          </w:p>
        </w:tc>
      </w:tr>
      <w:tr>
        <w:trPr>
          <w:trHeight w:val="52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(1,318)</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770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63,370</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(59,608)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4,532</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loss for the period in 2013</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(11,243)</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Pr>
          <w:p>
            <w:pPr>
              <w:ind w:left="56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(10,739)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8"/>
              </w:rPr>
              <w:t>(10,739)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9,841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9,836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Profit for the period in 2014</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Pr>
          <w:p>
            <w:pPr>
              <w:ind w:left="56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9,426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9,857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854</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(60,455)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 (loss) for the period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10,744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 (loss) for the period to net cash flows: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(25,744)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(17,624)</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(19,804)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10,008</w:t>
            </w:r>
          </w:p>
        </w:tc>
        <w:tc>
          <w:tcPr>
            <w:tcW w:w="0" w:type="dxa"/>
            <w:vAlign w:val="bottom"/>
          </w:tcPr>
          <w:p>
            <w:pPr>
              <w:spacing w:after="0"/>
              <w:rPr>
                <w:sz w:val="1"/>
                <w:szCs w:val="1"/>
                <w:color w:val="auto"/>
              </w:rPr>
            </w:pPr>
          </w:p>
        </w:tc>
      </w:tr>
      <w:tr>
        <w:trPr>
          <w:trHeight w:val="432"/>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(7,954)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(10,045)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Transaction cost due on closure of Series D round financing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3.3 million as at December 31, 2014, the non-refundable upfront fee payment of CHF 25.9 million associated with the licensing agreement the Company entered into with Janssen Pharmaceuticals on December 24, 2014 (funds received on February 6, 2015) and also in the light of current financial plans and financial commitments.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have considered the two milestone payments we received in 2015 pursuant to our collaboration agreements with Genentech including a CHF 14 million milestone payment for reaching the ED-GO decision for our anti-tau antibody program and a $25 million (CHF 24.3 million) milestone payment associated with the decision by Roche/Genentech to move crenezumab into Phase 3 studies. These two milestones have increased our cash balance as at mid-August 2015 to over CHF 57.6 million.</w:t>
      </w:r>
    </w:p>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60" w:firstLine="8"/>
        <w:spacing w:after="0" w:line="261" w:lineRule="auto"/>
        <w:tabs>
          <w:tab w:leader="none" w:pos="31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August 25,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60" w:right="2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280"/>
          </w:cols>
          <w:pgMar w:left="240" w:top="460" w:right="37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00"/>
          </w:cols>
          <w:pgMar w:left="240" w:top="460" w:right="37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Expenditure to acquire patents, trademarks and licenses is capitalized and amortized using the straight-line method over their useful lives of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bank comprise the cash on hand.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80"/>
          </w:cols>
          <w:pgMar w:left="240" w:top="460" w:right="37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r>
        <w:rPr>
          <w:rFonts w:ascii="Arial" w:cs="Arial" w:eastAsia="Arial" w:hAnsi="Arial"/>
          <w:sz w:val="18"/>
          <w:szCs w:val="18"/>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Series A, B, C and D Preferred Shares are classified as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 Immune has four classes (Class A, B, C and D) of Preferred Shares outstanding. The Preferred Shares are a class of shares that AC Immune SA issued in connection with four separate capital increases and convey voting rights and certain other rights to their holders.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79.7% of the total amount of shares outstanding (assuming conversion of the Preferred Shares into Common Shares on a one-for-one basis), have been the primary source of equity financing for the Company over the past 12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00"/>
          </w:cols>
          <w:pgMar w:left="24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Company presents basic earnings/loss per share for each period in the financial statements. The earnings/loss per share is calculated by dividing the earnings/loss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2014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IFRS 10, IFRS 12 and IAS 27 </w:t>
      </w:r>
      <w:r>
        <w:rPr>
          <w:rFonts w:ascii="Arial" w:cs="Arial" w:eastAsia="Arial" w:hAnsi="Arial"/>
          <w:sz w:val="18"/>
          <w:szCs w:val="18"/>
          <w:i w:val="1"/>
          <w:iCs w:val="1"/>
          <w:color w:val="auto"/>
        </w:rPr>
        <w:t>Investment Entities</w:t>
      </w:r>
      <w:r>
        <w:rPr>
          <w:rFonts w:ascii="Arial" w:cs="Arial" w:eastAsia="Arial" w:hAnsi="Arial"/>
          <w:sz w:val="18"/>
          <w:szCs w:val="18"/>
          <w:color w:val="auto"/>
        </w:rPr>
        <w:t xml:space="preserve"> (Amendments)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19 </w:t>
      </w:r>
      <w:r>
        <w:rPr>
          <w:rFonts w:ascii="Arial" w:cs="Arial" w:eastAsia="Arial" w:hAnsi="Arial"/>
          <w:sz w:val="18"/>
          <w:szCs w:val="18"/>
          <w:i w:val="1"/>
          <w:iCs w:val="1"/>
          <w:color w:val="auto"/>
        </w:rPr>
        <w:t>Employee Benefits entitled Defined Benefit Plans: Employee Contributions</w:t>
      </w:r>
      <w:r>
        <w:rPr>
          <w:rFonts w:ascii="Arial" w:cs="Arial" w:eastAsia="Arial" w:hAnsi="Arial"/>
          <w:sz w:val="18"/>
          <w:szCs w:val="18"/>
          <w:color w:val="auto"/>
        </w:rPr>
        <w:t>—</w:t>
      </w:r>
      <w:r>
        <w:rPr>
          <w:rFonts w:ascii="Arial" w:cs="Arial" w:eastAsia="Arial" w:hAnsi="Arial"/>
          <w:sz w:val="18"/>
          <w:szCs w:val="18"/>
          <w:i w:val="1"/>
          <w:iCs w:val="1"/>
          <w:color w:val="auto"/>
        </w:rPr>
        <w:t>Amendments to IAS 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32 </w:t>
      </w:r>
      <w:r>
        <w:rPr>
          <w:rFonts w:ascii="Arial" w:cs="Arial" w:eastAsia="Arial" w:hAnsi="Arial"/>
          <w:sz w:val="18"/>
          <w:szCs w:val="18"/>
          <w:i w:val="1"/>
          <w:iCs w:val="1"/>
          <w:color w:val="auto"/>
        </w:rPr>
        <w:t>Offsetting Financial Assets and Financial Liabilities—Amendments to IAS 32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36 </w:t>
      </w:r>
      <w:r>
        <w:rPr>
          <w:rFonts w:ascii="Arial" w:cs="Arial" w:eastAsia="Arial" w:hAnsi="Arial"/>
          <w:sz w:val="18"/>
          <w:szCs w:val="18"/>
          <w:i w:val="1"/>
          <w:iCs w:val="1"/>
          <w:color w:val="auto"/>
        </w:rPr>
        <w:t>Recoverable Amount Disclosures for Non-Financial Assets—Amendments to IAS 36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IAS 39 </w:t>
      </w:r>
      <w:r>
        <w:rPr>
          <w:rFonts w:ascii="Arial" w:cs="Arial" w:eastAsia="Arial" w:hAnsi="Arial"/>
          <w:sz w:val="18"/>
          <w:szCs w:val="18"/>
          <w:i w:val="1"/>
          <w:iCs w:val="1"/>
          <w:color w:val="auto"/>
        </w:rPr>
        <w:t>Novation of Derivatives and Continuation of Hedge Accounting—Amendments to IAS 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IFRIC 21 </w:t>
      </w:r>
      <w:r>
        <w:rPr>
          <w:rFonts w:ascii="Arial" w:cs="Arial" w:eastAsia="Arial" w:hAnsi="Arial"/>
          <w:sz w:val="18"/>
          <w:szCs w:val="18"/>
          <w:i w:val="1"/>
          <w:iCs w:val="1"/>
          <w:color w:val="auto"/>
        </w:rPr>
        <w:t>Levies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Annual improvements (Dec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well as several other amendments from the annual improvement project of IFRS.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July 1, 2014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check which ones are applicable for disclosure</w:t>
            </w: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IFRS 9 Financial instruments</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 2009 to</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Effective Jan 1, 2018 with early adoption allowed</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Accounting for Acquisitions of Interests in Joint Operations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IFRS 11)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9"/>
              </w:rPr>
              <w:t>Clarification of Acceptable Methods of Depreciation and</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Amortization (Amendments to IAS 16 and IAS 38)</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2017.</w:t>
            </w:r>
          </w:p>
        </w:tc>
        <w:tc>
          <w:tcPr>
            <w:tcW w:w="1600" w:type="dxa"/>
            <w:vAlign w:val="bottom"/>
          </w:tcPr>
          <w:p>
            <w:pPr>
              <w:spacing w:after="0"/>
              <w:rPr>
                <w:sz w:val="20"/>
                <w:szCs w:val="20"/>
                <w:color w:val="auto"/>
              </w:rPr>
            </w:pPr>
            <w:r>
              <w:rPr>
                <w:rFonts w:ascii="Arial" w:cs="Arial" w:eastAsia="Arial" w:hAnsi="Arial"/>
                <w:sz w:val="18"/>
                <w:szCs w:val="18"/>
                <w:color w:val="auto"/>
              </w:rPr>
              <w:t>Jan 1, 2017</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Note: IASB has proposed 1 year deferral</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F-25</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check which ones are applicable for disclosure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290"/>
        </w:trPr>
        <w:tc>
          <w:tcPr>
            <w:tcW w:w="438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Aug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6"/>
              </w:rPr>
              <w:t>Associate or Joint Venture (Amendments to IFRS 10 and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Investment Entities: Applying the Consolidation Exception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IFRS 10, IFRS 12 and 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intangible assets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1,571</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117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1,815</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891</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2014</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Net book value December 31, 2013</w:t>
            </w:r>
          </w:p>
        </w:tc>
        <w:tc>
          <w:tcPr>
            <w:tcW w:w="17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F-26</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Security deposit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 receivable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2015.</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70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Swiss VAT</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70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6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0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6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76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CHF</w:t>
            </w: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1.21463 and 0.99879,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2014, the issued share capital amounting to CHF 853,900 is comprised of 170,780 shares. The table below summarizes the capital structure: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3260" w:type="dxa"/>
            <w:vAlign w:val="bottom"/>
            <w:gridSpan w:val="11"/>
          </w:tcPr>
          <w:p>
            <w:pPr>
              <w:ind w:left="5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724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80" w:type="dxa"/>
            <w:vAlign w:val="bottom"/>
          </w:tcPr>
          <w:p>
            <w:pPr>
              <w:spacing w:after="0"/>
              <w:rPr>
                <w:sz w:val="12"/>
                <w:szCs w:val="12"/>
                <w:color w:val="auto"/>
              </w:rPr>
            </w:pPr>
          </w:p>
        </w:tc>
        <w:tc>
          <w:tcPr>
            <w:tcW w:w="9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5 each</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172,660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70,760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335,650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335,650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192,380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192,380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16,490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41,225</w:t>
            </w:r>
          </w:p>
        </w:tc>
      </w:tr>
      <w:tr>
        <w:trPr>
          <w:trHeight w:val="223"/>
        </w:trPr>
        <w:tc>
          <w:tcPr>
            <w:tcW w:w="7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170,780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853,900</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162,450</w:t>
            </w:r>
          </w:p>
        </w:tc>
        <w:tc>
          <w:tcPr>
            <w:tcW w:w="1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812,250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Common and Preferred Shares have a nominal value of CHF 5 and are fully paid in. In a liquidation or winding up event (including trade sale), Preferred A, B, C and D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2,910 registered Common Shares with a par value of CHF 5.-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December 13, 2013, the Company successfully completed a financing round of CHF 20 million. The share price of the round was CHF 1,212.90 for each of the 16,490 Series D Preferred Shares (8,245 issued immediately in December 2013 and 8,245 as authorized capital subscribed in May 2014).</w:t>
      </w: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Accrued R&amp;D costs</w:t>
            </w:r>
          </w:p>
        </w:tc>
        <w:tc>
          <w:tcPr>
            <w:tcW w:w="900" w:type="dxa"/>
            <w:vAlign w:val="bottom"/>
          </w:tcPr>
          <w:p>
            <w:pPr>
              <w:jc w:val="right"/>
              <w:spacing w:after="0"/>
              <w:rPr>
                <w:sz w:val="20"/>
                <w:szCs w:val="20"/>
                <w:color w:val="auto"/>
              </w:rPr>
            </w:pPr>
            <w:r>
              <w:rPr>
                <w:rFonts w:ascii="Arial" w:cs="Arial" w:eastAsia="Arial" w:hAnsi="Arial"/>
                <w:sz w:val="18"/>
                <w:szCs w:val="18"/>
                <w:color w:val="auto"/>
              </w:rPr>
              <w:t>712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An accrual of CHF 947 thousand and CHF 568 thousand was recognized for performance-related remuneration relating to 2014 and 2013, respectively. F-28</w:t>
      </w:r>
    </w:p>
    <w:p>
      <w:pPr>
        <w:sectPr>
          <w:pgSz w:w="11900" w:h="16838" w:orient="portrait"/>
          <w:cols w:equalWidth="0" w:num="1">
            <w:col w:w="11340"/>
          </w:cols>
          <w:pgMar w:left="240" w:top="459" w:right="3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As of December 31, 2014, the remaining CHF 205 thousand is recorded as a current liability in deferred income.</w:t>
      </w:r>
    </w:p>
    <w:p>
      <w:pPr>
        <w:spacing w:after="0" w:line="31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0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0"/>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30,179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30,269</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2006 with Genentech</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recently announced it intends to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18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Under the agreement with Genentech, we may become eligible to receive payments totaling up to approximately $340 million, excluding royalties. As at August 25, 2015 we have received total payments of $65 million (CHF 70.1 million): $40 million (CHF 45.8 million) were received in three milestone payments prior to 2013 and $25 million (CHF 24.3 million) were received in the subsequent period in July 2015.</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will recognize the Phase 3 payment in our third quarter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 date we have received payments totaling CHF 31 million including a subsequent CHF 14 million milestone payment received in the second quarter of 2015 associated with the recent selection of the lead candidate to be taken forward into Phase 1 clinical studies. Genentech also announced it intends to commence Phase 1 clinical studies for this product candidate in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Janssen Pharmaceuticals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The agreement also allows for the collaboration to be expanded to a second indication based on the same anti-tau vaccine program and intellectual property related to this program.</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2013 and 2014, we recognized revenue associated with a research grant given to us by a European Institution in October of 2011 and which had a 3-year duration. We recognized the revenues on a straight line basis over the period of the grant.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5,669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16,116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w:t>
            </w: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(three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250 and zero options were granted in 2014 and 2013, respectively, to the Executive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205 and zero options were granted in 2014 and 2013, respectively, to the Directors of the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360" w:type="dxa"/>
            <w:vAlign w:val="bottom"/>
            <w:tcBorders>
              <w:top w:val="single" w:sz="8" w:color="auto"/>
            </w:tcBorders>
            <w:gridSpan w:val="5"/>
          </w:tcPr>
          <w:p>
            <w:pPr>
              <w:ind w:left="9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180" w:type="dxa"/>
            <w:vAlign w:val="bottom"/>
            <w:gridSpan w:val="3"/>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10,744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(11,243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(2013: 0%)</w:t>
            </w:r>
          </w:p>
        </w:tc>
        <w:tc>
          <w:tcPr>
            <w:tcW w:w="4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4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2014 and 2013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 to tax loss carry-forward expiring by the end of 2014 since they will expire within the tax holiday period and also because of a forecasted effective tax rate of nil. It has also not recognized any deferred tax asset relating to tax loss carry-forward expiring after the tax holiday since the criteria for recognition are not met.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is no income tax recognized directly in equity or in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tcBorders>
              <w:bottom w:val="single" w:sz="8" w:color="CCEEFF"/>
            </w:tcBorders>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80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8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49,253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59,770</w:t>
            </w:r>
          </w:p>
        </w:tc>
        <w:tc>
          <w:tcPr>
            <w:tcW w:w="0" w:type="dxa"/>
            <w:vAlign w:val="bottom"/>
          </w:tcPr>
          <w:p>
            <w:pPr>
              <w:spacing w:after="0"/>
              <w:rPr>
                <w:sz w:val="1"/>
                <w:szCs w:val="1"/>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51,663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60,699</w:t>
            </w:r>
          </w:p>
        </w:tc>
        <w:tc>
          <w:tcPr>
            <w:tcW w:w="0" w:type="dxa"/>
            <w:vAlign w:val="bottom"/>
          </w:tcPr>
          <w:p>
            <w:pPr>
              <w:spacing w:after="0"/>
              <w:rPr>
                <w:sz w:val="1"/>
                <w:szCs w:val="1"/>
                <w:color w:val="auto"/>
              </w:rPr>
            </w:pPr>
          </w:p>
        </w:tc>
      </w:tr>
      <w:tr>
        <w:trPr>
          <w:trHeight w:val="372"/>
        </w:trPr>
        <w:tc>
          <w:tcPr>
            <w:tcW w:w="9800" w:type="dxa"/>
            <w:vAlign w:val="bottom"/>
          </w:tcPr>
          <w:p>
            <w:pPr>
              <w:ind w:left="554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2014</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2016</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2018</w:t>
            </w:r>
          </w:p>
        </w:tc>
        <w:tc>
          <w:tcPr>
            <w:tcW w:w="600" w:type="dxa"/>
            <w:vAlign w:val="bottom"/>
          </w:tcPr>
          <w:p>
            <w:pPr>
              <w:jc w:val="right"/>
              <w:spacing w:after="0"/>
              <w:rPr>
                <w:sz w:val="20"/>
                <w:szCs w:val="20"/>
                <w:color w:val="auto"/>
              </w:rPr>
            </w:pPr>
            <w:r>
              <w:rPr>
                <w:rFonts w:ascii="Arial" w:cs="Arial" w:eastAsia="Arial" w:hAnsi="Arial"/>
                <w:sz w:val="18"/>
                <w:szCs w:val="18"/>
                <w:color w:val="auto"/>
              </w:rPr>
              <w:t>10,388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2020</w:t>
            </w:r>
          </w:p>
        </w:tc>
        <w:tc>
          <w:tcPr>
            <w:tcW w:w="600" w:type="dxa"/>
            <w:vAlign w:val="bottom"/>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4"/>
        </w:trPr>
        <w:tc>
          <w:tcPr>
            <w:tcW w:w="69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49,253</w:t>
            </w:r>
          </w:p>
        </w:tc>
        <w:tc>
          <w:tcPr>
            <w:tcW w:w="4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59,770</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10.5 million, representing the amount of tax losses that would have been used as an offset if the negotiated tax holiday had not enabled the Company to pay no taxes during 2014.</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Consistent with prior years, the Company has not recorded any deferred tax assets in relation to the past tax losses available for offset against future profits as the recognition criteria have not been met at the last annual balance sheet date. The criteria are not expected to be met at the next annual balance sheet date.</w:t>
      </w:r>
    </w:p>
    <w:p>
      <w:pPr>
        <w:spacing w:after="0" w:line="268"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Apart from the social security plans fixed by the law, the Company maintains one independent pension plan covering all of its employees including its executive officers. In addition to retirement benefits, the plan provides death or long-term disability benefits to its employees.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Benefits under the plan are principally based on contributions, computed as a percentage of salary, adjusted for the age of the employee and shared approximately 46% and 54% by employee and employer, respectively. 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employment laws, which require final salary payments to be adjusted for the consumer price index once in payment during retirement. The defined benefit pension plan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year, the Board of Trustees reviews the level of funding in the pension plan as required by Swiss employment legislation. Such a review includes the asset-liability matching strategy and investment risk management policy. The Board of Trustees decides its contribution based on the results of this annual review. Generally, it aims to have a portfolio mix of a combined 40% in equity and property and 60% in debt instruments. Swiss employment practice recommends the Company to clear any plan deficit (based on a valuation performed in accordance with Swiss Employment Law) over a period of no more than 5 years after the period in which the deficit arises.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pension plan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the pension liability is adjusted to consumer price index, the pension plan is exposed to Swiss inflation, interest rate risks and changes in the life expectancy for pensioners.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(8,091)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(6,044)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5,681</w:t>
            </w:r>
          </w:p>
        </w:tc>
        <w:tc>
          <w:tcPr>
            <w:tcW w:w="5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Net pension cost</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(6,044)</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(521)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32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Defined benefit obligation as of December 31</w:t>
            </w:r>
          </w:p>
        </w:tc>
        <w:tc>
          <w:tcPr>
            <w:tcW w:w="3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(8,091)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(6,044)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F-34</w:t>
            </w: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Actuarial gain / (loss)</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shd w:val="clear" w:color="auto" w:fill="CCEEFF"/>
          </w:tcPr>
          <w:p>
            <w:pPr>
              <w:spacing w:after="0"/>
              <w:rPr>
                <w:sz w:val="18"/>
                <w:szCs w:val="18"/>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w w:val="97"/>
              </w:rPr>
              <w:t>Employer’s contribution to the pension plan for the financial year 2015 are estimated to be CHF 401 thousand.</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pension cost through Income Statement</w:t>
            </w: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31 December</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major categories of plan assets held by the separately administrated fund, of which the Company’s pension plan assets form a part, are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For the Years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Bonds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45,577</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41,976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106,851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Real estate and mortgages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19,479</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19,670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178,699</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166,907</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plan assets above is the cash surrender value of the insurance with AXA.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strategy defined by the Board of trustees follows a conservative profile.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the real estate and mortgages.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2014 and 2013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386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3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2060" w:type="dxa"/>
            <w:vAlign w:val="bottom"/>
          </w:tcPr>
          <w:p>
            <w:pPr>
              <w:spacing w:after="0"/>
              <w:rPr>
                <w:sz w:val="20"/>
                <w:szCs w:val="2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r>
        <w:trPr>
          <w:trHeight w:val="350"/>
        </w:trPr>
        <w:tc>
          <w:tcPr>
            <w:tcW w:w="3600" w:type="dxa"/>
            <w:vAlign w:val="bottom"/>
          </w:tcPr>
          <w:p>
            <w:pPr>
              <w:spacing w:after="0"/>
              <w:rPr>
                <w:sz w:val="24"/>
                <w:szCs w:val="24"/>
                <w:color w:val="auto"/>
              </w:rPr>
            </w:pPr>
          </w:p>
        </w:tc>
        <w:tc>
          <w:tcPr>
            <w:tcW w:w="3860" w:type="dxa"/>
            <w:vAlign w:val="bottom"/>
            <w:gridSpan w:val="3"/>
          </w:tcPr>
          <w:p>
            <w:pPr>
              <w:jc w:val="right"/>
              <w:ind w:right="2960"/>
              <w:spacing w:after="0"/>
              <w:rPr>
                <w:sz w:val="20"/>
                <w:szCs w:val="20"/>
                <w:color w:val="auto"/>
              </w:rPr>
            </w:pPr>
            <w:r>
              <w:rPr>
                <w:rFonts w:ascii="Arial" w:cs="Arial" w:eastAsia="Arial" w:hAnsi="Arial"/>
                <w:sz w:val="18"/>
                <w:szCs w:val="18"/>
                <w:color w:val="auto"/>
              </w:rPr>
              <w:t>F-35</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at December 31, 2014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760" w:type="dxa"/>
            <w:vAlign w:val="bottom"/>
            <w:gridSpan w:val="4"/>
            <w:vMerge w:val="restart"/>
          </w:tcPr>
          <w:p>
            <w:pPr>
              <w:jc w:val="right"/>
              <w:ind w:right="122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76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80" w:type="dxa"/>
            <w:vAlign w:val="bottom"/>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5%</w:t>
            </w:r>
            <w:r>
              <w:rPr>
                <w:rFonts w:ascii="Arial" w:cs="Arial" w:eastAsia="Arial" w:hAnsi="Arial"/>
                <w:sz w:val="14"/>
                <w:szCs w:val="14"/>
                <w:color w:val="auto"/>
              </w:rPr>
              <w:t xml:space="preserve"> increase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7"/>
              </w:rPr>
              <w:t>-0.5% decrease</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783</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6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60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Stock</w:t>
            </w:r>
          </w:p>
        </w:tc>
        <w:tc>
          <w:tcPr>
            <w:tcW w:w="4220" w:type="dxa"/>
            <w:vAlign w:val="bottom"/>
          </w:tcPr>
          <w:p>
            <w:pPr>
              <w:ind w:left="80"/>
              <w:spacing w:after="0" w:line="195" w:lineRule="exact"/>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 years’ service from grant date</w:t>
            </w:r>
          </w:p>
        </w:tc>
        <w:tc>
          <w:tcPr>
            <w:tcW w:w="4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3,276</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C1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23,683</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6"/>
                <w:szCs w:val="16"/>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Term (Y)</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(156)</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920</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16,026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55.30</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range of exercise prices for outstanding options was CHF 36.37 to CHF 232.97 as of December 31, 2014 and 2013.</w:t>
      </w:r>
    </w:p>
    <w:p>
      <w:pPr>
        <w:spacing w:after="0" w:line="22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fair values of the options granted in 2014 and 2013 are CHF 192.61 and CHF 171.53, respectively. These fair values have been determined using the Black-Scholes model and an exercise price of CHF 36.37 (2013: CHF 36.37), a spot price of CHF 225.67 (2013: CHF 203.80), a risk-free interest rate of 0.232% (2013: 0.453%) and a volatility of 50% (2013: 50%) with an expected duration of 6 years (2013: 6 years).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2014 is CHF 225.67 (2013: CHF 203.80).</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2014 amounts to CHF 211 thousand (2013: CHF 256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2014, external research projects for CHF 3.1 million were committed for 2015. Rental contract for laboratory and offices space at the EPFL Innovation Park in Ecublens/Lausanne can be cancelled within a 6 month notice period. As of December 31, 2014, rental contracts for CHF 169 thousand were committed for 2015.</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Income / (loss)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owners of the Company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income / (loss) for the period attributable to equity 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Fully diluted, income / (loss) for the period attributable to equity 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58.96</w:t>
            </w:r>
          </w:p>
        </w:tc>
        <w:tc>
          <w:tcPr>
            <w:tcW w:w="4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number of shares used to compute earnings / (loss) per share, basic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170,739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8"/>
              </w:rPr>
              <w:t>Weighted-average number of shares used to compute earnings / (loss) per share, fully</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182,210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170,758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2014 and 2013 basic and diluted loss per share is based on the weighted average number of shares issued and outstanding.</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20"/>
          </w:cols>
          <w:pgMar w:left="24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if the CHF had strengthened/weakened by 10% against the EUR and the USD with all other variables held constant, the net loss for the period would have been lower/higher by CHF 25 thousand (2013: CHF 22 thousand), mainly as a result of foreign exchange gains/losses on transaction of EUR/USD denominated assets and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8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current cash position and the upfront fee subsequently received on February 6, 2015 from Janssen for the anti-p-tau vaccine program in AD (ACI-35), the Company is well financed until the end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For the Years Ended December 31,</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8"/>
              </w:rPr>
              <w:t>Less than 3</w:t>
            </w:r>
          </w:p>
        </w:tc>
        <w:tc>
          <w:tcPr>
            <w:tcW w:w="7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8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Less than 3</w:t>
            </w:r>
          </w:p>
        </w:tc>
        <w:tc>
          <w:tcPr>
            <w:tcW w:w="6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7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 and</w:t>
            </w:r>
          </w:p>
        </w:tc>
        <w:tc>
          <w:tcPr>
            <w:tcW w:w="8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months and</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6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1 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AD.</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that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upfront payment received from Janssen for the anti-p-tau vaccine program in AD (ACI-35) was recognized at signature on December 24, 2014 and the further co-development cost for Phase 1b and related manufacturing cost will be equally shared between both partners. The milestone payment amounting to CHF 25.9 million has been booked on February 6, 2015.</w:t>
      </w:r>
    </w:p>
    <w:p>
      <w:pPr>
        <w:spacing w:after="0" w:line="181"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June 2015, we received a CHF 14 million milestone payment related to our anti-tau antibody program which we have partnered with Roche/Genentech. Genentech also announced that it intends to move the lead compound into Phase 1 clinical studies in 2016. In July 2015, Roche/Genentech announced that they intend to commence Phase 3 clinical studies for crenezumab in early 2016. The decision to move crenezumab into Phase 3 clinical studies triggered a $25 million (CHF 24.3 million) milestone payment which AC Immune received in August 2015.</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59" w:right="3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2015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will be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November 2,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September 30, 2012 through September 30, 2015, the registrant issued options to purchase 543,500 shares of its common stock to its employees with an exercise price of CHF 0.14548 per share.</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September 30, 2012 through September 30, 2015, a total of 146,750 options were exercised by the registrant’s employees at an exercise price of CHF 0.14548 for aggregate consideration of CHF 21,349.</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the city of Lausanne, Switzerland on</w:t>
            </w:r>
          </w:p>
        </w:tc>
        <w:tc>
          <w:tcPr>
            <w:tcW w:w="4020" w:type="dxa"/>
            <w:vAlign w:val="bottom"/>
          </w:tcPr>
          <w:p>
            <w:pPr>
              <w:jc w:val="right"/>
              <w:ind w:right="2950"/>
              <w:spacing w:after="0"/>
              <w:rPr>
                <w:sz w:val="20"/>
                <w:szCs w:val="20"/>
                <w:color w:val="auto"/>
              </w:rPr>
            </w:pPr>
            <w:r>
              <w:rPr>
                <w:rFonts w:ascii="Arial" w:cs="Arial" w:eastAsia="Arial" w:hAnsi="Arial"/>
                <w:sz w:val="18"/>
                <w:szCs w:val="18"/>
                <w:color w:val="auto"/>
              </w:rPr>
              <w:t>, 2015.</w:t>
            </w: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45"/>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rPr>
              <w:t>By:</w:t>
            </w:r>
          </w:p>
        </w:tc>
        <w:tc>
          <w:tcPr>
            <w:tcW w:w="3240" w:type="dxa"/>
            <w:vAlign w:val="bottom"/>
          </w:tcPr>
          <w:p>
            <w:pPr>
              <w:spacing w:after="0"/>
              <w:rPr>
                <w:sz w:val="24"/>
                <w:szCs w:val="24"/>
                <w:color w:val="auto"/>
              </w:rPr>
            </w:pPr>
          </w:p>
        </w:tc>
      </w:tr>
      <w:tr>
        <w:trPr>
          <w:trHeight w:val="209"/>
        </w:trPr>
        <w:tc>
          <w:tcPr>
            <w:tcW w:w="3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3300" w:type="dxa"/>
            <w:vAlign w:val="bottom"/>
          </w:tcPr>
          <w:p>
            <w:pPr>
              <w:spacing w:after="0"/>
              <w:rPr>
                <w:sz w:val="20"/>
                <w:szCs w:val="20"/>
                <w:color w:val="auto"/>
              </w:rPr>
            </w:pPr>
          </w:p>
        </w:tc>
        <w:tc>
          <w:tcPr>
            <w:tcW w:w="4880" w:type="dxa"/>
            <w:vAlign w:val="bottom"/>
            <w:gridSpan w:val="2"/>
          </w:tcPr>
          <w:p>
            <w:pPr>
              <w:ind w:left="4020"/>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65"/>
        </w:trPr>
        <w:tc>
          <w:tcPr>
            <w:tcW w:w="3300" w:type="dxa"/>
            <w:vAlign w:val="bottom"/>
          </w:tcPr>
          <w:p>
            <w:pPr>
              <w:spacing w:after="0"/>
              <w:rPr>
                <w:sz w:val="24"/>
                <w:szCs w:val="24"/>
                <w:color w:val="auto"/>
              </w:rPr>
            </w:pPr>
          </w:p>
        </w:tc>
        <w:tc>
          <w:tcPr>
            <w:tcW w:w="4880" w:type="dxa"/>
            <w:vAlign w:val="bottom"/>
            <w:gridSpan w:val="2"/>
          </w:tcPr>
          <w:p>
            <w:pPr>
              <w:ind w:left="2280"/>
              <w:spacing w:after="0"/>
              <w:rPr>
                <w:sz w:val="20"/>
                <w:szCs w:val="20"/>
                <w:color w:val="auto"/>
              </w:rPr>
            </w:pPr>
            <w:r>
              <w:rPr>
                <w:rFonts w:ascii="Arial" w:cs="Arial" w:eastAsia="Arial" w:hAnsi="Arial"/>
                <w:sz w:val="18"/>
                <w:szCs w:val="18"/>
                <w:color w:val="auto"/>
              </w:rPr>
              <w:t>II-3</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George Pavey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6" w:lineRule="exact"/>
        <w:rPr>
          <w:sz w:val="20"/>
          <w:szCs w:val="20"/>
          <w:color w:val="auto"/>
        </w:rPr>
      </w:pPr>
    </w:p>
    <w:p>
      <w:pPr>
        <w:ind w:left="900" w:right="620" w:hanging="44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2015 in the capacities indicated:</w:t>
      </w:r>
    </w:p>
    <w:p>
      <w:pPr>
        <w:spacing w:after="0" w:line="189"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Andrea Pfeifer</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George Pavey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Jean-Fabien Monin</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Martin Velasco</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Hans-Beat Gürtler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Detlev Riesner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Matthias Hothum</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Friedrich von Bohlen und Halbach</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Colleen A. DeVries</w:t>
      </w:r>
    </w:p>
    <w:p>
      <w:pPr>
        <w:spacing w:after="0" w:line="9"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SVP of National Corporate Research, Ltd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4"/>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7"/>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Fidelity entities and AC Immune SA, dated October 16, 2015</w:t>
            </w:r>
          </w:p>
        </w:tc>
      </w:tr>
      <w:tr>
        <w:trPr>
          <w:trHeight w:val="338"/>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Temasek entities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600" w:type="dxa"/>
            <w:vAlign w:val="bottom"/>
          </w:tcPr>
          <w:p>
            <w:pPr>
              <w:ind w:left="5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99.1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Peter Bollmann, as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880" w:firstLine="8"/>
        <w:spacing w:after="0" w:line="291" w:lineRule="auto"/>
        <w:tabs>
          <w:tab w:leader="none" w:pos="44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be filed by amendment. ** Previously submitted.</w:t>
      </w:r>
    </w:p>
    <w:p>
      <w:pPr>
        <w:ind w:left="460" w:hanging="446"/>
        <w:spacing w:after="0" w:line="261" w:lineRule="auto"/>
        <w:rPr>
          <w:rFonts w:ascii="Arial" w:cs="Arial" w:eastAsia="Arial" w:hAnsi="Arial"/>
          <w:sz w:val="16"/>
          <w:szCs w:val="16"/>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United States Securities and Exchange Commission.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60"/>
          </w:cols>
          <w:pgMar w:left="240" w:top="460" w:right="39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160" w:firstLine="464"/>
        <w:spacing w:after="0" w:line="256" w:lineRule="auto"/>
        <w:tabs>
          <w:tab w:leader="none" w:pos="63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Introductory</w:t>
      </w:r>
      <w:r>
        <w:rPr>
          <w:rFonts w:ascii="Arial" w:cs="Arial" w:eastAsia="Arial" w:hAnsi="Arial"/>
          <w:sz w:val="18"/>
          <w:szCs w:val="18"/>
          <w:color w:val="auto"/>
        </w:rPr>
        <w:t>. AC Immune SA, a company established in Switzerland (the “</w:t>
      </w:r>
      <w:r>
        <w:rPr>
          <w:rFonts w:ascii="Arial" w:cs="Arial" w:eastAsia="Arial" w:hAnsi="Arial"/>
          <w:sz w:val="18"/>
          <w:szCs w:val="18"/>
          <w:b w:val="1"/>
          <w:bCs w:val="1"/>
          <w:color w:val="auto"/>
        </w:rPr>
        <w:t>Company</w:t>
      </w:r>
      <w:r>
        <w:rPr>
          <w:rFonts w:ascii="Arial" w:cs="Arial" w:eastAsia="Arial" w:hAnsi="Arial"/>
          <w:sz w:val="18"/>
          <w:szCs w:val="18"/>
          <w:color w:val="auto"/>
        </w:rPr>
        <w:t>”), agrees with the several Underwriters named in 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Credit Suisse Securities (USA) LLC (“</w:t>
      </w:r>
      <w:r>
        <w:rPr>
          <w:rFonts w:ascii="Arial" w:cs="Arial" w:eastAsia="Arial" w:hAnsi="Arial"/>
          <w:sz w:val="18"/>
          <w:szCs w:val="18"/>
          <w:b w:val="1"/>
          <w:bCs w:val="1"/>
          <w:color w:val="auto"/>
        </w:rPr>
        <w:t>Credit Suisse</w:t>
      </w:r>
      <w:r>
        <w:rPr>
          <w:rFonts w:ascii="Arial" w:cs="Arial" w:eastAsia="Arial" w:hAnsi="Arial"/>
          <w:sz w:val="18"/>
          <w:szCs w:val="18"/>
          <w:color w:val="auto"/>
        </w:rPr>
        <w:t>”),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Leerink Partners LLC (“</w:t>
      </w:r>
      <w:r>
        <w:rPr>
          <w:rFonts w:ascii="Arial" w:cs="Arial" w:eastAsia="Arial" w:hAnsi="Arial"/>
          <w:sz w:val="18"/>
          <w:szCs w:val="18"/>
          <w:b w:val="1"/>
          <w:bCs w:val="1"/>
          <w:color w:val="auto"/>
        </w:rPr>
        <w:t>Leerink</w:t>
      </w:r>
      <w:r>
        <w:rPr>
          <w:rFonts w:ascii="Arial" w:cs="Arial" w:eastAsia="Arial" w:hAnsi="Arial"/>
          <w:sz w:val="18"/>
          <w:szCs w:val="18"/>
          <w:color w:val="auto"/>
        </w:rPr>
        <w:t>”) are acting as representatives, to issue and sell to the several Underwriters [•] shares (the “</w:t>
      </w:r>
      <w:r>
        <w:rPr>
          <w:rFonts w:ascii="Arial" w:cs="Arial" w:eastAsia="Arial" w:hAnsi="Arial"/>
          <w:sz w:val="18"/>
          <w:szCs w:val="18"/>
          <w:b w:val="1"/>
          <w:bCs w:val="1"/>
          <w:color w:val="auto"/>
        </w:rPr>
        <w:t>Firm Securities</w:t>
      </w:r>
      <w:r>
        <w:rPr>
          <w:rFonts w:ascii="Arial" w:cs="Arial" w:eastAsia="Arial" w:hAnsi="Arial"/>
          <w:sz w:val="18"/>
          <w:szCs w:val="18"/>
          <w:color w:val="auto"/>
        </w:rPr>
        <w:t>”) of its Common Shares, nominal value CHF 0.02 per share (“</w:t>
      </w:r>
      <w:r>
        <w:rPr>
          <w:rFonts w:ascii="Arial" w:cs="Arial" w:eastAsia="Arial" w:hAnsi="Arial"/>
          <w:sz w:val="18"/>
          <w:szCs w:val="18"/>
          <w:b w:val="1"/>
          <w:bCs w:val="1"/>
          <w:color w:val="auto"/>
        </w:rPr>
        <w:t>Securities</w:t>
      </w:r>
      <w:r>
        <w:rPr>
          <w:rFonts w:ascii="Arial" w:cs="Arial" w:eastAsia="Arial" w:hAnsi="Arial"/>
          <w:sz w:val="18"/>
          <w:szCs w:val="18"/>
          <w:color w:val="auto"/>
        </w:rPr>
        <w:t>”) and also proposes to issue and sell to the Underwriters, at the option of the Underwriters, an aggregate of not more than [•] additional shares (the “</w:t>
      </w:r>
      <w:r>
        <w:rPr>
          <w:rFonts w:ascii="Arial" w:cs="Arial" w:eastAsia="Arial" w:hAnsi="Arial"/>
          <w:sz w:val="18"/>
          <w:szCs w:val="18"/>
          <w:b w:val="1"/>
          <w:bCs w:val="1"/>
          <w:color w:val="auto"/>
        </w:rPr>
        <w:t>Optional Securities</w:t>
      </w:r>
      <w:r>
        <w:rPr>
          <w:rFonts w:ascii="Arial" w:cs="Arial" w:eastAsia="Arial" w:hAnsi="Arial"/>
          <w:sz w:val="18"/>
          <w:szCs w:val="18"/>
          <w:color w:val="auto"/>
        </w:rPr>
        <w:t>”) of its Securities as set forth below. The Firm Securities and the Optional Securities are herein collectively called the “</w:t>
      </w:r>
      <w:r>
        <w:rPr>
          <w:rFonts w:ascii="Arial" w:cs="Arial" w:eastAsia="Arial" w:hAnsi="Arial"/>
          <w:sz w:val="18"/>
          <w:szCs w:val="18"/>
          <w:b w:val="1"/>
          <w:bCs w:val="1"/>
          <w:color w:val="auto"/>
        </w:rPr>
        <w:t>Offered Securities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640" w:hanging="176"/>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the several Underwriters that:</w:t>
      </w:r>
    </w:p>
    <w:p>
      <w:pPr>
        <w:spacing w:after="0" w:line="236" w:lineRule="exact"/>
        <w:rPr>
          <w:rFonts w:ascii="Arial" w:cs="Arial" w:eastAsia="Arial" w:hAnsi="Arial"/>
          <w:sz w:val="17"/>
          <w:szCs w:val="17"/>
          <w:color w:val="auto"/>
        </w:rPr>
      </w:pPr>
    </w:p>
    <w:p>
      <w:pPr>
        <w:ind w:left="460" w:right="100" w:firstLine="443"/>
        <w:spacing w:after="0" w:line="270" w:lineRule="auto"/>
        <w:tabs>
          <w:tab w:leader="none" w:pos="1143" w:val="left"/>
        </w:tabs>
        <w:numPr>
          <w:ilvl w:val="1"/>
          <w:numId w:val="155"/>
        </w:numPr>
        <w:rPr>
          <w:rFonts w:ascii="Arial" w:cs="Arial" w:eastAsia="Arial" w:hAnsi="Arial"/>
          <w:sz w:val="17"/>
          <w:szCs w:val="17"/>
          <w:color w:val="auto"/>
        </w:rPr>
      </w:pPr>
      <w:r>
        <w:rPr>
          <w:rFonts w:ascii="Arial" w:cs="Arial" w:eastAsia="Arial" w:hAnsi="Arial"/>
          <w:sz w:val="17"/>
          <w:szCs w:val="17"/>
          <w:i w:val="1"/>
          <w:iCs w:val="1"/>
          <w:color w:val="auto"/>
        </w:rPr>
        <w:t>Filing and Effectiveness of Registration Statement; Certain Defined Terms</w:t>
      </w:r>
      <w:r>
        <w:rPr>
          <w:rFonts w:ascii="Arial" w:cs="Arial" w:eastAsia="Arial" w:hAnsi="Arial"/>
          <w:sz w:val="17"/>
          <w:szCs w:val="17"/>
          <w:color w:val="auto"/>
        </w:rPr>
        <w:t>. The Company has filed with the Commission a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on Form F-1 (No. 333-[•]) covering the registration of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Arial" w:cs="Arial" w:eastAsia="Arial" w:hAnsi="Arial"/>
          <w:sz w:val="17"/>
          <w:szCs w:val="17"/>
          <w:b w:val="1"/>
          <w:bCs w:val="1"/>
          <w:color w:val="auto"/>
        </w:rPr>
        <w:t>Initial 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The Company may also have filed, or may file with the Commission, a Rule 462(b) registration statement covering the registration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Securities. At any particular time, this 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Arial" w:cs="Arial" w:eastAsia="Arial" w:hAnsi="Arial"/>
          <w:sz w:val="17"/>
          <w:szCs w:val="17"/>
          <w:b w:val="1"/>
          <w:bCs w:val="1"/>
          <w:color w:val="auto"/>
        </w:rPr>
        <w:t>Additional Registration Statement</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239" w:name="page240"/>
    <w:bookmarkEnd w:id="239"/>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time of execution and delivery of this Agreement, the Initial Registration Statement has been declared effective under the Act and is not proposed to be amended. Any Additional Registration Statement 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w:t>
      </w:r>
    </w:p>
    <w:p>
      <w:pPr>
        <w:spacing w:after="0" w:line="221"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430A Information</w:t>
      </w:r>
      <w:r>
        <w:rPr>
          <w:rFonts w:ascii="Arial" w:cs="Arial" w:eastAsia="Arial" w:hAnsi="Arial"/>
          <w:sz w:val="18"/>
          <w:szCs w:val="18"/>
          <w:color w:val="auto"/>
        </w:rPr>
        <w:t>”, with respect to any registration statement, means information included in a prospectus and retroactively deemed to be a part of such registration statement pursuant to Rule 430A(b).</w:t>
      </w:r>
    </w:p>
    <w:p>
      <w:pPr>
        <w:spacing w:after="0" w:line="162"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with respect to any registration statement, means information included in a prospectus then deemed to be a part of such registration statement pursuant to Rule 430C.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[•]:00 [a/p]m (New York time) on the date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Time</w:t>
      </w:r>
      <w:r>
        <w:rPr>
          <w:rFonts w:ascii="Arial" w:cs="Arial" w:eastAsia="Arial" w:hAnsi="Arial"/>
          <w:sz w:val="17"/>
          <w:szCs w:val="17"/>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7"/>
          <w:szCs w:val="17"/>
          <w:b w:val="1"/>
          <w:bCs w:val="1"/>
          <w:color w:val="auto"/>
        </w:rPr>
        <w:t>Effective Time</w:t>
      </w:r>
      <w:r>
        <w:rPr>
          <w:rFonts w:ascii="Arial" w:cs="Arial" w:eastAsia="Arial" w:hAnsi="Arial"/>
          <w:sz w:val="17"/>
          <w:szCs w:val="17"/>
          <w:color w:val="auto"/>
        </w:rPr>
        <w:t>” with respect to such Additional Registration Statement means the date and time as of which such Registration Statement is filed and becomes effective pursuant to Rule 462(b).</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430A Information and other final terms of the Offered Securities and otherwise satisfies Section 10(a) of the Act.</w:t>
      </w:r>
    </w:p>
    <w:p>
      <w:pPr>
        <w:spacing w:after="0" w:line="16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B to this Agreement.</w:t>
      </w:r>
    </w:p>
    <w:p>
      <w:pPr>
        <w:spacing w:after="0" w:line="162" w:lineRule="exact"/>
        <w:rPr>
          <w:sz w:val="20"/>
          <w:szCs w:val="20"/>
          <w:color w:val="auto"/>
        </w:rPr>
      </w:pPr>
    </w:p>
    <w:p>
      <w:pPr>
        <w:ind w:right="2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Limited Use Issuer Free Writing Prospectus</w:t>
      </w:r>
      <w:r>
        <w:rPr>
          <w:rFonts w:ascii="Arial" w:cs="Arial" w:eastAsia="Arial" w:hAnsi="Arial"/>
          <w:sz w:val="16"/>
          <w:szCs w:val="16"/>
          <w:color w:val="auto"/>
        </w:rPr>
        <w:t>” means any Issuer Free Writing Prospectus that is not a General Use Issuer Free Writing Prospectus.</w:t>
      </w:r>
    </w:p>
    <w:p>
      <w:pPr>
        <w:spacing w:after="0" w:line="24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The Initial Registration Statement and the Additional Registration Statement, if any, are referred to collectively as the “</w:t>
      </w:r>
      <w:r>
        <w:rPr>
          <w:rFonts w:ascii="Arial" w:cs="Arial" w:eastAsia="Arial" w:hAnsi="Arial"/>
          <w:sz w:val="18"/>
          <w:szCs w:val="18"/>
          <w:b w:val="1"/>
          <w:bCs w:val="1"/>
          <w:color w:val="auto"/>
        </w:rPr>
        <w:t>Registration Statements</w:t>
      </w:r>
      <w:r>
        <w:rPr>
          <w:rFonts w:ascii="Arial" w:cs="Arial" w:eastAsia="Arial" w:hAnsi="Arial"/>
          <w:sz w:val="18"/>
          <w:szCs w:val="18"/>
          <w:color w:val="auto"/>
        </w:rPr>
        <w:t>” and individually as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reference to a particular time means the Initial Registration Statement and any Additional Registration Statement as of such time.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0" w:name="page241"/>
    <w:bookmarkEnd w:id="2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Representatives</w:t>
      </w:r>
      <w:r>
        <w:rPr>
          <w:rFonts w:ascii="Arial" w:cs="Arial" w:eastAsia="Arial" w:hAnsi="Arial"/>
          <w:sz w:val="18"/>
          <w:szCs w:val="18"/>
          <w:color w:val="auto"/>
        </w:rPr>
        <w:t>” means Credit Suisse, Jefferies and Leerink.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225" w:lineRule="exact"/>
        <w:rPr>
          <w:sz w:val="20"/>
          <w:szCs w:val="20"/>
          <w:color w:val="auto"/>
        </w:rPr>
      </w:pPr>
    </w:p>
    <w:p>
      <w:pPr>
        <w:ind w:right="2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Laws</w:t>
      </w:r>
      <w:r>
        <w:rPr>
          <w:rFonts w:ascii="Arial" w:cs="Arial" w:eastAsia="Arial" w:hAnsi="Arial"/>
          <w:sz w:val="17"/>
          <w:szCs w:val="17"/>
          <w:color w:val="auto"/>
        </w:rPr>
        <w:t>” means, collectively, the Sarbanes-Oxley Act of 2002 (“</w:t>
      </w:r>
      <w:r>
        <w:rPr>
          <w:rFonts w:ascii="Arial" w:cs="Arial" w:eastAsia="Arial" w:hAnsi="Arial"/>
          <w:sz w:val="17"/>
          <w:szCs w:val="17"/>
          <w:b w:val="1"/>
          <w:bCs w:val="1"/>
          <w:color w:val="auto"/>
        </w:rPr>
        <w:t>Sarbanes-Oxley</w:t>
      </w:r>
      <w:r>
        <w:rPr>
          <w:rFonts w:ascii="Arial" w:cs="Arial" w:eastAsia="Arial" w:hAnsi="Arial"/>
          <w:sz w:val="17"/>
          <w:szCs w:val="17"/>
          <w:color w:val="auto"/>
        </w:rPr>
        <w:t>”), the Act, the Exchange Act, the Rules and Regulations, the auditing principles, rules, standards and practices applicable to auditors of “issuers” (as defined in Sarbanes-Oxley) promulgated or approved by the Public Company Accounting Oversight Board and the rules of the NASDAQ Global [Select] Market (“</w:t>
      </w:r>
      <w:r>
        <w:rPr>
          <w:rFonts w:ascii="Arial" w:cs="Arial" w:eastAsia="Arial" w:hAnsi="Arial"/>
          <w:sz w:val="17"/>
          <w:szCs w:val="17"/>
          <w:b w:val="1"/>
          <w:bCs w:val="1"/>
          <w:color w:val="auto"/>
        </w:rPr>
        <w:t>Exchange Rules</w:t>
      </w:r>
      <w:r>
        <w:rPr>
          <w:rFonts w:ascii="Arial" w:cs="Arial" w:eastAsia="Arial" w:hAnsi="Arial"/>
          <w:sz w:val="17"/>
          <w:szCs w:val="17"/>
          <w:color w:val="auto"/>
        </w:rPr>
        <w:t>”).</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with reference to a particular time means the prospectus included in a Registration Statement immediately prior to that time, including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117" w:lineRule="exact"/>
        <w:rPr>
          <w:sz w:val="20"/>
          <w:szCs w:val="20"/>
          <w:color w:val="auto"/>
        </w:rPr>
      </w:pPr>
    </w:p>
    <w:p>
      <w:pPr>
        <w:ind w:left="460" w:right="20" w:firstLine="443"/>
        <w:spacing w:after="0" w:line="284" w:lineRule="auto"/>
        <w:tabs>
          <w:tab w:leader="none" w:pos="1153"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Compliance with Act Requirements</w:t>
      </w:r>
      <w:r>
        <w:rPr>
          <w:rFonts w:ascii="Arial" w:cs="Arial" w:eastAsia="Arial" w:hAnsi="Arial"/>
          <w:sz w:val="16"/>
          <w:szCs w:val="16"/>
          <w:color w:val="auto"/>
        </w:rPr>
        <w:t>. (i) (A) At their respective Effective Times, (B) on the date of this Agreement and (C) on each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each of the Initial Registration Statement and the Additional Registration Statement (if any)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 respects to the requirements of the Act and the Rules and Regulations and will not include any untrue statement of a material fact or omit to state any material fact necessary in order to make the statements, in the light of the circumstances under which they were made, not misleading. Notwithstanding the foregoing, the preceding clauses</w:t>
      </w:r>
    </w:p>
    <w:p>
      <w:pPr>
        <w:spacing w:after="0" w:line="1" w:lineRule="exact"/>
        <w:rPr>
          <w:rFonts w:ascii="Arial" w:cs="Arial" w:eastAsia="Arial" w:hAnsi="Arial"/>
          <w:sz w:val="16"/>
          <w:szCs w:val="16"/>
          <w:color w:val="auto"/>
        </w:rPr>
      </w:pPr>
    </w:p>
    <w:p>
      <w:pPr>
        <w:ind w:left="460" w:right="120" w:firstLine="4"/>
        <w:spacing w:after="0" w:line="255" w:lineRule="auto"/>
        <w:tabs>
          <w:tab w:leader="none" w:pos="6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and (ii) shall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10(b) hereof.</w:t>
      </w:r>
    </w:p>
    <w:p>
      <w:pPr>
        <w:spacing w:after="0" w:line="82" w:lineRule="exact"/>
        <w:rPr>
          <w:rFonts w:ascii="Arial" w:cs="Arial" w:eastAsia="Arial" w:hAnsi="Arial"/>
          <w:sz w:val="18"/>
          <w:szCs w:val="18"/>
          <w:color w:val="auto"/>
        </w:rPr>
      </w:pPr>
    </w:p>
    <w:p>
      <w:pPr>
        <w:ind w:left="460" w:right="80" w:firstLine="443"/>
        <w:spacing w:after="0" w:line="255" w:lineRule="auto"/>
        <w:tabs>
          <w:tab w:leader="none" w:pos="1143"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time of the initial filing of the Initial Registration Statement and (ii) at the date of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was not and is not an “ineligible issuer,” as defined in Rule 405, including as a result of (x) the Company in the preceding three years having been convicted of a felony or misdemeanor or having been made the subject of a judicial or administrative decree or order as described in Rule 405, having been the subject of a bankruptcy petition or insolvency or similar proceeding or having had a registration statement be the subject of a proceeding under Section 8 of the Act or (y) the Company having been the subject of a proceeding under Section 8A of the Act in connection with the offering of the Offered Securities, all as described in Rule 405.</w:t>
      </w:r>
    </w:p>
    <w:p>
      <w:pPr>
        <w:spacing w:after="0" w:line="85" w:lineRule="exact"/>
        <w:rPr>
          <w:rFonts w:ascii="Arial" w:cs="Arial" w:eastAsia="Arial" w:hAnsi="Arial"/>
          <w:sz w:val="18"/>
          <w:szCs w:val="18"/>
          <w:color w:val="auto"/>
        </w:rPr>
      </w:pPr>
    </w:p>
    <w:p>
      <w:pPr>
        <w:jc w:val="both"/>
        <w:ind w:left="460" w:right="160" w:firstLine="443"/>
        <w:spacing w:after="0" w:line="279" w:lineRule="auto"/>
        <w:tabs>
          <w:tab w:leader="none" w:pos="1153" w:val="left"/>
        </w:tabs>
        <w:numPr>
          <w:ilvl w:val="1"/>
          <w:numId w:val="157"/>
        </w:numPr>
        <w:rPr>
          <w:rFonts w:ascii="Arial" w:cs="Arial" w:eastAsia="Arial" w:hAnsi="Arial"/>
          <w:sz w:val="17"/>
          <w:szCs w:val="17"/>
          <w:color w:val="auto"/>
        </w:rPr>
      </w:pPr>
      <w:r>
        <w:rPr>
          <w:rFonts w:ascii="Arial" w:cs="Arial" w:eastAsia="Arial" w:hAnsi="Arial"/>
          <w:sz w:val="17"/>
          <w:szCs w:val="17"/>
          <w:i w:val="1"/>
          <w:iCs w:val="1"/>
          <w:color w:val="auto"/>
        </w:rPr>
        <w:t>General Disclosure Package</w:t>
      </w:r>
      <w:r>
        <w:rPr>
          <w:rFonts w:ascii="Arial" w:cs="Arial" w:eastAsia="Arial" w:hAnsi="Arial"/>
          <w:sz w:val="17"/>
          <w:szCs w:val="17"/>
          <w:color w:val="auto"/>
        </w:rPr>
        <w:t>. As of the Applicable Time, none of (i) the General Use Issuer Free Writing Prospectus(es) issued at or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Time, the preliminary prospectus, dated [•], 2015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7"/>
          <w:szCs w:val="17"/>
          <w:b w:val="1"/>
          <w:bCs w:val="1"/>
          <w:color w:val="auto"/>
        </w:rPr>
        <w:t>General Disclosure Package</w:t>
      </w:r>
      <w:r>
        <w:rPr>
          <w:rFonts w:ascii="Arial" w:cs="Arial" w:eastAsia="Arial" w:hAnsi="Arial"/>
          <w:sz w:val="17"/>
          <w:szCs w:val="17"/>
          <w:color w:val="auto"/>
        </w:rPr>
        <w:t>”), (ii) any individual Limited Use Issuer Free Writing Prospectus, when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41" w:name="page242"/>
    <w:bookmarkEnd w:id="24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considered together with the General Disclosure Package or (iii) any individual Written Testing-the-Waters Communication that has been approved by the Company,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10(b) hereof.</w:t>
      </w:r>
    </w:p>
    <w:p>
      <w:pPr>
        <w:spacing w:after="0" w:line="81" w:lineRule="exact"/>
        <w:rPr>
          <w:sz w:val="20"/>
          <w:szCs w:val="20"/>
          <w:color w:val="auto"/>
        </w:rPr>
      </w:pPr>
    </w:p>
    <w:p>
      <w:pPr>
        <w:ind w:right="40" w:firstLine="443"/>
        <w:spacing w:after="0" w:line="284" w:lineRule="auto"/>
        <w:tabs>
          <w:tab w:leader="none" w:pos="683"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 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w:t>
      </w:r>
    </w:p>
    <w:p>
      <w:pPr>
        <w:spacing w:after="0" w:line="1" w:lineRule="exact"/>
        <w:rPr>
          <w:rFonts w:ascii="Arial" w:cs="Arial" w:eastAsia="Arial" w:hAnsi="Arial"/>
          <w:sz w:val="16"/>
          <w:szCs w:val="16"/>
          <w:color w:val="auto"/>
        </w:rPr>
      </w:pPr>
    </w:p>
    <w:p>
      <w:pPr>
        <w:ind w:right="60" w:firstLine="4"/>
        <w:spacing w:after="0" w:line="253" w:lineRule="auto"/>
        <w:tabs>
          <w:tab w:leader="none" w:pos="2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has promptly amended or will promptly amend or supplement such Issuer Free Writing Prospectus to eliminate or correct such conflict, untrue statement or omission. The first sentence of this paragraph does not apply to statements in or omissions from any Issuer Free Writing Prospectus made in reliance upon and in conformity with written information furnished to the Company by any Underwriter through the Representatives specifically for use therein, it being understood and agreed that the only such information consists of the information described as such in Section 10(b) hereof.</w:t>
      </w:r>
    </w:p>
    <w:p>
      <w:pPr>
        <w:spacing w:after="0" w:line="83" w:lineRule="exact"/>
        <w:rPr>
          <w:rFonts w:ascii="Arial" w:cs="Arial" w:eastAsia="Arial" w:hAnsi="Arial"/>
          <w:sz w:val="18"/>
          <w:szCs w:val="18"/>
          <w:color w:val="auto"/>
        </w:rPr>
      </w:pPr>
    </w:p>
    <w:p>
      <w:pPr>
        <w:ind w:right="40" w:firstLine="443"/>
        <w:spacing w:after="0" w:line="342" w:lineRule="auto"/>
        <w:tabs>
          <w:tab w:leader="none" w:pos="663" w:val="left"/>
        </w:tabs>
        <w:numPr>
          <w:ilvl w:val="1"/>
          <w:numId w:val="159"/>
        </w:numPr>
        <w:rPr>
          <w:rFonts w:ascii="Arial" w:cs="Arial" w:eastAsia="Arial" w:hAnsi="Arial"/>
          <w:sz w:val="16"/>
          <w:szCs w:val="16"/>
          <w:color w:val="auto"/>
        </w:rPr>
      </w:pPr>
      <w:r>
        <w:rPr>
          <w:rFonts w:ascii="Arial" w:cs="Arial" w:eastAsia="Arial" w:hAnsi="Arial"/>
          <w:sz w:val="16"/>
          <w:szCs w:val="16"/>
          <w:i w:val="1"/>
          <w:iCs w:val="1"/>
          <w:color w:val="auto"/>
        </w:rPr>
        <w:t>Good Standing of the Company</w:t>
      </w:r>
      <w:r>
        <w:rPr>
          <w:rFonts w:ascii="Arial" w:cs="Arial" w:eastAsia="Arial" w:hAnsi="Arial"/>
          <w:sz w:val="16"/>
          <w:szCs w:val="16"/>
          <w:color w:val="auto"/>
        </w:rPr>
        <w:t>. The Company has been duly incorporated and is existing and in good standing under the laws of Switzerland,</w:t>
      </w:r>
      <w:r>
        <w:rPr>
          <w:rFonts w:ascii="Arial" w:cs="Arial" w:eastAsia="Arial" w:hAnsi="Arial"/>
          <w:sz w:val="16"/>
          <w:szCs w:val="16"/>
          <w:i w:val="1"/>
          <w:iCs w:val="1"/>
          <w:color w:val="auto"/>
        </w:rPr>
        <w:t xml:space="preserve"> </w:t>
      </w:r>
      <w:r>
        <w:rPr>
          <w:rFonts w:ascii="Arial" w:cs="Arial" w:eastAsia="Arial" w:hAnsi="Arial"/>
          <w:sz w:val="16"/>
          <w:szCs w:val="16"/>
          <w:color w:val="auto"/>
        </w:rPr>
        <w:t>with power and authority (corporate and other) to own its properties and conduct its business as described in the General Disclosure Package.</w:t>
      </w:r>
    </w:p>
    <w:p>
      <w:pPr>
        <w:spacing w:after="0" w:line="15" w:lineRule="exact"/>
        <w:rPr>
          <w:rFonts w:ascii="Arial" w:cs="Arial" w:eastAsia="Arial" w:hAnsi="Arial"/>
          <w:sz w:val="16"/>
          <w:szCs w:val="16"/>
          <w:color w:val="auto"/>
        </w:rPr>
      </w:pPr>
    </w:p>
    <w:p>
      <w:pPr>
        <w:ind w:firstLine="443"/>
        <w:spacing w:after="0" w:line="255" w:lineRule="auto"/>
        <w:tabs>
          <w:tab w:leader="none" w:pos="693"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Offered Securities</w:t>
      </w:r>
      <w:r>
        <w:rPr>
          <w:rFonts w:ascii="Arial" w:cs="Arial" w:eastAsia="Arial" w:hAnsi="Arial"/>
          <w:sz w:val="18"/>
          <w:szCs w:val="18"/>
          <w:color w:val="auto"/>
        </w:rPr>
        <w:t>. The Offered Securities and all other outstanding shares of capital stock of the Company will, on the Closing Date, be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the authorized equity capitalization of the Company will, on the Closing Date, be as set forth in the General Disclosure Package; all outstanding shares of capital stock of the Company, when the Offered Securities have been delivered and paid for in accordance with this Agreement on each Closing Date, will be validly issued, fully paid and nonassessable, and will conform in all material respects to the information in the General Disclosure Package and to the description of such Offered Securities contained in the Final Prospectus; the stockholders of the Company have no preemptive rights with respect to the Securities; and none of the outstanding shares of capital stock of the Company have been issued in violation of any preemptive or similar rights of any security holder.</w:t>
      </w:r>
    </w:p>
    <w:p>
      <w:pPr>
        <w:spacing w:after="0" w:line="81" w:lineRule="exact"/>
        <w:rPr>
          <w:rFonts w:ascii="Arial" w:cs="Arial" w:eastAsia="Arial" w:hAnsi="Arial"/>
          <w:sz w:val="18"/>
          <w:szCs w:val="18"/>
          <w:color w:val="auto"/>
        </w:rPr>
      </w:pPr>
    </w:p>
    <w:p>
      <w:pPr>
        <w:ind w:right="320" w:firstLine="443"/>
        <w:spacing w:after="0" w:line="264" w:lineRule="auto"/>
        <w:tabs>
          <w:tab w:leader="none" w:pos="693"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No Finder’s Fee</w:t>
      </w:r>
      <w:r>
        <w:rPr>
          <w:rFonts w:ascii="Arial" w:cs="Arial" w:eastAsia="Arial" w:hAnsi="Arial"/>
          <w:sz w:val="18"/>
          <w:szCs w:val="18"/>
          <w:color w:val="auto"/>
        </w:rPr>
        <w:t>. Except as disclosed in the General Disclosure Package and the Final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that would give rise to a valid claim against the Company or any Underwriter for a brokerage commission, finder’s fee or other like payment in connection with this offering.</w:t>
      </w:r>
    </w:p>
    <w:p>
      <w:pPr>
        <w:spacing w:after="0" w:line="73" w:lineRule="exact"/>
        <w:rPr>
          <w:rFonts w:ascii="Arial" w:cs="Arial" w:eastAsia="Arial" w:hAnsi="Arial"/>
          <w:sz w:val="18"/>
          <w:szCs w:val="18"/>
          <w:color w:val="auto"/>
        </w:rPr>
      </w:pPr>
    </w:p>
    <w:p>
      <w:pPr>
        <w:ind w:right="220" w:firstLine="443"/>
        <w:spacing w:after="0" w:line="259" w:lineRule="auto"/>
        <w:tabs>
          <w:tab w:leader="none" w:pos="653"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disclosed in the General Disclosure Package and the Final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242" w:name="page243"/>
    <w:bookmarkEnd w:id="242"/>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 Registration Statement or in any securities being registered pursuant to any other registration statement filed by the Company under the Act (collectively, “registration rights”), and any person to whom the Company has granted registration rights has agreed not to exercise such rights until after the expiration of the Lock-Up Period referred to in Section 7(k) hereof.</w:t>
      </w:r>
    </w:p>
    <w:p>
      <w:pPr>
        <w:spacing w:after="0" w:line="73" w:lineRule="exact"/>
        <w:rPr>
          <w:sz w:val="20"/>
          <w:szCs w:val="20"/>
          <w:color w:val="auto"/>
        </w:rPr>
      </w:pPr>
    </w:p>
    <w:p>
      <w:pPr>
        <w:ind w:left="660" w:hanging="217"/>
        <w:spacing w:after="0"/>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Listing</w:t>
      </w:r>
      <w:r>
        <w:rPr>
          <w:rFonts w:ascii="Arial" w:cs="Arial" w:eastAsia="Arial" w:hAnsi="Arial"/>
          <w:sz w:val="17"/>
          <w:szCs w:val="17"/>
          <w:color w:val="auto"/>
        </w:rPr>
        <w:t>. The Offered Securities have been approved for listing on the NASDAQ Global [Select] Market, subject to notice of issuance.</w:t>
      </w:r>
    </w:p>
    <w:p>
      <w:pPr>
        <w:spacing w:after="0" w:line="128" w:lineRule="exact"/>
        <w:rPr>
          <w:rFonts w:ascii="Arial" w:cs="Arial" w:eastAsia="Arial" w:hAnsi="Arial"/>
          <w:sz w:val="17"/>
          <w:szCs w:val="17"/>
          <w:color w:val="auto"/>
        </w:rPr>
      </w:pPr>
    </w:p>
    <w:p>
      <w:pPr>
        <w:ind w:firstLine="443"/>
        <w:spacing w:after="0" w:line="276" w:lineRule="auto"/>
        <w:tabs>
          <w:tab w:leader="none" w:pos="693"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Absence of Further Requirements</w:t>
      </w:r>
      <w:r>
        <w:rPr>
          <w:rFonts w:ascii="Arial" w:cs="Arial" w:eastAsia="Arial" w:hAnsi="Arial"/>
          <w:sz w:val="17"/>
          <w:szCs w:val="17"/>
          <w:color w:val="auto"/>
        </w:rPr>
        <w:t>. No consent, approval, authorization, or order of, or filing or registration with, any person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agency or body or any court) is required for the consummation of the transactions contemplated by this Agreement in connection with the offering, issuance and sale of the Offered Securities by the Company, except such as have been obtained or made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320" w:firstLine="443"/>
        <w:spacing w:after="0" w:line="276" w:lineRule="auto"/>
        <w:tabs>
          <w:tab w:leader="none" w:pos="653"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does not own any real property. Except as disclosed in the General Disclosure Package and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 Company has good and marketable title to all other material properties and assets owned by it, in each case free from liens, charges, encumbrances and defects that would reasonably be expected to have a Material Adverse Effect and, except as disclosed in the General Disclosure Package and the Final Prospectus, the Company holds any leased real or personal property under valid and enforceable leases with no terms or provisions that would reasonably be expected to have a Material Adverse Effect.</w:t>
      </w:r>
    </w:p>
    <w:p>
      <w:pPr>
        <w:spacing w:after="0" w:line="64" w:lineRule="exact"/>
        <w:rPr>
          <w:rFonts w:ascii="Arial" w:cs="Arial" w:eastAsia="Arial" w:hAnsi="Arial"/>
          <w:sz w:val="17"/>
          <w:szCs w:val="17"/>
          <w:color w:val="auto"/>
        </w:rPr>
      </w:pPr>
    </w:p>
    <w:p>
      <w:pPr>
        <w:ind w:right="80" w:firstLine="443"/>
        <w:spacing w:after="0" w:line="288" w:lineRule="auto"/>
        <w:tabs>
          <w:tab w:leader="none" w:pos="743"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this Agreement, and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of the Offered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or other similar organizational documents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61" w:lineRule="exact"/>
        <w:rPr>
          <w:rFonts w:ascii="Arial" w:cs="Arial" w:eastAsia="Arial" w:hAnsi="Arial"/>
          <w:sz w:val="16"/>
          <w:szCs w:val="16"/>
          <w:color w:val="auto"/>
        </w:rPr>
      </w:pPr>
    </w:p>
    <w:p>
      <w:pPr>
        <w:ind w:right="80" w:firstLine="443"/>
        <w:spacing w:after="0" w:line="257" w:lineRule="auto"/>
        <w:tabs>
          <w:tab w:leader="none" w:pos="693"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Absence of Existing Defaults and Conflicts</w:t>
      </w:r>
      <w:r>
        <w:rPr>
          <w:rFonts w:ascii="Arial" w:cs="Arial" w:eastAsia="Arial" w:hAnsi="Arial"/>
          <w:sz w:val="18"/>
          <w:szCs w:val="18"/>
          <w:color w:val="auto"/>
        </w:rPr>
        <w:t>. The Company is not in violation of its articles of association or similar organizational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80" w:lineRule="exact"/>
        <w:rPr>
          <w:rFonts w:ascii="Arial" w:cs="Arial" w:eastAsia="Arial" w:hAnsi="Arial"/>
          <w:sz w:val="18"/>
          <w:szCs w:val="18"/>
          <w:color w:val="auto"/>
        </w:rPr>
      </w:pPr>
    </w:p>
    <w:p>
      <w:pPr>
        <w:ind w:right="180" w:firstLine="443"/>
        <w:spacing w:after="0" w:line="277" w:lineRule="auto"/>
        <w:tabs>
          <w:tab w:leader="none" w:pos="693"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 and no other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execute and deliver this Agreement on behalf of the Company.</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243" w:name="page244"/>
    <w:bookmarkEnd w:id="243"/>
    <w:p>
      <w:pPr>
        <w:jc w:val="both"/>
        <w:ind w:right="40" w:firstLine="443"/>
        <w:spacing w:after="0" w:line="255" w:lineRule="auto"/>
        <w:tabs>
          <w:tab w:leader="none" w:pos="693" w:val="left"/>
        </w:tabs>
        <w:numPr>
          <w:ilvl w:val="1"/>
          <w:numId w:val="16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Possession of Licenses and Permits</w:t>
      </w:r>
      <w:r>
        <w:rPr>
          <w:rFonts w:ascii="Arial" w:cs="Arial" w:eastAsia="Arial" w:hAnsi="Arial"/>
          <w:sz w:val="18"/>
          <w:szCs w:val="18"/>
          <w:color w:val="auto"/>
        </w:rPr>
        <w:t>. The Company possesses, and is in compliance with the terms of, all adequate certificates,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 licenses and permits, including, without limitation, from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and equivalent foreign regulatory authorities (“</w:t>
      </w:r>
      <w:r>
        <w:rPr>
          <w:rFonts w:ascii="Arial" w:cs="Arial" w:eastAsia="Arial" w:hAnsi="Arial"/>
          <w:sz w:val="18"/>
          <w:szCs w:val="18"/>
          <w:b w:val="1"/>
          <w:bCs w:val="1"/>
          <w:color w:val="auto"/>
        </w:rPr>
        <w:t>Licenses</w:t>
      </w:r>
      <w:r>
        <w:rPr>
          <w:rFonts w:ascii="Arial" w:cs="Arial" w:eastAsia="Arial" w:hAnsi="Arial"/>
          <w:sz w:val="18"/>
          <w:szCs w:val="18"/>
          <w:color w:val="auto"/>
        </w:rPr>
        <w:t>”) necessary or material to the conduct of the business now conducted or proposed in the General Disclosure Package and Final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85" w:lineRule="exact"/>
        <w:rPr>
          <w:rFonts w:ascii="Arial" w:cs="Arial" w:eastAsia="Arial" w:hAnsi="Arial"/>
          <w:sz w:val="18"/>
          <w:szCs w:val="18"/>
          <w:color w:val="auto"/>
        </w:rPr>
      </w:pPr>
    </w:p>
    <w:p>
      <w:pPr>
        <w:ind w:right="20" w:firstLine="443"/>
        <w:spacing w:after="0" w:line="277" w:lineRule="auto"/>
        <w:tabs>
          <w:tab w:leader="none" w:pos="693" w:val="left"/>
        </w:tabs>
        <w:numPr>
          <w:ilvl w:val="1"/>
          <w:numId w:val="161"/>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exists or, to the knowledge of the Company, is imminent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have a Material Adverse Effect.</w:t>
      </w:r>
    </w:p>
    <w:p>
      <w:pPr>
        <w:spacing w:after="0" w:line="62" w:lineRule="exact"/>
        <w:rPr>
          <w:rFonts w:ascii="Arial" w:cs="Arial" w:eastAsia="Arial" w:hAnsi="Arial"/>
          <w:sz w:val="18"/>
          <w:szCs w:val="18"/>
          <w:color w:val="auto"/>
        </w:rPr>
      </w:pPr>
    </w:p>
    <w:p>
      <w:pPr>
        <w:ind w:right="40" w:firstLine="443"/>
        <w:spacing w:after="0" w:line="268" w:lineRule="auto"/>
        <w:tabs>
          <w:tab w:leader="none" w:pos="663" w:val="left"/>
        </w:tabs>
        <w:numPr>
          <w:ilvl w:val="1"/>
          <w:numId w:val="161"/>
        </w:numPr>
        <w:rPr>
          <w:rFonts w:ascii="Arial" w:cs="Arial" w:eastAsia="Arial" w:hAnsi="Arial"/>
          <w:sz w:val="17"/>
          <w:szCs w:val="17"/>
          <w:color w:val="auto"/>
        </w:rPr>
      </w:pPr>
      <w:r>
        <w:rPr>
          <w:rFonts w:ascii="Arial" w:cs="Arial" w:eastAsia="Arial" w:hAnsi="Arial"/>
          <w:sz w:val="17"/>
          <w:szCs w:val="17"/>
          <w:i w:val="1"/>
          <w:iCs w:val="1"/>
          <w:color w:val="auto"/>
        </w:rPr>
        <w:t>Clinical Trials</w:t>
      </w:r>
      <w:r>
        <w:rPr>
          <w:rFonts w:ascii="Arial" w:cs="Arial" w:eastAsia="Arial" w:hAnsi="Arial"/>
          <w:sz w:val="17"/>
          <w:szCs w:val="17"/>
          <w:color w:val="auto"/>
        </w:rPr>
        <w:t>. The preclinical and clinical studies conducted by the Company, and to the knowledge of the Company, the preclinical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studies conducted on behalf of or sponsored by the Company, that are described in, or the results of which are referred to in, the General Disclosure Package and the Final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General Disclosure Package and the Final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General Disclosure Package and the Final Prospectus; the Company has not received any notices or other correspondence from the FDA or any committee thereof or from any other U.S. or foreign government or regulatory authority (collectively, the “</w:t>
      </w:r>
      <w:r>
        <w:rPr>
          <w:rFonts w:ascii="Arial" w:cs="Arial" w:eastAsia="Arial" w:hAnsi="Arial"/>
          <w:sz w:val="17"/>
          <w:szCs w:val="17"/>
          <w:b w:val="1"/>
          <w:bCs w:val="1"/>
          <w:color w:val="auto"/>
        </w:rPr>
        <w:t>Regulatory Authorities</w:t>
      </w:r>
      <w:r>
        <w:rPr>
          <w:rFonts w:ascii="Arial" w:cs="Arial" w:eastAsia="Arial" w:hAnsi="Arial"/>
          <w:sz w:val="17"/>
          <w:szCs w:val="17"/>
          <w:color w:val="auto"/>
        </w:rPr>
        <w:t>”) requiring the termination, suspension or material modification of any preclinical or clinical studies that are described or referred to in the General Disclosure Package and the Final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77" w:lineRule="exact"/>
        <w:rPr>
          <w:rFonts w:ascii="Arial" w:cs="Arial" w:eastAsia="Arial" w:hAnsi="Arial"/>
          <w:sz w:val="17"/>
          <w:szCs w:val="17"/>
          <w:color w:val="auto"/>
        </w:rPr>
      </w:pPr>
    </w:p>
    <w:p>
      <w:pPr>
        <w:ind w:firstLine="443"/>
        <w:spacing w:after="0" w:line="283" w:lineRule="auto"/>
        <w:tabs>
          <w:tab w:leader="none" w:pos="673" w:val="left"/>
        </w:tabs>
        <w:numPr>
          <w:ilvl w:val="1"/>
          <w:numId w:val="161"/>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owns, possesses or can acquire on reasonable terms all trademarks, trade names,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rights, copyrights, domain names, licenses, trade secrets, inventions, technology, know-how and other intellectual property and similar proprietary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described in the General Disclosure Package and, to the knowledge of the Company and except as disclosed in the General Disclosure Package and the Final Prospectus, owns all necessary or material to the conduct of the business now conducted or proposed in the General Disclosure Package to be conducted by it. Except as disclosed in the General Disclosure Package and the Final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w:t>
      </w:r>
    </w:p>
    <w:p>
      <w:pPr>
        <w:spacing w:after="0" w:line="5" w:lineRule="exact"/>
        <w:rPr>
          <w:rFonts w:ascii="Arial" w:cs="Arial" w:eastAsia="Arial" w:hAnsi="Arial"/>
          <w:sz w:val="16"/>
          <w:szCs w:val="16"/>
          <w:color w:val="auto"/>
        </w:rPr>
      </w:pPr>
    </w:p>
    <w:p>
      <w:pPr>
        <w:ind w:right="180" w:firstLine="4"/>
        <w:spacing w:after="0" w:line="281" w:lineRule="auto"/>
        <w:tabs>
          <w:tab w:leader="none" w:pos="31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w:t>
      </w:r>
    </w:p>
    <w:p>
      <w:pPr>
        <w:spacing w:after="0" w:line="3" w:lineRule="exact"/>
        <w:rPr>
          <w:rFonts w:ascii="Arial" w:cs="Arial" w:eastAsia="Arial" w:hAnsi="Arial"/>
          <w:sz w:val="16"/>
          <w:szCs w:val="16"/>
          <w:color w:val="auto"/>
        </w:rPr>
      </w:pPr>
    </w:p>
    <w:p>
      <w:pPr>
        <w:ind w:left="300" w:hanging="296"/>
        <w:spacing w:after="0"/>
        <w:tabs>
          <w:tab w:leader="none" w:pos="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would not, individually or in the aggregate, reasonably be expected to have a Material Adverse Effect.</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44" w:name="page245"/>
    <w:bookmarkEnd w:id="244"/>
    <w:p>
      <w:pPr>
        <w:ind w:right="20" w:firstLine="443"/>
        <w:spacing w:after="0" w:line="272" w:lineRule="auto"/>
        <w:tabs>
          <w:tab w:leader="none" w:pos="653"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Laws</w:t>
      </w:r>
      <w:r>
        <w:rPr>
          <w:rFonts w:ascii="Arial" w:cs="Arial" w:eastAsia="Arial" w:hAnsi="Arial"/>
          <w:sz w:val="17"/>
          <w:szCs w:val="17"/>
          <w:color w:val="auto"/>
        </w:rPr>
        <w:t>. Except as disclosed in the General Disclosure Package and the Final Prospectus, the Company is not in violation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69" w:lineRule="exact"/>
        <w:rPr>
          <w:rFonts w:ascii="Arial" w:cs="Arial" w:eastAsia="Arial" w:hAnsi="Arial"/>
          <w:sz w:val="17"/>
          <w:szCs w:val="17"/>
          <w:color w:val="auto"/>
        </w:rPr>
      </w:pPr>
    </w:p>
    <w:p>
      <w:pPr>
        <w:ind w:right="20" w:firstLine="443"/>
        <w:spacing w:after="0" w:line="279" w:lineRule="auto"/>
        <w:tabs>
          <w:tab w:leader="none" w:pos="693"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Accurate Disclosure</w:t>
      </w:r>
      <w:r>
        <w:rPr>
          <w:rFonts w:ascii="Arial" w:cs="Arial" w:eastAsia="Arial" w:hAnsi="Arial"/>
          <w:sz w:val="17"/>
          <w:szCs w:val="17"/>
          <w:color w:val="auto"/>
        </w:rPr>
        <w:t>. The statements in the General Disclosure Package and the Final Prospectus under the headings “Business—Government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and Our Regulatory Department”, “Taxation” and “Description of Share Capital and Articles of Association” insofar as such statements summarize legal matters, agreements, documents or proceedings discussed therein, are accurate and fair summaries of such legal matters, agreements, documents or proceedings and present the information required to be shown in all material respects.</w:t>
      </w:r>
    </w:p>
    <w:p>
      <w:pPr>
        <w:spacing w:after="0" w:line="63" w:lineRule="exact"/>
        <w:rPr>
          <w:rFonts w:ascii="Arial" w:cs="Arial" w:eastAsia="Arial" w:hAnsi="Arial"/>
          <w:sz w:val="17"/>
          <w:szCs w:val="17"/>
          <w:color w:val="auto"/>
        </w:rPr>
      </w:pPr>
    </w:p>
    <w:p>
      <w:pPr>
        <w:ind w:right="100" w:firstLine="443"/>
        <w:spacing w:after="0" w:line="264" w:lineRule="auto"/>
        <w:tabs>
          <w:tab w:leader="none" w:pos="693"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cause or result in the stabilization or manipulation of the price of any security of the Company to facilitate the sale or resale of the Offered Securities.</w:t>
      </w:r>
    </w:p>
    <w:p>
      <w:pPr>
        <w:spacing w:after="0" w:line="73" w:lineRule="exact"/>
        <w:rPr>
          <w:rFonts w:ascii="Arial" w:cs="Arial" w:eastAsia="Arial" w:hAnsi="Arial"/>
          <w:sz w:val="18"/>
          <w:szCs w:val="18"/>
          <w:color w:val="auto"/>
        </w:rPr>
      </w:pPr>
    </w:p>
    <w:p>
      <w:pPr>
        <w:ind w:right="140" w:firstLine="443"/>
        <w:spacing w:after="0" w:line="264" w:lineRule="auto"/>
        <w:tabs>
          <w:tab w:leader="none" w:pos="733"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Statistical and Market-Related Data</w:t>
      </w:r>
      <w:r>
        <w:rPr>
          <w:rFonts w:ascii="Arial" w:cs="Arial" w:eastAsia="Arial" w:hAnsi="Arial"/>
          <w:sz w:val="18"/>
          <w:szCs w:val="18"/>
          <w:color w:val="auto"/>
        </w:rPr>
        <w:t>. Any third-party statistical and market-related data included in a Registration Statement, a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General Disclosure Package or any Written Testing-the-Waters Communication is based on or derived from sources that the Company believes to be reliable and accurate.</w:t>
      </w:r>
    </w:p>
    <w:p>
      <w:pPr>
        <w:spacing w:after="0" w:line="73" w:lineRule="exact"/>
        <w:rPr>
          <w:rFonts w:ascii="Arial" w:cs="Arial" w:eastAsia="Arial" w:hAnsi="Arial"/>
          <w:sz w:val="18"/>
          <w:szCs w:val="18"/>
          <w:color w:val="auto"/>
        </w:rPr>
      </w:pPr>
    </w:p>
    <w:p>
      <w:pPr>
        <w:ind w:firstLine="443"/>
        <w:spacing w:after="0" w:line="268" w:lineRule="auto"/>
        <w:tabs>
          <w:tab w:leader="none" w:pos="693"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Internal Controls and Compliance with Sarbanes-Oxley</w:t>
      </w:r>
      <w:r>
        <w:rPr>
          <w:rFonts w:ascii="Arial" w:cs="Arial" w:eastAsia="Arial" w:hAnsi="Arial"/>
          <w:sz w:val="17"/>
          <w:szCs w:val="17"/>
          <w:color w:val="auto"/>
        </w:rPr>
        <w:t>. Except as set forth in the General Disclosure Package and the Final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are in compliance with the applicable provisions of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7"/>
          <w:szCs w:val="17"/>
          <w:b w:val="1"/>
          <w:bCs w:val="1"/>
          <w:color w:val="auto"/>
        </w:rPr>
        <w:t>Internal Controls</w:t>
      </w:r>
      <w:r>
        <w:rPr>
          <w:rFonts w:ascii="Arial" w:cs="Arial" w:eastAsia="Arial" w:hAnsi="Arial"/>
          <w:sz w:val="17"/>
          <w:szCs w:val="17"/>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as issued by the International Accounting Standards Board (the “</w:t>
      </w:r>
      <w:r>
        <w:rPr>
          <w:rFonts w:ascii="Arial" w:cs="Arial" w:eastAsia="Arial" w:hAnsi="Arial"/>
          <w:sz w:val="17"/>
          <w:szCs w:val="17"/>
          <w:b w:val="1"/>
          <w:bCs w:val="1"/>
          <w:color w:val="auto"/>
        </w:rPr>
        <w:t>IASB</w:t>
      </w:r>
      <w:r>
        <w:rPr>
          <w:rFonts w:ascii="Arial" w:cs="Arial" w:eastAsia="Arial" w:hAnsi="Arial"/>
          <w:sz w:val="17"/>
          <w:szCs w:val="17"/>
          <w:color w:val="auto"/>
        </w:rPr>
        <w:t>”)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Offered Securities will be, overseen by the Audit &amp; Finance Committee (the “</w:t>
      </w:r>
      <w:r>
        <w:rPr>
          <w:rFonts w:ascii="Arial" w:cs="Arial" w:eastAsia="Arial" w:hAnsi="Arial"/>
          <w:sz w:val="17"/>
          <w:szCs w:val="17"/>
          <w:b w:val="1"/>
          <w:bCs w:val="1"/>
          <w:color w:val="auto"/>
        </w:rPr>
        <w:t>Audit &amp; Finance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Committee </w:t>
      </w:r>
      <w:r>
        <w:rPr>
          <w:rFonts w:ascii="Arial" w:cs="Arial" w:eastAsia="Arial" w:hAnsi="Arial"/>
          <w:sz w:val="17"/>
          <w:szCs w:val="17"/>
          <w:color w:val="auto"/>
        </w:rPr>
        <w:t>“) of the Board in accordance with Exchange Rules. Except as disclosed in the General Disclosure Package and the Final Prospectus,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(each, an “</w:t>
      </w:r>
      <w:r>
        <w:rPr>
          <w:rFonts w:ascii="Arial" w:cs="Arial" w:eastAsia="Arial" w:hAnsi="Arial"/>
          <w:sz w:val="17"/>
          <w:szCs w:val="17"/>
          <w:b w:val="1"/>
          <w:bCs w:val="1"/>
          <w:color w:val="auto"/>
        </w:rPr>
        <w:t>Internal</w:t>
      </w:r>
      <w:r>
        <w:rPr>
          <w:rFonts w:ascii="Arial" w:cs="Arial" w:eastAsia="Arial" w:hAnsi="Arial"/>
          <w:sz w:val="17"/>
          <w:szCs w:val="17"/>
          <w:color w:val="auto"/>
        </w:rPr>
        <w:t xml:space="preserve"> </w:t>
      </w:r>
      <w:r>
        <w:rPr>
          <w:rFonts w:ascii="Arial" w:cs="Arial" w:eastAsia="Arial" w:hAnsi="Arial"/>
          <w:sz w:val="17"/>
          <w:szCs w:val="17"/>
          <w:b w:val="1"/>
          <w:bCs w:val="1"/>
          <w:color w:val="auto"/>
        </w:rPr>
        <w:t>Control Event</w:t>
      </w:r>
      <w:r>
        <w:rPr>
          <w:rFonts w:ascii="Arial" w:cs="Arial" w:eastAsia="Arial" w:hAnsi="Arial"/>
          <w:sz w:val="17"/>
          <w:szCs w:val="17"/>
          <w:color w:val="auto"/>
        </w:rPr>
        <w:t>”), any violation of, or failure to comply with, the Securities Laws, or any matter which, if determined adversely, would have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245" w:name="page246"/>
    <w:bookmarkEnd w:id="245"/>
    <w:p>
      <w:pPr>
        <w:ind w:right="40" w:firstLine="443"/>
        <w:spacing w:after="0" w:line="255" w:lineRule="auto"/>
        <w:tabs>
          <w:tab w:leader="none" w:pos="693"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w:t>
      </w:r>
      <w:r>
        <w:rPr>
          <w:rFonts w:ascii="Arial" w:cs="Arial" w:eastAsia="Arial" w:hAnsi="Arial"/>
          <w:sz w:val="18"/>
          <w:szCs w:val="18"/>
          <w:color w:val="auto"/>
        </w:rPr>
        <w:t>. Except as disclosed in the General Disclosure Package and the Final Prospectus, there are no pending actions, suits or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Offered Securities; and no such actions, suits or proceedings (including any inquiries or investigations by any court or governmental agency or body, domestic or foreign) are, to the Company’s knowledge, threatened or contemplated.</w:t>
      </w:r>
    </w:p>
    <w:p>
      <w:pPr>
        <w:spacing w:after="0" w:line="81" w:lineRule="exact"/>
        <w:rPr>
          <w:rFonts w:ascii="Arial" w:cs="Arial" w:eastAsia="Arial" w:hAnsi="Arial"/>
          <w:sz w:val="18"/>
          <w:szCs w:val="18"/>
          <w:color w:val="auto"/>
        </w:rPr>
      </w:pPr>
    </w:p>
    <w:p>
      <w:pPr>
        <w:ind w:firstLine="443"/>
        <w:spacing w:after="0" w:line="271" w:lineRule="auto"/>
        <w:tabs>
          <w:tab w:leader="none" w:pos="683"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Ernst &amp; Young AG, which has expressed its opinion with respect to the financial statements (which term as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includes the related notes thereto) filed with the Commission as a part of the Registration Statement, the Time of Sale Prospectus and the Prospectus, is (i) an independent registered public accounting firm as required by the Securities Act, Exchange Act, the Rules and Regulations,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Swiss Code of Obligations (the “</w:t>
      </w:r>
      <w:r>
        <w:rPr>
          <w:rFonts w:ascii="Arial" w:cs="Arial" w:eastAsia="Arial" w:hAnsi="Arial"/>
          <w:sz w:val="17"/>
          <w:szCs w:val="17"/>
          <w:b w:val="1"/>
          <w:bCs w:val="1"/>
          <w:color w:val="auto"/>
        </w:rPr>
        <w:t>CO</w:t>
      </w:r>
      <w:r>
        <w:rPr>
          <w:rFonts w:ascii="Arial" w:cs="Arial" w:eastAsia="Arial" w:hAnsi="Arial"/>
          <w:sz w:val="17"/>
          <w:szCs w:val="17"/>
          <w:color w:val="auto"/>
        </w:rPr>
        <w:t>”), the Swiss Audit Supervision Act (Revisionsaufsichtsgesetz) and any ordinances promulgated thereunder.</w:t>
      </w:r>
    </w:p>
    <w:p>
      <w:pPr>
        <w:spacing w:after="0" w:line="71" w:lineRule="exact"/>
        <w:rPr>
          <w:sz w:val="20"/>
          <w:szCs w:val="20"/>
          <w:color w:val="auto"/>
        </w:rPr>
      </w:pPr>
    </w:p>
    <w:p>
      <w:pPr>
        <w:jc w:val="both"/>
        <w:ind w:right="60" w:firstLine="443"/>
        <w:spacing w:after="0" w:line="302" w:lineRule="auto"/>
        <w:tabs>
          <w:tab w:leader="none" w:pos="763"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included in each Registration Statement and the General Disclosure Package present fairly in</w:t>
      </w:r>
      <w:r>
        <w:rPr>
          <w:rFonts w:ascii="Arial" w:cs="Arial" w:eastAsia="Arial" w:hAnsi="Arial"/>
          <w:sz w:val="16"/>
          <w:szCs w:val="16"/>
          <w:i w:val="1"/>
          <w:iCs w:val="1"/>
          <w:color w:val="auto"/>
        </w:rPr>
        <w:t xml:space="preserve"> </w:t>
      </w:r>
      <w:r>
        <w:rPr>
          <w:rFonts w:ascii="Arial" w:cs="Arial" w:eastAsia="Arial" w:hAnsi="Arial"/>
          <w:sz w:val="16"/>
          <w:szCs w:val="16"/>
          <w:color w:val="auto"/>
        </w:rPr>
        <w:t>all material respects the financial position of the Company as of the dates shown and its results of operations and cash flows for the periods shown, and such financial statements have been prepared in conformity with IFRS as issued by the IASB applied on a consistent basis and the schedules included in each Registration Statement (if any) present fairly in all material respects the information required to be stated therein.</w:t>
      </w:r>
    </w:p>
    <w:p>
      <w:pPr>
        <w:spacing w:after="0" w:line="46" w:lineRule="exact"/>
        <w:rPr>
          <w:rFonts w:ascii="Arial" w:cs="Arial" w:eastAsia="Arial" w:hAnsi="Arial"/>
          <w:sz w:val="16"/>
          <w:szCs w:val="16"/>
          <w:color w:val="auto"/>
        </w:rPr>
      </w:pPr>
    </w:p>
    <w:p>
      <w:pPr>
        <w:ind w:right="140" w:firstLine="443"/>
        <w:spacing w:after="0" w:line="264" w:lineRule="auto"/>
        <w:tabs>
          <w:tab w:leader="none" w:pos="783"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There are no off balance sheet arrangements (as defined in Regulation S-K Item 303(a)(4)(ii))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have a material current or future effect on the Company’s financial condition, changes in financial condition, results of operations, liquidity, capital expenditures or capital resources.</w:t>
      </w:r>
    </w:p>
    <w:p>
      <w:pPr>
        <w:spacing w:after="0" w:line="73" w:lineRule="exact"/>
        <w:rPr>
          <w:rFonts w:ascii="Arial" w:cs="Arial" w:eastAsia="Arial" w:hAnsi="Arial"/>
          <w:sz w:val="18"/>
          <w:szCs w:val="18"/>
          <w:color w:val="auto"/>
        </w:rPr>
      </w:pPr>
    </w:p>
    <w:p>
      <w:pPr>
        <w:ind w:right="40" w:firstLine="443"/>
        <w:spacing w:after="0" w:line="297" w:lineRule="auto"/>
        <w:tabs>
          <w:tab w:leader="none" w:pos="763"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No Material Adverse Change in Business</w:t>
      </w:r>
      <w:r>
        <w:rPr>
          <w:rFonts w:ascii="Arial" w:cs="Arial" w:eastAsia="Arial" w:hAnsi="Arial"/>
          <w:sz w:val="16"/>
          <w:szCs w:val="16"/>
          <w:color w:val="auto"/>
        </w:rPr>
        <w:t>. Except as disclosed in the General Disclosure Package and the Final Prospectus, since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covered by the latest audited financial statements included in the General Disclosure Package,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50" w:lineRule="exact"/>
        <w:rPr>
          <w:rFonts w:ascii="Arial" w:cs="Arial" w:eastAsia="Arial" w:hAnsi="Arial"/>
          <w:sz w:val="16"/>
          <w:szCs w:val="16"/>
          <w:color w:val="auto"/>
        </w:rPr>
      </w:pPr>
    </w:p>
    <w:p>
      <w:pPr>
        <w:ind w:right="20" w:firstLine="443"/>
        <w:spacing w:after="0" w:line="264" w:lineRule="auto"/>
        <w:tabs>
          <w:tab w:leader="none" w:pos="783"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Offered Securities and the application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proceeds thereof as described in the General Disclosure Package, will not be an “investment company” as defined in the Investment Company Act of 1940, as amended.</w:t>
      </w:r>
    </w:p>
    <w:p>
      <w:pPr>
        <w:spacing w:after="0" w:line="73" w:lineRule="exact"/>
        <w:rPr>
          <w:rFonts w:ascii="Arial" w:cs="Arial" w:eastAsia="Arial" w:hAnsi="Arial"/>
          <w:sz w:val="18"/>
          <w:szCs w:val="18"/>
          <w:color w:val="auto"/>
        </w:rPr>
      </w:pPr>
    </w:p>
    <w:p>
      <w:pPr>
        <w:ind w:right="420" w:firstLine="443"/>
        <w:spacing w:after="0" w:line="308" w:lineRule="auto"/>
        <w:tabs>
          <w:tab w:leader="none" w:pos="763"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Ratings</w:t>
      </w:r>
      <w:r>
        <w:rPr>
          <w:rFonts w:ascii="Arial" w:cs="Arial" w:eastAsia="Arial" w:hAnsi="Arial"/>
          <w:sz w:val="17"/>
          <w:szCs w:val="17"/>
          <w:color w:val="auto"/>
        </w:rPr>
        <w:t>. The Company has no debt securities that are rated by any “nationally recognized statistical rating organization” as such term is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for purposes of Section 3(a)(62) of the Exchange Act.</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46" w:name="page247"/>
    <w:bookmarkEnd w:id="246"/>
    <w:p>
      <w:pPr>
        <w:ind w:right="200" w:firstLine="443"/>
        <w:spacing w:after="0" w:line="289" w:lineRule="auto"/>
        <w:tabs>
          <w:tab w:leader="none" w:pos="720"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PFIC Status</w:t>
      </w:r>
      <w:r>
        <w:rPr>
          <w:rFonts w:ascii="Arial" w:cs="Arial" w:eastAsia="Arial" w:hAnsi="Arial"/>
          <w:sz w:val="17"/>
          <w:szCs w:val="17"/>
          <w:color w:val="auto"/>
        </w:rPr>
        <w:t>. The Company believes it was not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as defined in Section 1297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Internal Revenue Code of 1986, as amended, for its most recently completed taxable year and, based on the Company’s current projected income, assets and activities, the Company does not expect to be classified as a PFIC in the immediately foreseeable future.</w:t>
      </w:r>
    </w:p>
    <w:p>
      <w:pPr>
        <w:spacing w:after="0" w:line="54" w:lineRule="exact"/>
        <w:rPr>
          <w:rFonts w:ascii="Arial" w:cs="Arial" w:eastAsia="Arial" w:hAnsi="Arial"/>
          <w:sz w:val="17"/>
          <w:szCs w:val="17"/>
          <w:color w:val="auto"/>
        </w:rPr>
      </w:pPr>
    </w:p>
    <w:p>
      <w:pPr>
        <w:ind w:left="780" w:hanging="337"/>
        <w:spacing w:after="0"/>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Foreign Corrupt Practices Act and Money Laundering Laws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68" w:lineRule="auto"/>
        <w:tabs>
          <w:tab w:leader="none" w:pos="1091"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Company (including its directors or officers, and, to the Company’s knowledge, its employees or agents), has not taken or failed to take any action that would cause it to be in violation of the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(C) establishment or maintenance of any unlawful fund of corporate monies or other properties; and (D) making of any bribe, unlawful rebate, payoff, influence payment, kickback or other unlawful payment of any nature. For purposes of this Agreement, (i) an “</w:t>
      </w:r>
      <w:r>
        <w:rPr>
          <w:rFonts w:ascii="Arial" w:cs="Arial" w:eastAsia="Arial" w:hAnsi="Arial"/>
          <w:sz w:val="17"/>
          <w:szCs w:val="17"/>
          <w:b w:val="1"/>
          <w:bCs w:val="1"/>
          <w:color w:val="auto"/>
        </w:rPr>
        <w:t>Official</w:t>
      </w:r>
      <w:r>
        <w:rPr>
          <w:rFonts w:ascii="Arial" w:cs="Arial" w:eastAsia="Arial" w:hAnsi="Arial"/>
          <w:sz w:val="17"/>
          <w:szCs w:val="17"/>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w:t>
      </w:r>
    </w:p>
    <w:p>
      <w:pPr>
        <w:spacing w:after="0" w:line="77" w:lineRule="exact"/>
        <w:rPr>
          <w:rFonts w:ascii="Arial" w:cs="Arial" w:eastAsia="Arial" w:hAnsi="Arial"/>
          <w:sz w:val="17"/>
          <w:szCs w:val="17"/>
          <w:color w:val="auto"/>
        </w:rPr>
      </w:pPr>
    </w:p>
    <w:p>
      <w:pPr>
        <w:ind w:firstLine="881"/>
        <w:spacing w:after="0" w:line="255" w:lineRule="auto"/>
        <w:tabs>
          <w:tab w:leader="none" w:pos="114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Company has in place adequate controls and systems designed to 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85" w:lineRule="exact"/>
        <w:rPr>
          <w:rFonts w:ascii="Arial" w:cs="Arial" w:eastAsia="Arial" w:hAnsi="Arial"/>
          <w:sz w:val="18"/>
          <w:szCs w:val="18"/>
          <w:color w:val="auto"/>
        </w:rPr>
      </w:pPr>
    </w:p>
    <w:p>
      <w:pPr>
        <w:ind w:right="220" w:firstLine="443"/>
        <w:spacing w:after="0" w:line="257" w:lineRule="auto"/>
        <w:tabs>
          <w:tab w:leader="none" w:pos="78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Neither the Company nor any director, officer, nor, to the Company’s knowledge, any affiliate, employee, agent or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right="60" w:firstLine="443"/>
        <w:spacing w:after="0" w:line="284" w:lineRule="auto"/>
        <w:tabs>
          <w:tab w:leader="none" w:pos="703"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Export Controls</w:t>
      </w:r>
      <w:r>
        <w:rPr>
          <w:rFonts w:ascii="Arial" w:cs="Arial" w:eastAsia="Arial" w:hAnsi="Arial"/>
          <w:sz w:val="16"/>
          <w:szCs w:val="16"/>
          <w:color w:val="auto"/>
        </w:rPr>
        <w:t>. Except as disclosed in the General Disclosure Package and the Final Prospectus, neither the Company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(15 C.F.R. 730 </w:t>
      </w:r>
      <w:r>
        <w:rPr>
          <w:rFonts w:ascii="Arial" w:cs="Arial" w:eastAsia="Arial" w:hAnsi="Arial"/>
          <w:sz w:val="18"/>
          <w:szCs w:val="18"/>
          <w:i w:val="1"/>
          <w:iCs w:val="1"/>
          <w:color w:val="auto"/>
        </w:rPr>
        <w:t>et seq.</w:t>
      </w:r>
      <w:r>
        <w:rPr>
          <w:rFonts w:ascii="Arial" w:cs="Arial" w:eastAsia="Arial" w:hAnsi="Arial"/>
          <w:sz w:val="18"/>
          <w:szCs w:val="18"/>
          <w:color w:val="auto"/>
        </w:rPr>
        <w:t>), the Customs Laws of the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0" w:right="239" w:bottom="1440" w:gutter="0" w:footer="0" w:header="0"/>
        </w:sectPr>
      </w:pPr>
    </w:p>
    <w:bookmarkStart w:id="247" w:name="page248"/>
    <w:bookmarkEnd w:id="24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United States (19 U.S.C. § 1 </w:t>
      </w:r>
      <w:r>
        <w:rPr>
          <w:rFonts w:ascii="Arial" w:cs="Arial" w:eastAsia="Arial" w:hAnsi="Arial"/>
          <w:sz w:val="17"/>
          <w:szCs w:val="17"/>
          <w:i w:val="1"/>
          <w:iCs w:val="1"/>
          <w:color w:val="auto"/>
        </w:rPr>
        <w:t>et seq.</w:t>
      </w:r>
      <w:r>
        <w:rPr>
          <w:rFonts w:ascii="Arial" w:cs="Arial" w:eastAsia="Arial" w:hAnsi="Arial"/>
          <w:sz w:val="17"/>
          <w:szCs w:val="17"/>
          <w:color w:val="auto"/>
        </w:rPr>
        <w:t>),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General Disclosure Package and the Final Prospectus, to the Company’s knowledge, there has never been a claim or charge made, investigation undertaken, violation found, or settlement of any enforcement action under any of the laws referred to in this Section 2(ii) by any governmental entity with respect to matters arising under such laws against the Company, or against its agents, distributors or representatives in connection with their relationship with the Company. Except as disclosed in the General Disclosure Package and the Final Prospectus, the Company and any predecessors have maintained a compliance program appropriate to the requirements of the aforementioned laws at all times that any such laws applied to the Company’s activities.</w:t>
      </w:r>
    </w:p>
    <w:p>
      <w:pPr>
        <w:spacing w:after="0" w:line="74" w:lineRule="exact"/>
        <w:rPr>
          <w:sz w:val="20"/>
          <w:szCs w:val="20"/>
          <w:color w:val="auto"/>
        </w:rPr>
      </w:pPr>
    </w:p>
    <w:p>
      <w:pPr>
        <w:ind w:right="60" w:firstLine="443"/>
        <w:spacing w:after="0" w:line="257" w:lineRule="auto"/>
        <w:tabs>
          <w:tab w:leader="none" w:pos="70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Company has filed all federal, state, local and non-U.S. tax returns that are required to be filed by it or has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thereof (except in any case in which the failure so to file would not have a Material Adverse Effect); and except as disclosed in the General Disclosure Package and the Final Prospectus, the Company has paid all taxes (including any assessments, fines or penalties) required to be paid by it, except for any such taxes, assessments, fines or penalties currently being contested in good faith or as would not, individually or in the aggregate, have a Material Adverse Effect.</w:t>
      </w:r>
    </w:p>
    <w:p>
      <w:pPr>
        <w:spacing w:after="0" w:line="80" w:lineRule="exact"/>
        <w:rPr>
          <w:rFonts w:ascii="Arial" w:cs="Arial" w:eastAsia="Arial" w:hAnsi="Arial"/>
          <w:sz w:val="18"/>
          <w:szCs w:val="18"/>
          <w:color w:val="auto"/>
        </w:rPr>
      </w:pPr>
    </w:p>
    <w:p>
      <w:pPr>
        <w:ind w:right="60" w:firstLine="443"/>
        <w:spacing w:after="0" w:line="289" w:lineRule="auto"/>
        <w:tabs>
          <w:tab w:leader="none" w:pos="783"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is insured by insurers with appropriately rated claims paying abilities against such losses and risks and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General Disclosure Package and the Final Prospectus; and the Company will obtain directors’ and officers’ insurance in such amounts as is customary for an initial public offering.</w:t>
      </w:r>
    </w:p>
    <w:p>
      <w:pPr>
        <w:spacing w:after="0" w:line="58" w:lineRule="exact"/>
        <w:rPr>
          <w:rFonts w:ascii="Arial" w:cs="Arial" w:eastAsia="Arial" w:hAnsi="Arial"/>
          <w:sz w:val="16"/>
          <w:szCs w:val="16"/>
          <w:color w:val="auto"/>
        </w:rPr>
      </w:pPr>
    </w:p>
    <w:p>
      <w:pPr>
        <w:ind w:firstLine="443"/>
        <w:spacing w:after="0" w:line="259" w:lineRule="auto"/>
        <w:tabs>
          <w:tab w:leader="none" w:pos="70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the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or through any Person authorized to act on its behalf in any communication in reliance on Section 5(d) of the Act) through the date hereof, the Company has been and is an “emerging growth company,” as defined in Section 2(a)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60" w:firstLine="443"/>
        <w:spacing w:after="0" w:line="255" w:lineRule="auto"/>
        <w:tabs>
          <w:tab w:leader="none" w:pos="88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Testing-the-Waters</w:t>
      </w:r>
      <w:r>
        <w:rPr>
          <w:rFonts w:ascii="Arial" w:cs="Arial" w:eastAsia="Arial" w:hAnsi="Arial"/>
          <w:sz w:val="18"/>
          <w:szCs w:val="18"/>
          <w:color w:val="auto"/>
        </w:rPr>
        <w:t>. The Company has not (i) alone engaged in communications with potential investors in reliance on Section 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Act other than communications with the consent of the Representatives with entities that are qualified institutional buyers within the meaning of Rule 144A under the Act or institutions that are accredited investors within the meaning of Rule 501 under the Act and (ii) authorized anyone other than the Underwriters to engage in such communications. The Company reconfirms that the Underwriters have been authorized to act on its behalf in communicating with potential investors in reliance on Section 5(d) of the Act. The Company has not distributed any Testing-the-Waters Communication. As of the Applicable Time, none of (A) the General Disclosure Package, (B) any individual Issuer Limited Use Free Writing Prospectus, when considered together with the General</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48" w:name="page249"/>
    <w:bookmarkEnd w:id="248"/>
    <w:p>
      <w:pPr>
        <w:ind w:left="460" w:right="6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Package, and (C) any individual Written Testing-the-Waters Communication, when considered together with the General Disclosure Package, included or includes an untrue statement of a material fact or omitted or omits to state a material fact necessary in order to make the statements therein, in the light of the circumstances under which they were made, not misleading.</w:t>
      </w:r>
    </w:p>
    <w:p>
      <w:pPr>
        <w:spacing w:after="0" w:line="57" w:lineRule="exact"/>
        <w:rPr>
          <w:sz w:val="20"/>
          <w:szCs w:val="20"/>
          <w:color w:val="auto"/>
        </w:rPr>
      </w:pPr>
    </w:p>
    <w:p>
      <w:pPr>
        <w:ind w:left="1240" w:hanging="337"/>
        <w:spacing w:after="0"/>
        <w:tabs>
          <w:tab w:leader="none" w:pos="124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within the meaning of Rule 405 under the Act.</w:t>
      </w:r>
    </w:p>
    <w:p>
      <w:pPr>
        <w:spacing w:after="0" w:line="117" w:lineRule="exact"/>
        <w:rPr>
          <w:rFonts w:ascii="Arial" w:cs="Arial" w:eastAsia="Arial" w:hAnsi="Arial"/>
          <w:sz w:val="18"/>
          <w:szCs w:val="18"/>
          <w:color w:val="auto"/>
        </w:rPr>
      </w:pPr>
    </w:p>
    <w:p>
      <w:pPr>
        <w:ind w:left="460" w:firstLine="443"/>
        <w:spacing w:after="0" w:line="264" w:lineRule="auto"/>
        <w:tabs>
          <w:tab w:leader="none" w:pos="1243"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Capital Loss</w:t>
      </w:r>
      <w:r>
        <w:rPr>
          <w:rFonts w:ascii="Arial" w:cs="Arial" w:eastAsia="Arial" w:hAnsi="Arial"/>
          <w:sz w:val="18"/>
          <w:szCs w:val="18"/>
          <w:color w:val="auto"/>
        </w:rPr>
        <w:t>. The Company is not overindebted within the meaning of article 725 para 2 CO. The Company is not suffering from capital loss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article 725 para 1 CO assuming that only share premium in excess of 50% of the nominal share capital is included in the calculation of such capital loss.</w:t>
      </w:r>
    </w:p>
    <w:p>
      <w:pPr>
        <w:spacing w:after="0" w:line="181" w:lineRule="exact"/>
        <w:rPr>
          <w:rFonts w:ascii="Arial" w:cs="Arial" w:eastAsia="Arial" w:hAnsi="Arial"/>
          <w:sz w:val="18"/>
          <w:szCs w:val="18"/>
          <w:color w:val="auto"/>
        </w:rPr>
      </w:pPr>
    </w:p>
    <w:p>
      <w:pPr>
        <w:ind w:right="60" w:firstLine="464"/>
        <w:spacing w:after="0" w:line="259" w:lineRule="auto"/>
        <w:tabs>
          <w:tab w:leader="none" w:pos="636"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Purchase, Sale and Delivery of Offered Securities</w:t>
      </w:r>
      <w:r>
        <w:rPr>
          <w:rFonts w:ascii="Arial" w:cs="Arial" w:eastAsia="Arial" w:hAnsi="Arial"/>
          <w:sz w:val="18"/>
          <w:szCs w:val="18"/>
          <w:color w:val="auto"/>
        </w:rPr>
        <w:t>. On the basis of the representations, warranties and agreements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herein, the Company agrees to sell to the several Underwriters, and each of the Underwriters agrees, severally and not jointly, to purchase from the Company, at a purchase price of $[•] per share, the respective number of shares of Firm Securities set forth opposite the names of the Underwriters in Schedule A hereto.</w:t>
      </w:r>
    </w:p>
    <w:p>
      <w:pPr>
        <w:spacing w:after="0" w:line="187"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The Company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the Company at the office of Goodwin Procter LLP, 53 State Street, Boston,</w:t>
      </w:r>
    </w:p>
    <w:p>
      <w:pPr>
        <w:ind w:right="120"/>
        <w:spacing w:after="0" w:line="271" w:lineRule="auto"/>
        <w:rPr>
          <w:sz w:val="20"/>
          <w:szCs w:val="20"/>
          <w:color w:val="auto"/>
        </w:rPr>
      </w:pPr>
      <w:r>
        <w:rPr>
          <w:rFonts w:ascii="Arial" w:cs="Arial" w:eastAsia="Arial" w:hAnsi="Arial"/>
          <w:sz w:val="17"/>
          <w:szCs w:val="17"/>
          <w:color w:val="auto"/>
        </w:rPr>
        <w:t>MA 02109, at 10:00 A.M., New York time, on [•], 2015, or at such other time not later than seven full business days thereafter as the Representatives and the Company determine, such time being herein referred to as the “</w:t>
      </w:r>
      <w:r>
        <w:rPr>
          <w:rFonts w:ascii="Arial" w:cs="Arial" w:eastAsia="Arial" w:hAnsi="Arial"/>
          <w:sz w:val="17"/>
          <w:szCs w:val="17"/>
          <w:b w:val="1"/>
          <w:bCs w:val="1"/>
          <w:color w:val="auto"/>
        </w:rPr>
        <w:t>First Closing Date</w:t>
      </w:r>
      <w:r>
        <w:rPr>
          <w:rFonts w:ascii="Arial" w:cs="Arial" w:eastAsia="Arial" w:hAnsi="Arial"/>
          <w:sz w:val="17"/>
          <w:szCs w:val="17"/>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Goodwin Procter LLP at least 24 hours prior to the First Closing Date.</w:t>
      </w:r>
    </w:p>
    <w:p>
      <w:pPr>
        <w:spacing w:after="0" w:line="17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upon written notice from the Representatives given to the Company from time to time not more than 30 days subsequent to the date of the Final Prospectus, the Underwriters may purchase all or less than all of the Optional Securities at the purchase price per Security to be paid for the Firm Securities less an amount per share equal to any dividends or distributions declared by the Company and payable on the Firm Securities but not payable on the Optional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time for the delivery of and payment for the Optional Securities, being herein referred to as an “</w:t>
      </w:r>
      <w:r>
        <w:rPr>
          <w:rFonts w:ascii="Arial" w:cs="Arial" w:eastAsia="Arial" w:hAnsi="Arial"/>
          <w:sz w:val="18"/>
          <w:szCs w:val="18"/>
          <w:b w:val="1"/>
          <w:bCs w:val="1"/>
          <w:color w:val="auto"/>
        </w:rPr>
        <w:t>Optional Closing Date</w:t>
      </w:r>
      <w:r>
        <w:rPr>
          <w:rFonts w:ascii="Arial" w:cs="Arial" w:eastAsia="Arial" w:hAnsi="Arial"/>
          <w:sz w:val="18"/>
          <w:szCs w:val="18"/>
          <w:color w:val="auto"/>
        </w:rPr>
        <w:t>,” which may be the First Closing Date (the First Closing Date and each Optional Closing Date, if any, being sometimes referred to as a “</w:t>
      </w:r>
      <w:r>
        <w:rPr>
          <w:rFonts w:ascii="Arial" w:cs="Arial" w:eastAsia="Arial" w:hAnsi="Arial"/>
          <w:sz w:val="18"/>
          <w:szCs w:val="18"/>
          <w:b w:val="1"/>
          <w:bCs w:val="1"/>
          <w:color w:val="auto"/>
        </w:rPr>
        <w:t>Closing Date</w:t>
      </w:r>
      <w:r>
        <w:rPr>
          <w:rFonts w:ascii="Arial" w:cs="Arial" w:eastAsia="Arial" w:hAnsi="Arial"/>
          <w:sz w:val="18"/>
          <w:szCs w:val="18"/>
          <w:color w:val="auto"/>
        </w:rPr>
        <w:t>”), shall be determined by the Representatives but except as otherwise mutually agreed between the Company and the Representatives shall be not less than three full business days nor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49" w:name="page250"/>
    <w:bookmarkEnd w:id="249"/>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Representatives drawn to the order of the Company, at the above office of Goodwin Procter LLP. The Optional Securities being purchased on each Optional Closing Date or evidence of their issuance will be made available for checking at the above office of Goodwin Procter LLP at a reasonable time in advance of such Optional Closing Date.</w:t>
      </w:r>
    </w:p>
    <w:p>
      <w:pPr>
        <w:spacing w:after="0" w:line="181" w:lineRule="exact"/>
        <w:rPr>
          <w:sz w:val="20"/>
          <w:szCs w:val="20"/>
          <w:color w:val="auto"/>
        </w:rPr>
      </w:pPr>
    </w:p>
    <w:p>
      <w:pPr>
        <w:ind w:left="640" w:hanging="17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Capital Increase and Initial Subscription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i w:val="1"/>
          <w:iCs w:val="1"/>
          <w:color w:val="auto"/>
        </w:rPr>
        <w:t>Shareholder’s Resolution on Capital Increase</w:t>
      </w:r>
      <w:r>
        <w:rPr>
          <w:rFonts w:ascii="Arial" w:cs="Arial" w:eastAsia="Arial" w:hAnsi="Arial"/>
          <w:sz w:val="18"/>
          <w:szCs w:val="18"/>
          <w:color w:val="auto"/>
        </w:rPr>
        <w:t>. The Company confirms that:</w:t>
      </w:r>
    </w:p>
    <w:p>
      <w:pPr>
        <w:spacing w:after="0" w:line="117" w:lineRule="exact"/>
        <w:rPr>
          <w:rFonts w:ascii="Arial" w:cs="Arial" w:eastAsia="Arial" w:hAnsi="Arial"/>
          <w:sz w:val="18"/>
          <w:szCs w:val="18"/>
          <w:color w:val="auto"/>
        </w:rPr>
      </w:pPr>
    </w:p>
    <w:p>
      <w:pPr>
        <w:ind w:left="460" w:right="180" w:firstLine="881"/>
        <w:spacing w:after="0" w:line="264" w:lineRule="auto"/>
        <w:tabs>
          <w:tab w:leader="none" w:pos="1551" w:val="left"/>
        </w:tabs>
        <w:numPr>
          <w:ilvl w:val="2"/>
          <w:numId w:val="170"/>
        </w:numPr>
        <w:rPr>
          <w:rFonts w:ascii="Arial" w:cs="Arial" w:eastAsia="Arial" w:hAnsi="Arial"/>
          <w:sz w:val="18"/>
          <w:szCs w:val="18"/>
          <w:color w:val="auto"/>
        </w:rPr>
      </w:pPr>
      <w:r>
        <w:rPr>
          <w:rFonts w:ascii="Arial" w:cs="Arial" w:eastAsia="Arial" w:hAnsi="Arial"/>
          <w:sz w:val="18"/>
          <w:szCs w:val="18"/>
          <w:color w:val="auto"/>
        </w:rPr>
        <w:t>pursuant to the articles of association, the Board may effect an increase of the Company’s share capital in a maximum amount of CHF [•] by issuing up to [•] Securities out of the Company’s authorized share capital, such authorization having been granted by resolution of the shareholders meeting of [•] (</w:t>
      </w:r>
      <w:r>
        <w:rPr>
          <w:rFonts w:ascii="Arial" w:cs="Arial" w:eastAsia="Arial" w:hAnsi="Arial"/>
          <w:sz w:val="18"/>
          <w:szCs w:val="18"/>
          <w:i w:val="1"/>
          <w:iCs w:val="1"/>
          <w:color w:val="auto"/>
        </w:rPr>
        <w:t>Ermächtigungsbeschluss</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460" w:right="420" w:firstLine="881"/>
        <w:spacing w:after="0" w:line="277" w:lineRule="auto"/>
        <w:tabs>
          <w:tab w:leader="none" w:pos="1601" w:val="left"/>
        </w:tabs>
        <w:numPr>
          <w:ilvl w:val="2"/>
          <w:numId w:val="170"/>
        </w:numPr>
        <w:rPr>
          <w:rFonts w:ascii="Arial" w:cs="Arial" w:eastAsia="Arial" w:hAnsi="Arial"/>
          <w:sz w:val="18"/>
          <w:szCs w:val="18"/>
          <w:color w:val="auto"/>
        </w:rPr>
      </w:pPr>
      <w:r>
        <w:rPr>
          <w:rFonts w:ascii="Arial" w:cs="Arial" w:eastAsia="Arial" w:hAnsi="Arial"/>
          <w:sz w:val="18"/>
          <w:szCs w:val="18"/>
          <w:color w:val="auto"/>
        </w:rPr>
        <w:t>all statutory pre-emptive rights to which the existing shareholders of the Company are entitled under Swiss law with respect to the capital increase described in Section 4(a)(i) have been validly set aside or waived.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170"/>
        </w:numPr>
        <w:rPr>
          <w:rFonts w:ascii="Arial" w:cs="Arial" w:eastAsia="Arial" w:hAnsi="Arial"/>
          <w:sz w:val="18"/>
          <w:szCs w:val="18"/>
          <w:color w:val="auto"/>
        </w:rPr>
      </w:pPr>
      <w:r>
        <w:rPr>
          <w:rFonts w:ascii="Arial" w:cs="Arial" w:eastAsia="Arial" w:hAnsi="Arial"/>
          <w:sz w:val="18"/>
          <w:szCs w:val="18"/>
          <w:i w:val="1"/>
          <w:iCs w:val="1"/>
          <w:color w:val="auto"/>
        </w:rPr>
        <w:t>Subscription of Firm Capital Increase</w:t>
      </w:r>
      <w:r>
        <w:rPr>
          <w:rFonts w:ascii="Arial" w:cs="Arial" w:eastAsia="Arial" w:hAnsi="Arial"/>
          <w:sz w:val="18"/>
          <w:szCs w:val="18"/>
          <w:color w:val="auto"/>
        </w:rPr>
        <w:t>. The Representatives, acting in their own names but for the accounts of the several Underwriters, agree,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basis of the representations, warranties and agreements herein contained, to:</w:t>
      </w:r>
    </w:p>
    <w:p>
      <w:pPr>
        <w:spacing w:after="0" w:line="62" w:lineRule="exact"/>
        <w:rPr>
          <w:rFonts w:ascii="Arial" w:cs="Arial" w:eastAsia="Arial" w:hAnsi="Arial"/>
          <w:sz w:val="18"/>
          <w:szCs w:val="18"/>
          <w:color w:val="auto"/>
        </w:rPr>
      </w:pPr>
    </w:p>
    <w:p>
      <w:pPr>
        <w:ind w:left="460" w:right="40" w:firstLine="881"/>
        <w:spacing w:after="0" w:line="257" w:lineRule="auto"/>
        <w:tabs>
          <w:tab w:leader="none" w:pos="1551" w:val="left"/>
        </w:tabs>
        <w:numPr>
          <w:ilvl w:val="2"/>
          <w:numId w:val="170"/>
        </w:numPr>
        <w:rPr>
          <w:rFonts w:ascii="Arial" w:cs="Arial" w:eastAsia="Arial" w:hAnsi="Arial"/>
          <w:sz w:val="18"/>
          <w:szCs w:val="18"/>
          <w:color w:val="auto"/>
        </w:rPr>
      </w:pPr>
      <w:r>
        <w:rPr>
          <w:rFonts w:ascii="Arial" w:cs="Arial" w:eastAsia="Arial" w:hAnsi="Arial"/>
          <w:sz w:val="18"/>
          <w:szCs w:val="18"/>
          <w:color w:val="auto"/>
        </w:rPr>
        <w:t>subscribe, on or by 6:00 a.m. New York time on the third business day immediately preceding the First Closing Date, or such other time and date as agreed between the Company and Representatives, for all of the Firm Securities at the issue price (</w:t>
      </w:r>
      <w:r>
        <w:rPr>
          <w:rFonts w:ascii="Arial" w:cs="Arial" w:eastAsia="Arial" w:hAnsi="Arial"/>
          <w:sz w:val="18"/>
          <w:szCs w:val="18"/>
          <w:i w:val="1"/>
          <w:iCs w:val="1"/>
          <w:color w:val="auto"/>
        </w:rPr>
        <w:t>Ausgabebetrag</w:t>
      </w:r>
      <w:r>
        <w:rPr>
          <w:rFonts w:ascii="Arial" w:cs="Arial" w:eastAsia="Arial" w:hAnsi="Arial"/>
          <w:sz w:val="18"/>
          <w:szCs w:val="18"/>
          <w:color w:val="auto"/>
        </w:rPr>
        <w:t>) of CHF 0.02 per Firm Security corresponding to the nominal value for each Firm Security and to deliver the corresponding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xml:space="preserve">) to the Company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by not later than 6:00 a.m. New York time on the third business day immediately preceding the Closing Date; and</w:t>
      </w:r>
    </w:p>
    <w:p>
      <w:pPr>
        <w:spacing w:after="0" w:line="80" w:lineRule="exact"/>
        <w:rPr>
          <w:rFonts w:ascii="Arial" w:cs="Arial" w:eastAsia="Arial" w:hAnsi="Arial"/>
          <w:sz w:val="18"/>
          <w:szCs w:val="18"/>
          <w:color w:val="auto"/>
        </w:rPr>
      </w:pPr>
    </w:p>
    <w:p>
      <w:pPr>
        <w:ind w:left="460" w:right="60" w:firstLine="881"/>
        <w:spacing w:after="0" w:line="271" w:lineRule="auto"/>
        <w:tabs>
          <w:tab w:leader="none" w:pos="1601" w:val="left"/>
        </w:tabs>
        <w:numPr>
          <w:ilvl w:val="2"/>
          <w:numId w:val="170"/>
        </w:numPr>
        <w:rPr>
          <w:rFonts w:ascii="Arial" w:cs="Arial" w:eastAsia="Arial" w:hAnsi="Arial"/>
          <w:sz w:val="17"/>
          <w:szCs w:val="17"/>
          <w:color w:val="auto"/>
        </w:rPr>
      </w:pPr>
      <w:r>
        <w:rPr>
          <w:rFonts w:ascii="Arial" w:cs="Arial" w:eastAsia="Arial" w:hAnsi="Arial"/>
          <w:sz w:val="17"/>
          <w:szCs w:val="17"/>
          <w:color w:val="auto"/>
        </w:rPr>
        <w:t>deposit or cause to be deposited, not later than 7:30 a.m. New York time on the second business day immediately preceding the First Closing Date, or such other time and date as agreed between the Company and Representatives, same-day funds for value in the amount of CHF [•] (corresponding to the aggregate nominal value of the Firm Securities) (the “</w:t>
      </w:r>
      <w:r>
        <w:rPr>
          <w:rFonts w:ascii="Arial" w:cs="Arial" w:eastAsia="Arial" w:hAnsi="Arial"/>
          <w:sz w:val="17"/>
          <w:szCs w:val="17"/>
          <w:b w:val="1"/>
          <w:bCs w:val="1"/>
          <w:color w:val="auto"/>
        </w:rPr>
        <w:t>Firm Capital Increase Amount</w:t>
      </w:r>
      <w:r>
        <w:rPr>
          <w:rFonts w:ascii="Arial" w:cs="Arial" w:eastAsia="Arial" w:hAnsi="Arial"/>
          <w:sz w:val="17"/>
          <w:szCs w:val="17"/>
          <w:color w:val="auto"/>
        </w:rPr>
        <w:t>”) with UBS AG, Basel, Switzerland, SWIFT Code (BIC): UBSWCHZH80A, bank clearing No: 243 (the “</w:t>
      </w:r>
      <w:r>
        <w:rPr>
          <w:rFonts w:ascii="Arial" w:cs="Arial" w:eastAsia="Arial" w:hAnsi="Arial"/>
          <w:sz w:val="17"/>
          <w:szCs w:val="17"/>
          <w:b w:val="1"/>
          <w:bCs w:val="1"/>
          <w:color w:val="auto"/>
        </w:rPr>
        <w:t>Capital Increase Bank</w:t>
      </w:r>
      <w:r>
        <w:rPr>
          <w:rFonts w:ascii="Arial" w:cs="Arial" w:eastAsia="Arial" w:hAnsi="Arial"/>
          <w:sz w:val="17"/>
          <w:szCs w:val="17"/>
          <w:color w:val="auto"/>
        </w:rPr>
        <w:t>”), in a blocked account for such capital increase (</w:t>
      </w:r>
      <w:r>
        <w:rPr>
          <w:rFonts w:ascii="Arial" w:cs="Arial" w:eastAsia="Arial" w:hAnsi="Arial"/>
          <w:sz w:val="17"/>
          <w:szCs w:val="17"/>
          <w:i w:val="1"/>
          <w:iCs w:val="1"/>
          <w:color w:val="auto"/>
        </w:rPr>
        <w:t>Kapitaleinzahlungskonto</w:t>
      </w:r>
      <w:r>
        <w:rPr>
          <w:rFonts w:ascii="Arial" w:cs="Arial" w:eastAsia="Arial" w:hAnsi="Arial"/>
          <w:sz w:val="17"/>
          <w:szCs w:val="17"/>
          <w:color w:val="auto"/>
        </w:rPr>
        <w:t>), account number 0243 00179630.D7C, made out to the Company’s name (the “</w:t>
      </w:r>
      <w:r>
        <w:rPr>
          <w:rFonts w:ascii="Arial" w:cs="Arial" w:eastAsia="Arial" w:hAnsi="Arial"/>
          <w:sz w:val="17"/>
          <w:szCs w:val="17"/>
          <w:b w:val="1"/>
          <w:bCs w:val="1"/>
          <w:color w:val="auto"/>
        </w:rPr>
        <w:t>Firm Capital Increase Account</w:t>
      </w:r>
      <w:r>
        <w:rPr>
          <w:rFonts w:ascii="Arial" w:cs="Arial" w:eastAsia="Arial" w:hAnsi="Arial"/>
          <w:sz w:val="17"/>
          <w:szCs w:val="17"/>
          <w:color w:val="auto"/>
        </w:rPr>
        <w:t>”), and to cause the Capital Increase Bank to issue and deliver to VISCHER AG, Aeschenvorstadt 4, CHF 4010 Basel a written original confirmation of payment of the Firm Capital Increase Amount to the Company no later than 12:00 p.m. New York time on the second business day immediately preceding the First Closing Date (or such other time and date as agreed between the Company and the Representatives).</w:t>
      </w:r>
    </w:p>
    <w:p>
      <w:pPr>
        <w:spacing w:after="0" w:line="70" w:lineRule="exact"/>
        <w:rPr>
          <w:rFonts w:ascii="Arial" w:cs="Arial" w:eastAsia="Arial" w:hAnsi="Arial"/>
          <w:sz w:val="17"/>
          <w:szCs w:val="17"/>
          <w:color w:val="auto"/>
        </w:rPr>
      </w:pPr>
    </w:p>
    <w:p>
      <w:pPr>
        <w:ind w:left="460" w:firstLine="443"/>
        <w:spacing w:after="0" w:line="264" w:lineRule="auto"/>
        <w:tabs>
          <w:tab w:leader="none" w:pos="1143" w:val="left"/>
        </w:tabs>
        <w:numPr>
          <w:ilvl w:val="1"/>
          <w:numId w:val="170"/>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Firm Capital Increase</w:t>
      </w:r>
      <w:r>
        <w:rPr>
          <w:rFonts w:ascii="Arial" w:cs="Arial" w:eastAsia="Arial" w:hAnsi="Arial"/>
          <w:sz w:val="18"/>
          <w:szCs w:val="18"/>
          <w:color w:val="auto"/>
        </w:rPr>
        <w:t>. Upon receipt of the documents referred to in Section 4(b) and before 2:30 a.m.</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time on the first business day immediately preceding the First Closing Date, or such other time and date as agreed between the Company and the Representatives, the Board (or a committee or a Board member duly authorized by the Board) will:</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2"/>
          <w:numId w:val="170"/>
        </w:numPr>
        <w:rPr>
          <w:rFonts w:ascii="Arial" w:cs="Arial" w:eastAsia="Arial" w:hAnsi="Arial"/>
          <w:sz w:val="17"/>
          <w:szCs w:val="17"/>
          <w:color w:val="auto"/>
        </w:rPr>
      </w:pPr>
      <w:r>
        <w:rPr>
          <w:rFonts w:ascii="Arial" w:cs="Arial" w:eastAsia="Arial" w:hAnsi="Arial"/>
          <w:sz w:val="17"/>
          <w:szCs w:val="17"/>
          <w:color w:val="auto"/>
        </w:rPr>
        <w:t>pass a capital increase resolution (</w:t>
      </w:r>
      <w:r>
        <w:rPr>
          <w:rFonts w:ascii="Arial" w:cs="Arial" w:eastAsia="Arial" w:hAnsi="Arial"/>
          <w:sz w:val="17"/>
          <w:szCs w:val="17"/>
          <w:i w:val="1"/>
          <w:iCs w:val="1"/>
          <w:color w:val="auto"/>
        </w:rPr>
        <w:t>Erhöhungsbeschluss</w:t>
      </w:r>
      <w:r>
        <w:rPr>
          <w:rFonts w:ascii="Arial" w:cs="Arial" w:eastAsia="Arial" w:hAnsi="Arial"/>
          <w:sz w:val="17"/>
          <w:szCs w:val="17"/>
          <w:color w:val="auto"/>
        </w:rPr>
        <w:t>) regarding the issuance of the Firm Securities subscribed for pursuant to</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4(b)(i) (the “</w:t>
      </w:r>
      <w:r>
        <w:rPr>
          <w:rFonts w:ascii="Arial" w:cs="Arial" w:eastAsia="Arial" w:hAnsi="Arial"/>
          <w:sz w:val="18"/>
          <w:szCs w:val="18"/>
          <w:b w:val="1"/>
          <w:bCs w:val="1"/>
          <w:color w:val="auto"/>
        </w:rPr>
        <w:t>Firm Capital Increase</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0" w:name="page251"/>
    <w:bookmarkEnd w:id="250"/>
    <w:p>
      <w:pPr>
        <w:ind w:left="460" w:firstLine="881"/>
        <w:spacing w:after="0" w:line="277" w:lineRule="auto"/>
        <w:tabs>
          <w:tab w:leader="none" w:pos="16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adopt a report on the Firm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62" w:lineRule="exact"/>
        <w:rPr>
          <w:rFonts w:ascii="Arial" w:cs="Arial" w:eastAsia="Arial" w:hAnsi="Arial"/>
          <w:sz w:val="18"/>
          <w:szCs w:val="18"/>
          <w:color w:val="auto"/>
        </w:rPr>
      </w:pPr>
    </w:p>
    <w:p>
      <w:pPr>
        <w:ind w:left="460" w:right="60" w:firstLine="881"/>
        <w:spacing w:after="0" w:line="277" w:lineRule="auto"/>
        <w:tabs>
          <w:tab w:leader="none" w:pos="165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resolve on the Firm Capital Increase and making all amendments to the articles of association of the Company necessary in connection with the Firm Capital Increase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80" w:firstLine="881"/>
        <w:spacing w:after="0" w:line="308" w:lineRule="auto"/>
        <w:tabs>
          <w:tab w:leader="none" w:pos="164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promptly thereafter, no later than 6:00 a.m. New York time on the first business day immediately preceding the First Closing Date, file the documents necessary for the registration of the Firm Capital Increase with the Commercial Register of the Canton of Vaud;</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this Agreement is terminated pursuant to Section 12 prior to the Company filing the relevant resolutions with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of the Canton of Vaud, (A) the Company undertakes not to resolve on the Firm Capital Increase (if it has not already done so) or to file the relevant resolutions with the Commercial Register of the Canton of Vaud, and (B) the Company shall immediately cause the Capital Increase Bank to release the Firm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85" w:lineRule="exact"/>
        <w:rPr>
          <w:sz w:val="20"/>
          <w:szCs w:val="20"/>
          <w:color w:val="auto"/>
        </w:rPr>
      </w:pPr>
    </w:p>
    <w:p>
      <w:pPr>
        <w:ind w:left="460" w:right="320" w:firstLine="443"/>
        <w:spacing w:after="0" w:line="342" w:lineRule="auto"/>
        <w:tabs>
          <w:tab w:leader="none" w:pos="1153"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Issue of Firm Securities</w:t>
      </w:r>
      <w:r>
        <w:rPr>
          <w:rFonts w:ascii="Arial" w:cs="Arial" w:eastAsia="Arial" w:hAnsi="Arial"/>
          <w:sz w:val="16"/>
          <w:szCs w:val="16"/>
          <w:color w:val="auto"/>
        </w:rPr>
        <w:t>. Immediately after the registration of the Firm Capital Increase in the Commercial Register of the Canton of Vaud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4(c), but in no event later than 3:00 p.m. New York time on the business day prior to the First Closing Date, the Company will:</w:t>
      </w:r>
    </w:p>
    <w:p>
      <w:pPr>
        <w:spacing w:after="0" w:line="15" w:lineRule="exact"/>
        <w:rPr>
          <w:rFonts w:ascii="Arial" w:cs="Arial" w:eastAsia="Arial" w:hAnsi="Arial"/>
          <w:sz w:val="16"/>
          <w:szCs w:val="16"/>
          <w:color w:val="auto"/>
        </w:rPr>
      </w:pPr>
    </w:p>
    <w:p>
      <w:pPr>
        <w:ind w:left="460" w:right="80" w:firstLine="881"/>
        <w:spacing w:after="0" w:line="276" w:lineRule="auto"/>
        <w:tabs>
          <w:tab w:leader="none" w:pos="155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deliver to each of the Representatives and the Capital Increase Bank, (A) a copy of the certified excerpt of the journal entry (</w:t>
      </w:r>
      <w:r>
        <w:rPr>
          <w:rFonts w:ascii="Arial" w:cs="Arial" w:eastAsia="Arial" w:hAnsi="Arial"/>
          <w:sz w:val="17"/>
          <w:szCs w:val="17"/>
          <w:i w:val="1"/>
          <w:iCs w:val="1"/>
          <w:color w:val="auto"/>
        </w:rPr>
        <w:t>Tagebuch</w:t>
      </w:r>
      <w:r>
        <w:rPr>
          <w:rFonts w:ascii="Arial" w:cs="Arial" w:eastAsia="Arial" w:hAnsi="Arial"/>
          <w:sz w:val="17"/>
          <w:szCs w:val="17"/>
          <w:color w:val="auto"/>
        </w:rPr>
        <w:t>) or a copy of the certified excerpt from the Commercial Register of the Canton of Vaud evidencing the Firm Capital Increase, (B) a copy of the certified updated articles of association of the Company evidencing the Firm Capital Increase, (C) a copy of the Company’s book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evidencing the Underwriters as first holders of the Firm Securities, and (D) a copy of the share register (</w:t>
      </w:r>
      <w:r>
        <w:rPr>
          <w:rFonts w:ascii="Arial" w:cs="Arial" w:eastAsia="Arial" w:hAnsi="Arial"/>
          <w:sz w:val="17"/>
          <w:szCs w:val="17"/>
          <w:i w:val="1"/>
          <w:iCs w:val="1"/>
          <w:color w:val="auto"/>
        </w:rPr>
        <w:t>Aktienbuch</w:t>
      </w:r>
      <w:r>
        <w:rPr>
          <w:rFonts w:ascii="Arial" w:cs="Arial" w:eastAsia="Arial" w:hAnsi="Arial"/>
          <w:sz w:val="17"/>
          <w:szCs w:val="17"/>
          <w:color w:val="auto"/>
        </w:rPr>
        <w:t>) of the Company evidencing the Underwriters as shareholders with respect to the Firm Securities; and</w:t>
      </w:r>
    </w:p>
    <w:p>
      <w:pPr>
        <w:spacing w:after="0" w:line="64" w:lineRule="exact"/>
        <w:rPr>
          <w:rFonts w:ascii="Arial" w:cs="Arial" w:eastAsia="Arial" w:hAnsi="Arial"/>
          <w:sz w:val="17"/>
          <w:szCs w:val="17"/>
          <w:color w:val="auto"/>
        </w:rPr>
      </w:pPr>
    </w:p>
    <w:p>
      <w:pPr>
        <w:ind w:left="460" w:right="100" w:firstLine="881"/>
        <w:spacing w:after="0" w:line="264" w:lineRule="auto"/>
        <w:tabs>
          <w:tab w:leader="none" w:pos="16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take all steps necessary to ensure that the Firm Securities will be (A) duly recorded in an account of the Underwriters at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on the First Closing Date; and (B) freely transferable (subject to any applicable restrictions set forth in the articles of association of the Company) on the First Closing Date.</w:t>
      </w:r>
    </w:p>
    <w:p>
      <w:pPr>
        <w:spacing w:after="0" w:line="73" w:lineRule="exact"/>
        <w:rPr>
          <w:rFonts w:ascii="Arial" w:cs="Arial" w:eastAsia="Arial" w:hAnsi="Arial"/>
          <w:sz w:val="18"/>
          <w:szCs w:val="18"/>
          <w:color w:val="auto"/>
        </w:rPr>
      </w:pPr>
    </w:p>
    <w:p>
      <w:pPr>
        <w:jc w:val="both"/>
        <w:ind w:left="460" w:right="180" w:firstLine="443"/>
        <w:spacing w:after="0" w:line="264" w:lineRule="auto"/>
        <w:tabs>
          <w:tab w:leader="none" w:pos="1143"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Use of Firm Capital Increase Amount</w:t>
      </w:r>
      <w:r>
        <w:rPr>
          <w:rFonts w:ascii="Arial" w:cs="Arial" w:eastAsia="Arial" w:hAnsi="Arial"/>
          <w:sz w:val="18"/>
          <w:szCs w:val="18"/>
          <w:color w:val="auto"/>
        </w:rPr>
        <w:t>. The funds deposited in the Firm Capital Increase Account shall, upon registration of the Firm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pursuant to Section 4(c) and upon request by the Company, be transferred to a separate account of the Company with the Represenatives and shall, in such case, remain so deposited for the account of the Company until the earlier of:</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issuance of the Firm Securities to the Underwriters as set forth in Section 4(d) on the First Closing Date; and</w:t>
      </w:r>
    </w:p>
    <w:p>
      <w:pPr>
        <w:spacing w:after="0" w:line="117" w:lineRule="exact"/>
        <w:rPr>
          <w:rFonts w:ascii="Arial" w:cs="Arial" w:eastAsia="Arial" w:hAnsi="Arial"/>
          <w:sz w:val="18"/>
          <w:szCs w:val="18"/>
          <w:color w:val="auto"/>
        </w:rPr>
      </w:pPr>
    </w:p>
    <w:p>
      <w:pPr>
        <w:ind w:left="460" w:right="80" w:firstLine="881"/>
        <w:spacing w:after="0" w:line="277" w:lineRule="auto"/>
        <w:tabs>
          <w:tab w:leader="none" w:pos="16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date of receipt by the Representatives on behalf of the several Underwriters of the proceeds of (A) the sale of the Firm Securities as set forth in Sections 14(b), 14(c) or 14(e) or (B) the Capital Reduction as set forth in Section 14(d), as the case may be.</w:t>
      </w:r>
    </w:p>
    <w:p>
      <w:pPr>
        <w:spacing w:after="0" w:line="62" w:lineRule="exact"/>
        <w:rPr>
          <w:sz w:val="20"/>
          <w:szCs w:val="20"/>
          <w:color w:val="auto"/>
        </w:rPr>
      </w:pPr>
    </w:p>
    <w:p>
      <w:pPr>
        <w:ind w:left="460" w:right="520" w:firstLine="438"/>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Firm Capital Increase Account pursuant to this Section 4(e) shall be payable directly to the Capital Increase Bank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1" w:name="page252"/>
    <w:bookmarkEnd w:id="251"/>
    <w:p>
      <w:pPr>
        <w:ind w:left="180" w:hanging="176"/>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and Issuance of Optional Securities.</w:t>
      </w:r>
    </w:p>
    <w:p>
      <w:pPr>
        <w:spacing w:after="0" w:line="117" w:lineRule="exact"/>
        <w:rPr>
          <w:rFonts w:ascii="Arial" w:cs="Arial" w:eastAsia="Arial" w:hAnsi="Arial"/>
          <w:sz w:val="18"/>
          <w:szCs w:val="18"/>
          <w:color w:val="auto"/>
        </w:rPr>
      </w:pPr>
    </w:p>
    <w:p>
      <w:pPr>
        <w:ind w:left="680" w:hanging="237"/>
        <w:spacing w:after="0"/>
        <w:tabs>
          <w:tab w:leader="none" w:pos="680" w:val="left"/>
        </w:tabs>
        <w:numPr>
          <w:ilvl w:val="1"/>
          <w:numId w:val="173"/>
        </w:numPr>
        <w:rPr>
          <w:rFonts w:ascii="Arial" w:cs="Arial" w:eastAsia="Arial" w:hAnsi="Arial"/>
          <w:sz w:val="17"/>
          <w:szCs w:val="17"/>
          <w:color w:val="auto"/>
        </w:rPr>
      </w:pPr>
      <w:r>
        <w:rPr>
          <w:rFonts w:ascii="Arial" w:cs="Arial" w:eastAsia="Arial" w:hAnsi="Arial"/>
          <w:sz w:val="17"/>
          <w:szCs w:val="17"/>
          <w:i w:val="1"/>
          <w:iCs w:val="1"/>
          <w:color w:val="auto"/>
        </w:rPr>
        <w:t>Subscription of Over-Allotment Capital Increase</w:t>
      </w:r>
      <w:r>
        <w:rPr>
          <w:rFonts w:ascii="Arial" w:cs="Arial" w:eastAsia="Arial" w:hAnsi="Arial"/>
          <w:sz w:val="17"/>
          <w:szCs w:val="17"/>
          <w:color w:val="auto"/>
        </w:rPr>
        <w:t>. If the Representatives exercise the option granted to them under Section 3 of this</w:t>
      </w:r>
    </w:p>
    <w:p>
      <w:pPr>
        <w:spacing w:after="0" w:line="34" w:lineRule="exact"/>
        <w:rPr>
          <w:rFonts w:ascii="Arial" w:cs="Arial" w:eastAsia="Arial" w:hAnsi="Arial"/>
          <w:sz w:val="17"/>
          <w:szCs w:val="17"/>
          <w:color w:val="auto"/>
        </w:rPr>
      </w:pPr>
    </w:p>
    <w:p>
      <w:pPr>
        <w:ind w:right="160"/>
        <w:spacing w:after="0" w:line="323" w:lineRule="auto"/>
        <w:rPr>
          <w:rFonts w:ascii="Arial" w:cs="Arial" w:eastAsia="Arial" w:hAnsi="Arial"/>
          <w:sz w:val="17"/>
          <w:szCs w:val="17"/>
          <w:color w:val="auto"/>
        </w:rPr>
      </w:pPr>
      <w:r>
        <w:rPr>
          <w:rFonts w:ascii="Arial" w:cs="Arial" w:eastAsia="Arial" w:hAnsi="Arial"/>
          <w:sz w:val="16"/>
          <w:szCs w:val="16"/>
          <w:color w:val="auto"/>
        </w:rPr>
        <w:t>Agreement, the Representatives, acting in their own names but for the accounts of the several Underwriters, agree, on the basis of the representations, warranties and agreements herein contained, and subject to the conditions stated below and to this Agreement having not been terminated, to:</w:t>
      </w:r>
    </w:p>
    <w:p>
      <w:pPr>
        <w:spacing w:after="0" w:line="31" w:lineRule="exact"/>
        <w:rPr>
          <w:sz w:val="20"/>
          <w:szCs w:val="20"/>
          <w:color w:val="auto"/>
        </w:rPr>
      </w:pPr>
    </w:p>
    <w:p>
      <w:pPr>
        <w:ind w:right="120" w:firstLine="881"/>
        <w:spacing w:after="0" w:line="276" w:lineRule="auto"/>
        <w:tabs>
          <w:tab w:leader="none" w:pos="1091" w:val="left"/>
        </w:tabs>
        <w:numPr>
          <w:ilvl w:val="1"/>
          <w:numId w:val="174"/>
        </w:numPr>
        <w:rPr>
          <w:rFonts w:ascii="Arial" w:cs="Arial" w:eastAsia="Arial" w:hAnsi="Arial"/>
          <w:sz w:val="17"/>
          <w:szCs w:val="17"/>
          <w:color w:val="auto"/>
        </w:rPr>
      </w:pPr>
      <w:r>
        <w:rPr>
          <w:rFonts w:ascii="Arial" w:cs="Arial" w:eastAsia="Arial" w:hAnsi="Arial"/>
          <w:sz w:val="17"/>
          <w:szCs w:val="17"/>
          <w:color w:val="auto"/>
        </w:rPr>
        <w:t>subscribe for the number of Optional Securities for which the option to purchase has been exercised pursuant to Section 3 (the “</w:t>
      </w:r>
      <w:r>
        <w:rPr>
          <w:rFonts w:ascii="Arial" w:cs="Arial" w:eastAsia="Arial" w:hAnsi="Arial"/>
          <w:sz w:val="17"/>
          <w:szCs w:val="17"/>
          <w:b w:val="1"/>
          <w:bCs w:val="1"/>
          <w:color w:val="auto"/>
        </w:rPr>
        <w:t>Applicable Optional Securities</w:t>
      </w:r>
      <w:r>
        <w:rPr>
          <w:rFonts w:ascii="Arial" w:cs="Arial" w:eastAsia="Arial" w:hAnsi="Arial"/>
          <w:sz w:val="17"/>
          <w:szCs w:val="17"/>
          <w:color w:val="auto"/>
        </w:rPr>
        <w:t>”) at the issue price (</w:t>
      </w:r>
      <w:r>
        <w:rPr>
          <w:rFonts w:ascii="Arial" w:cs="Arial" w:eastAsia="Arial" w:hAnsi="Arial"/>
          <w:sz w:val="17"/>
          <w:szCs w:val="17"/>
          <w:i w:val="1"/>
          <w:iCs w:val="1"/>
          <w:color w:val="auto"/>
        </w:rPr>
        <w:t>Ausgabebetrag</w:t>
      </w:r>
      <w:r>
        <w:rPr>
          <w:rFonts w:ascii="Arial" w:cs="Arial" w:eastAsia="Arial" w:hAnsi="Arial"/>
          <w:sz w:val="17"/>
          <w:szCs w:val="17"/>
          <w:color w:val="auto"/>
        </w:rPr>
        <w:t>) of CHF 0.02 for each Applicable Optional Security corresponding to the nominal value of each Applicable Optional Security, and to deliver the corresponding subscription form (</w:t>
      </w:r>
      <w:r>
        <w:rPr>
          <w:rFonts w:ascii="Arial" w:cs="Arial" w:eastAsia="Arial" w:hAnsi="Arial"/>
          <w:sz w:val="17"/>
          <w:szCs w:val="17"/>
          <w:i w:val="1"/>
          <w:iCs w:val="1"/>
          <w:color w:val="auto"/>
        </w:rPr>
        <w:t>Zeichnungsschein</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to the Company by not later than 6:00 a.m. New York time on the third business day immediately preceding the Optional Closing Date (or such other date set forth in the relevant option exercise notice delivered by the Representatives pursuant to Section 3); and</w:t>
      </w:r>
    </w:p>
    <w:p>
      <w:pPr>
        <w:spacing w:after="0" w:line="64" w:lineRule="exact"/>
        <w:rPr>
          <w:rFonts w:ascii="Arial" w:cs="Arial" w:eastAsia="Arial" w:hAnsi="Arial"/>
          <w:sz w:val="17"/>
          <w:szCs w:val="17"/>
          <w:color w:val="auto"/>
        </w:rPr>
      </w:pPr>
    </w:p>
    <w:p>
      <w:pPr>
        <w:ind w:right="100" w:firstLine="881"/>
        <w:spacing w:after="0" w:line="271" w:lineRule="auto"/>
        <w:tabs>
          <w:tab w:leader="none" w:pos="1141"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deposit or cause to be deposited, not later than 7:30 a.m. New York time on the second business day immediately preceding the Optional Closing Date (or such other date set forth in the relevant option exercise notice delivered by the Representatives pursuant to Section 3), same day funds for value on such date, in the amount of CHF 0.02 multiplied by the number of Applicable Optional Securities (the “</w:t>
      </w:r>
      <w:r>
        <w:rPr>
          <w:rFonts w:ascii="Arial" w:cs="Arial" w:eastAsia="Arial" w:hAnsi="Arial"/>
          <w:sz w:val="17"/>
          <w:szCs w:val="17"/>
          <w:b w:val="1"/>
          <w:bCs w:val="1"/>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Increase Amount</w:t>
      </w:r>
      <w:r>
        <w:rPr>
          <w:rFonts w:ascii="Arial" w:cs="Arial" w:eastAsia="Arial" w:hAnsi="Arial"/>
          <w:sz w:val="17"/>
          <w:szCs w:val="17"/>
          <w:color w:val="auto"/>
        </w:rPr>
        <w:t>”) with the Capital Increase Bank, in a blocked account for the Over-Allotment Capital Increase (</w:t>
      </w:r>
      <w:r>
        <w:rPr>
          <w:rFonts w:ascii="Arial" w:cs="Arial" w:eastAsia="Arial" w:hAnsi="Arial"/>
          <w:sz w:val="17"/>
          <w:szCs w:val="17"/>
          <w:i w:val="1"/>
          <w:iCs w:val="1"/>
          <w:color w:val="auto"/>
        </w:rPr>
        <w:t>Kapitaleinzahlungskonto</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number 0243 00179630.D7C, made out to the Company’s name (the “</w:t>
      </w:r>
      <w:r>
        <w:rPr>
          <w:rFonts w:ascii="Arial" w:cs="Arial" w:eastAsia="Arial" w:hAnsi="Arial"/>
          <w:sz w:val="17"/>
          <w:szCs w:val="17"/>
          <w:b w:val="1"/>
          <w:bCs w:val="1"/>
          <w:color w:val="auto"/>
        </w:rPr>
        <w:t>Over-Allotment Capital Increase Account</w:t>
      </w:r>
      <w:r>
        <w:rPr>
          <w:rFonts w:ascii="Arial" w:cs="Arial" w:eastAsia="Arial" w:hAnsi="Arial"/>
          <w:sz w:val="17"/>
          <w:szCs w:val="17"/>
          <w:color w:val="auto"/>
        </w:rPr>
        <w:t>”), and to cause the Capital Increase Bank to issue and deliver a written confirmation of payment of the Over-Allotment Capital Increase Amount to the Company no later than 12:00 p.m. New York time on the second business day immediately preceding the Optional Closing Date (or at a later date, as set forth in the option exercise notice delivered by the Representatives pursuant to Section 3).</w:t>
      </w:r>
    </w:p>
    <w:p>
      <w:pPr>
        <w:spacing w:after="0" w:line="70" w:lineRule="exact"/>
        <w:rPr>
          <w:rFonts w:ascii="Arial" w:cs="Arial" w:eastAsia="Arial" w:hAnsi="Arial"/>
          <w:sz w:val="17"/>
          <w:szCs w:val="17"/>
          <w:color w:val="auto"/>
        </w:rPr>
      </w:pPr>
    </w:p>
    <w:p>
      <w:pPr>
        <w:jc w:val="both"/>
        <w:ind w:right="80" w:firstLine="443"/>
        <w:spacing w:after="0" w:line="259" w:lineRule="auto"/>
        <w:tabs>
          <w:tab w:leader="none" w:pos="693"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Over-Allotment Capital Increase</w:t>
      </w:r>
      <w:r>
        <w:rPr>
          <w:rFonts w:ascii="Arial" w:cs="Arial" w:eastAsia="Arial" w:hAnsi="Arial"/>
          <w:sz w:val="18"/>
          <w:szCs w:val="18"/>
          <w:color w:val="auto"/>
        </w:rPr>
        <w:t>. Upon receipt of the documents referred to under Section 5(a) in</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 to any Applicable Optional Securities and before 2:30 a.m. New York time on the first business day immediately preceding the Optional Closing Date (or at a later date, as set forth in the relevant option exercise notice delivered by the Representatives pursuant to Section 3), the Board (or a committee or Board member duly authorized by the Board) will:</w:t>
      </w:r>
    </w:p>
    <w:p>
      <w:pPr>
        <w:spacing w:after="0" w:line="78" w:lineRule="exact"/>
        <w:rPr>
          <w:rFonts w:ascii="Arial" w:cs="Arial" w:eastAsia="Arial" w:hAnsi="Arial"/>
          <w:sz w:val="18"/>
          <w:szCs w:val="18"/>
          <w:color w:val="auto"/>
        </w:rPr>
      </w:pPr>
    </w:p>
    <w:p>
      <w:pPr>
        <w:ind w:right="400" w:firstLine="881"/>
        <w:spacing w:after="0" w:line="277" w:lineRule="auto"/>
        <w:tabs>
          <w:tab w:leader="none" w:pos="109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pass a capital increase resolution (</w:t>
      </w:r>
      <w:r>
        <w:rPr>
          <w:rFonts w:ascii="Arial" w:cs="Arial" w:eastAsia="Arial" w:hAnsi="Arial"/>
          <w:sz w:val="18"/>
          <w:szCs w:val="18"/>
          <w:i w:val="1"/>
          <w:iCs w:val="1"/>
          <w:color w:val="auto"/>
        </w:rPr>
        <w:t>Erhöhungsbeschluss</w:t>
      </w:r>
      <w:r>
        <w:rPr>
          <w:rFonts w:ascii="Arial" w:cs="Arial" w:eastAsia="Arial" w:hAnsi="Arial"/>
          <w:sz w:val="18"/>
          <w:szCs w:val="18"/>
          <w:color w:val="auto"/>
        </w:rPr>
        <w:t>) regarding the issuance of the Applicable Optional Securities subscribed for pursuant to Section 5(a)(i) (the “</w:t>
      </w:r>
      <w:r>
        <w:rPr>
          <w:rFonts w:ascii="Arial" w:cs="Arial" w:eastAsia="Arial" w:hAnsi="Arial"/>
          <w:sz w:val="18"/>
          <w:szCs w:val="18"/>
          <w:b w:val="1"/>
          <w:bCs w:val="1"/>
          <w:color w:val="auto"/>
        </w:rPr>
        <w:t>Over-Allotment Capital Increase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adopt a report on the Over-Allotment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103" w:lineRule="exact"/>
        <w:rPr>
          <w:sz w:val="20"/>
          <w:szCs w:val="20"/>
          <w:color w:val="auto"/>
        </w:rPr>
      </w:pPr>
    </w:p>
    <w:p>
      <w:pPr>
        <w:ind w:right="80" w:firstLine="881"/>
        <w:spacing w:after="0" w:line="277" w:lineRule="auto"/>
        <w:tabs>
          <w:tab w:leader="none" w:pos="119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resolve on the Over-Allotment Capital Increase and making all amendments to the articles of association of the Company necessary in connection with the Over-Allotment Capital Increase (</w:t>
      </w:r>
      <w:r>
        <w:rPr>
          <w:rFonts w:ascii="Arial" w:cs="Arial" w:eastAsia="Arial" w:hAnsi="Arial"/>
          <w:sz w:val="18"/>
          <w:szCs w:val="18"/>
          <w:i w:val="1"/>
          <w:iCs w:val="1"/>
          <w:color w:val="auto"/>
        </w:rPr>
        <w:t>Feststellungs-und Statutenänderungsbeschluss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firstLine="881"/>
        <w:spacing w:after="0" w:line="255" w:lineRule="auto"/>
        <w:tabs>
          <w:tab w:leader="none" w:pos="11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promptly thereafter, no later than 6:00 a.m. New York time on the first business day immediately preceding the Optional Closing Date (or at a later date, as set forth in the relevant option exercise notice delivered by the Representatives pursuant to Section 3) file the documents necessary for the registration of the Over-Allotment Capital Increase with the Commercial Register of the Canton of Vaud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this Agreement is terminated pursuant to Section 12 prior to the Company filing the relevant resolutions with the Commercial Register of the Canton of Vaud, (A) the Company undertakes not to resolve on the Over-Allotment Capital Increase (if it has not already done so) or to file the relevant resolutions with the Commercial Register of the Canton of Vaud, and (B) the</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252" w:name="page253"/>
    <w:bookmarkEnd w:id="252"/>
    <w:p>
      <w:pPr>
        <w:ind w:left="440"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immediately cause the Capital Increase Bank to release the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39" w:lineRule="exact"/>
        <w:rPr>
          <w:sz w:val="20"/>
          <w:szCs w:val="20"/>
          <w:color w:val="auto"/>
        </w:rPr>
      </w:pPr>
    </w:p>
    <w:p>
      <w:pPr>
        <w:jc w:val="both"/>
        <w:ind w:left="440" w:right="40" w:firstLine="443"/>
        <w:spacing w:after="0" w:line="259" w:lineRule="auto"/>
        <w:tabs>
          <w:tab w:leader="none" w:pos="1123"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Issue of Applicable Optional Securities</w:t>
      </w:r>
      <w:r>
        <w:rPr>
          <w:rFonts w:ascii="Arial" w:cs="Arial" w:eastAsia="Arial" w:hAnsi="Arial"/>
          <w:sz w:val="18"/>
          <w:szCs w:val="18"/>
          <w:color w:val="auto"/>
        </w:rPr>
        <w:t>. Immediately after the registration of the Over-Allotment Capital Increase in the Commercial Register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Canton of Vaud pursuant to Section 5(b) in relation to any Applicable Optional Securities, but in no event later than 3:00 p.m. New York time on the business day prior to the Optional Closing Date (or such other date set forth in the relevant option exercise notice delivered by the Representatives pursuant to Section 3), the Company will:</w:t>
      </w:r>
    </w:p>
    <w:p>
      <w:pPr>
        <w:spacing w:after="0" w:line="78" w:lineRule="exact"/>
        <w:rPr>
          <w:rFonts w:ascii="Arial" w:cs="Arial" w:eastAsia="Arial" w:hAnsi="Arial"/>
          <w:sz w:val="18"/>
          <w:szCs w:val="18"/>
          <w:color w:val="auto"/>
        </w:rPr>
      </w:pPr>
    </w:p>
    <w:p>
      <w:pPr>
        <w:ind w:left="440" w:right="40" w:firstLine="881"/>
        <w:spacing w:after="0" w:line="255" w:lineRule="auto"/>
        <w:tabs>
          <w:tab w:leader="none" w:pos="153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deliver to the Representatives, the Capital Increase Bank and the share registrar of the Company, (A) a copy of the certified excerpt of the journal entry (</w:t>
      </w:r>
      <w:r>
        <w:rPr>
          <w:rFonts w:ascii="Arial" w:cs="Arial" w:eastAsia="Arial" w:hAnsi="Arial"/>
          <w:sz w:val="18"/>
          <w:szCs w:val="18"/>
          <w:i w:val="1"/>
          <w:iCs w:val="1"/>
          <w:color w:val="auto"/>
        </w:rPr>
        <w:t>Tagebuch</w:t>
      </w:r>
      <w:r>
        <w:rPr>
          <w:rFonts w:ascii="Arial" w:cs="Arial" w:eastAsia="Arial" w:hAnsi="Arial"/>
          <w:sz w:val="18"/>
          <w:szCs w:val="18"/>
          <w:color w:val="auto"/>
        </w:rPr>
        <w:t>) or a copy of the certified excerpt from the Commercial Register of the Canton of Vaud evidencing the Over-Allotment Capital Increase, (B) a copy of the certified updated articles of association of the Company evidencing the Over-Allotment Capital Increase, (C) a copy of the Company’s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evidencing the Underwriters as first holders of the Applicable Optional Securities, and (D) a copy of the share register (</w:t>
      </w:r>
      <w:r>
        <w:rPr>
          <w:rFonts w:ascii="Arial" w:cs="Arial" w:eastAsia="Arial" w:hAnsi="Arial"/>
          <w:sz w:val="18"/>
          <w:szCs w:val="18"/>
          <w:i w:val="1"/>
          <w:iCs w:val="1"/>
          <w:color w:val="auto"/>
        </w:rPr>
        <w:t>Aktienbuch</w:t>
      </w:r>
      <w:r>
        <w:rPr>
          <w:rFonts w:ascii="Arial" w:cs="Arial" w:eastAsia="Arial" w:hAnsi="Arial"/>
          <w:sz w:val="18"/>
          <w:szCs w:val="18"/>
          <w:color w:val="auto"/>
        </w:rPr>
        <w:t>) of the Company evidencing the Underwriters as shareholders with respect to the Applicable Optional Securities; and</w:t>
      </w:r>
    </w:p>
    <w:p>
      <w:pPr>
        <w:spacing w:after="0" w:line="85" w:lineRule="exact"/>
        <w:rPr>
          <w:rFonts w:ascii="Arial" w:cs="Arial" w:eastAsia="Arial" w:hAnsi="Arial"/>
          <w:sz w:val="18"/>
          <w:szCs w:val="18"/>
          <w:color w:val="auto"/>
        </w:rPr>
      </w:pPr>
    </w:p>
    <w:p>
      <w:pPr>
        <w:jc w:val="both"/>
        <w:ind w:left="440" w:firstLine="881"/>
        <w:spacing w:after="0" w:line="264" w:lineRule="auto"/>
        <w:tabs>
          <w:tab w:leader="none" w:pos="158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take all steps necessary to ensure that the Applicable Optional Securities will be (A) issued to the Underwriters, (B) duly recorded in an account of the Underwriters at DTC on the relevant Optional Closing Date, and (C) freely transferable (subject to any applicable restrictions set forth in the articles of association of the Company) on the relevant Optional Closing Date.</w:t>
      </w:r>
    </w:p>
    <w:p>
      <w:pPr>
        <w:spacing w:after="0" w:line="73" w:lineRule="exact"/>
        <w:rPr>
          <w:rFonts w:ascii="Arial" w:cs="Arial" w:eastAsia="Arial" w:hAnsi="Arial"/>
          <w:sz w:val="18"/>
          <w:szCs w:val="18"/>
          <w:color w:val="auto"/>
        </w:rPr>
      </w:pPr>
    </w:p>
    <w:p>
      <w:pPr>
        <w:jc w:val="both"/>
        <w:ind w:left="440" w:firstLine="443"/>
        <w:spacing w:after="0" w:line="312" w:lineRule="auto"/>
        <w:tabs>
          <w:tab w:leader="none" w:pos="1133"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Use of Over-Allotment Capital Increase Amount</w:t>
      </w:r>
      <w:r>
        <w:rPr>
          <w:rFonts w:ascii="Arial" w:cs="Arial" w:eastAsia="Arial" w:hAnsi="Arial"/>
          <w:sz w:val="16"/>
          <w:szCs w:val="16"/>
          <w:color w:val="auto"/>
        </w:rPr>
        <w:t>. The funds deposited in the Over-Allotment Capital Increase Account shall, upon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Over-Allotment Capital Increase pursuant to Section 5(b) and upon request by the Company, be transferred to a separate account of the Company with the Representatives and shall, in such case, remain so deposited, without interest, for the account of the Company until the earlier of:</w:t>
      </w:r>
    </w:p>
    <w:p>
      <w:pPr>
        <w:spacing w:after="0" w:line="38" w:lineRule="exact"/>
        <w:rPr>
          <w:rFonts w:ascii="Arial" w:cs="Arial" w:eastAsia="Arial" w:hAnsi="Arial"/>
          <w:sz w:val="16"/>
          <w:szCs w:val="16"/>
          <w:color w:val="auto"/>
        </w:rPr>
      </w:pPr>
    </w:p>
    <w:p>
      <w:pPr>
        <w:ind w:left="1540" w:hanging="219"/>
        <w:spacing w:after="0"/>
        <w:tabs>
          <w:tab w:leader="none" w:pos="15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issuance of the Applicable Optional Securities to the Underwriters as set forth in Section 5(c) on the relevant Optional Closing Date;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firstLine="881"/>
        <w:spacing w:after="0" w:line="264" w:lineRule="auto"/>
        <w:tabs>
          <w:tab w:leader="none" w:pos="158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date of receipt by the Representatives on behalf of the several Underwriters of the proceeds of (A) the sale of the Applicable Optional Securities as set forth in Sections 14(b), 14(c) or 14(e) hereof or (B) the Capital Reduction as set forth in Section 14(d) hereof, as the case may be.</w:t>
      </w:r>
    </w:p>
    <w:p>
      <w:pPr>
        <w:spacing w:after="0" w:line="73"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Over-Allotment Capital Increase Account pursuant to this Section 5(d) shall be payable directly to the Capital Increase Bank by the Company.</w:t>
      </w:r>
    </w:p>
    <w:p>
      <w:pPr>
        <w:spacing w:after="0" w:line="170" w:lineRule="exact"/>
        <w:rPr>
          <w:sz w:val="20"/>
          <w:szCs w:val="20"/>
          <w:color w:val="auto"/>
        </w:rPr>
      </w:pPr>
    </w:p>
    <w:p>
      <w:pPr>
        <w:ind w:left="-20" w:right="220" w:firstLine="464"/>
        <w:spacing w:after="0" w:line="277" w:lineRule="auto"/>
        <w:tabs>
          <w:tab w:leader="none" w:pos="616"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Prospectus.</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440" w:right="20" w:firstLine="443"/>
        <w:spacing w:after="0" w:line="279" w:lineRule="auto"/>
        <w:tabs>
          <w:tab w:leader="none" w:pos="1123" w:val="left"/>
        </w:tabs>
        <w:numPr>
          <w:ilvl w:val="1"/>
          <w:numId w:val="178"/>
        </w:numPr>
        <w:rPr>
          <w:rFonts w:ascii="Arial" w:cs="Arial" w:eastAsia="Arial" w:hAnsi="Arial"/>
          <w:sz w:val="17"/>
          <w:szCs w:val="17"/>
          <w:color w:val="auto"/>
        </w:rPr>
      </w:pPr>
      <w:r>
        <w:rPr>
          <w:rFonts w:ascii="Arial" w:cs="Arial" w:eastAsia="Arial" w:hAnsi="Arial"/>
          <w:sz w:val="17"/>
          <w:szCs w:val="17"/>
          <w:i w:val="1"/>
          <w:iCs w:val="1"/>
          <w:color w:val="auto"/>
        </w:rPr>
        <w:t>Additional Filings</w:t>
      </w:r>
      <w:r>
        <w:rPr>
          <w:rFonts w:ascii="Arial" w:cs="Arial" w:eastAsia="Arial" w:hAnsi="Arial"/>
          <w:sz w:val="17"/>
          <w:szCs w:val="17"/>
          <w:color w:val="auto"/>
        </w:rPr>
        <w:t>. Unless filed pursuant to Rule 462(c) as part of the Additional Registration Statement in accordance with the next sentence,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will file the Final 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253" w:name="page254"/>
    <w:bookmarkEnd w:id="25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81" w:lineRule="exact"/>
        <w:rPr>
          <w:sz w:val="20"/>
          <w:szCs w:val="20"/>
          <w:color w:val="auto"/>
        </w:rPr>
      </w:pPr>
    </w:p>
    <w:p>
      <w:pPr>
        <w:ind w:firstLine="443"/>
        <w:spacing w:after="0" w:line="286" w:lineRule="auto"/>
        <w:tabs>
          <w:tab w:leader="none" w:pos="693"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Filing of Amendments; Response to Commission Requests</w:t>
      </w:r>
      <w:r>
        <w:rPr>
          <w:rFonts w:ascii="Arial" w:cs="Arial" w:eastAsia="Arial" w:hAnsi="Arial"/>
          <w:sz w:val="16"/>
          <w:szCs w:val="16"/>
          <w:color w:val="auto"/>
        </w:rPr>
        <w:t>. The Company will promptly advise the Representatives of any proposal to amend</w:t>
      </w:r>
      <w:r>
        <w:rPr>
          <w:rFonts w:ascii="Arial" w:cs="Arial" w:eastAsia="Arial" w:hAnsi="Arial"/>
          <w:sz w:val="16"/>
          <w:szCs w:val="16"/>
          <w:i w:val="1"/>
          <w:iCs w:val="1"/>
          <w:color w:val="auto"/>
        </w:rPr>
        <w:t xml:space="preserve"> </w:t>
      </w:r>
      <w:r>
        <w:rPr>
          <w:rFonts w:ascii="Arial" w:cs="Arial" w:eastAsia="Arial" w:hAnsi="Arial"/>
          <w:sz w:val="16"/>
          <w:szCs w:val="16"/>
          <w:color w:val="auto"/>
        </w:rPr>
        <w:t>or supplement at any time the Initial Registration Statement, any Additional Registration Statement or any Statutory Prospectus and will not effect such amendment or supplementation without the Representatives’ consent;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 If, at any time prior to the filing of the Final Prospectus pursuant to Rule 424(b), any event occurs as a result of which the General Disclosure Package would include any untrue statement of a material fact or omit to state any material fact necessary to make the statements therein in the light of the circumstances under which they were made at such time not misleading, the Company will (x) promptly notify the Representatives so that any use of the General Disclosure Package may cease until it is amended or supplemented; (y) amend or supplement the General Disclosure Package to correct such statement or omission; and (z) supply any amendment or supplement to the Representatives in such quantities as the Representatives may reasonably request.</w:t>
      </w:r>
    </w:p>
    <w:p>
      <w:pPr>
        <w:spacing w:after="0" w:line="60" w:lineRule="exact"/>
        <w:rPr>
          <w:rFonts w:ascii="Arial" w:cs="Arial" w:eastAsia="Arial" w:hAnsi="Arial"/>
          <w:sz w:val="16"/>
          <w:szCs w:val="16"/>
          <w:color w:val="auto"/>
        </w:rPr>
      </w:pPr>
    </w:p>
    <w:p>
      <w:pPr>
        <w:ind w:right="20" w:firstLine="443"/>
        <w:spacing w:after="0" w:line="270" w:lineRule="auto"/>
        <w:tabs>
          <w:tab w:leader="none" w:pos="683"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Offered Securities is (or but for the exemption</w:t>
      </w:r>
      <w:r>
        <w:rPr>
          <w:rFonts w:ascii="Arial" w:cs="Arial" w:eastAsia="Arial" w:hAnsi="Arial"/>
          <w:sz w:val="17"/>
          <w:szCs w:val="17"/>
          <w:i w:val="1"/>
          <w:iCs w:val="1"/>
          <w:color w:val="auto"/>
        </w:rPr>
        <w:t xml:space="preserve"> </w:t>
      </w:r>
      <w:r>
        <w:rPr>
          <w:rFonts w:ascii="Arial" w:cs="Arial" w:eastAsia="Arial" w:hAnsi="Arial"/>
          <w:sz w:val="17"/>
          <w:szCs w:val="17"/>
          <w:color w:val="auto"/>
        </w:rPr>
        <w:t>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8 hereof.</w:t>
      </w:r>
    </w:p>
    <w:p>
      <w:pPr>
        <w:spacing w:after="0" w:line="73" w:lineRule="exact"/>
        <w:rPr>
          <w:rFonts w:ascii="Arial" w:cs="Arial" w:eastAsia="Arial" w:hAnsi="Arial"/>
          <w:sz w:val="17"/>
          <w:szCs w:val="17"/>
          <w:color w:val="auto"/>
        </w:rPr>
      </w:pPr>
    </w:p>
    <w:p>
      <w:pPr>
        <w:ind w:right="360" w:firstLine="443"/>
        <w:spacing w:after="0" w:line="308" w:lineRule="auto"/>
        <w:tabs>
          <w:tab w:leader="none" w:pos="693"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As soon as practicable, the Company will make generally available to its security holders and to the Representatives an earning</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or statements of the Company which will satisfy the provisions of Section 11(a) of the Act and Rule 158.</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54" w:name="page255"/>
    <w:bookmarkEnd w:id="254"/>
    <w:p>
      <w:pPr>
        <w:jc w:val="both"/>
        <w:ind w:right="120" w:firstLine="443"/>
        <w:spacing w:after="0" w:line="286" w:lineRule="auto"/>
        <w:tabs>
          <w:tab w:leader="none" w:pos="683"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Furnishing of Prospectuses</w:t>
      </w:r>
      <w:r>
        <w:rPr>
          <w:rFonts w:ascii="Arial" w:cs="Arial" w:eastAsia="Arial" w:hAnsi="Arial"/>
          <w:sz w:val="16"/>
          <w:szCs w:val="16"/>
          <w:color w:val="auto"/>
        </w:rPr>
        <w:t>. The Company will furnish to the Representatives copies of each Registration Statement (three (3) of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reasonably request. The Final Prospectus shall be so furnished on or prior to</w:t>
      </w:r>
    </w:p>
    <w:p>
      <w:pPr>
        <w:spacing w:after="0" w:line="1" w:lineRule="exact"/>
        <w:rPr>
          <w:rFonts w:ascii="Arial" w:cs="Arial" w:eastAsia="Arial" w:hAnsi="Arial"/>
          <w:sz w:val="16"/>
          <w:szCs w:val="16"/>
          <w:color w:val="auto"/>
        </w:rPr>
      </w:pP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3:00 p.m., New York time, on the business day following the execution and delivery of this Agreement. All other documents shall be so furnished as soon as available. The Company will pay the expenses of printing and distributing to the Underwriters all such documents.</w:t>
      </w:r>
    </w:p>
    <w:p>
      <w:pPr>
        <w:spacing w:after="0" w:line="53" w:lineRule="exact"/>
        <w:rPr>
          <w:rFonts w:ascii="Arial" w:cs="Arial" w:eastAsia="Arial" w:hAnsi="Arial"/>
          <w:sz w:val="16"/>
          <w:szCs w:val="16"/>
          <w:color w:val="auto"/>
        </w:rPr>
      </w:pPr>
    </w:p>
    <w:p>
      <w:pPr>
        <w:jc w:val="both"/>
        <w:ind w:right="40" w:firstLine="443"/>
        <w:spacing w:after="0" w:line="302" w:lineRule="auto"/>
        <w:tabs>
          <w:tab w:leader="none" w:pos="663"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arrange for the qualification of the Offered Securities for sale under the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designate and will continue such qualifications in effect so long as required for the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qualify as a foreign corporation in any jurisdiction in which it is not so qualified or to file a general consent to service of process in any such jurisdiction or to take any action that would subject it to taxation in any such jurisdiction where it is not then so subject.</w:t>
      </w:r>
    </w:p>
    <w:p>
      <w:pPr>
        <w:spacing w:after="0" w:line="46" w:lineRule="exact"/>
        <w:rPr>
          <w:rFonts w:ascii="Arial" w:cs="Arial" w:eastAsia="Arial" w:hAnsi="Arial"/>
          <w:sz w:val="16"/>
          <w:szCs w:val="16"/>
          <w:color w:val="auto"/>
        </w:rPr>
      </w:pPr>
    </w:p>
    <w:p>
      <w:pPr>
        <w:ind w:firstLine="443"/>
        <w:spacing w:after="0" w:line="291" w:lineRule="auto"/>
        <w:tabs>
          <w:tab w:leader="none" w:pos="693"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Reporting Requirements</w:t>
      </w:r>
      <w:r>
        <w:rPr>
          <w:rFonts w:ascii="Arial" w:cs="Arial" w:eastAsia="Arial" w:hAnsi="Arial"/>
          <w:sz w:val="16"/>
          <w:szCs w:val="16"/>
          <w:color w:val="auto"/>
        </w:rPr>
        <w:t>. During the period of three (3) years hereafter, the Company will furnish to the Representatives and, upon request,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w:t>
      </w:r>
      <w:r>
        <w:rPr>
          <w:rFonts w:ascii="Arial" w:cs="Arial" w:eastAsia="Arial" w:hAnsi="Arial"/>
          <w:sz w:val="16"/>
          <w:szCs w:val="16"/>
          <w:b w:val="1"/>
          <w:bCs w:val="1"/>
          <w:color w:val="auto"/>
        </w:rPr>
        <w:t>EDGAR</w:t>
      </w:r>
      <w:r>
        <w:rPr>
          <w:rFonts w:ascii="Arial" w:cs="Arial" w:eastAsia="Arial" w:hAnsi="Arial"/>
          <w:sz w:val="16"/>
          <w:szCs w:val="16"/>
          <w:color w:val="auto"/>
        </w:rPr>
        <w:t>”), it is not required to furnish such reports or statements to the Underwriters.</w:t>
      </w:r>
    </w:p>
    <w:p>
      <w:pPr>
        <w:spacing w:after="0" w:line="59" w:lineRule="exact"/>
        <w:rPr>
          <w:rFonts w:ascii="Arial" w:cs="Arial" w:eastAsia="Arial" w:hAnsi="Arial"/>
          <w:sz w:val="16"/>
          <w:szCs w:val="16"/>
          <w:color w:val="auto"/>
        </w:rPr>
      </w:pPr>
    </w:p>
    <w:p>
      <w:pPr>
        <w:ind w:right="40" w:firstLine="443"/>
        <w:spacing w:after="0" w:line="286" w:lineRule="auto"/>
        <w:tabs>
          <w:tab w:leader="none" w:pos="693"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The Company will pay all expenses incident to the performance of its obligations under this Agreement, including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not limited to any filing fees and other expenses (including fees and disbursements of counsel to the Underwriters) incurred in connection with qualification of the Offered Securities for sale under the laws of such jurisdictions as the Representatives designate and the preparation and printing of memoranda relating thereto in an amount not to exceed $10,000, costs and expenses related to the review by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of the Offered Securities (including filing fees and the fees and expenses of counsel for the Underwriters relating to such review in an amount not to exceed $30,000), costs and expenses relating to investor presentations or any “road show” in connection with the offering and sale of the Offered Securities including, without limitation, any travel expenses of the Company’s officers and employees and any other expenses of the Company including one-half of the cost of the chartering of airplanes in connection with any “roadshow,” fees and expenses incident to listing the Offered Securities on the New York Stock Exchange, American Stock Exchange, NASDAQ Global [Select] Market and other national and foreign exchanges,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Notwithstanding the foregoing, each of the several Underwriters will pay its own costs and expenses relating to any investor presentations or roadshow and one-half the costs and expenses of chartering of airplanes in connection with any roadshow.</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74" w:right="299" w:bottom="1440" w:gutter="0" w:footer="0" w:header="0"/>
        </w:sectPr>
      </w:pPr>
    </w:p>
    <w:bookmarkStart w:id="255" w:name="page256"/>
    <w:bookmarkEnd w:id="255"/>
    <w:p>
      <w:pPr>
        <w:ind w:right="20" w:firstLine="443"/>
        <w:spacing w:after="0" w:line="259" w:lineRule="auto"/>
        <w:tabs>
          <w:tab w:leader="none" w:pos="653"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r>
        <w:rPr>
          <w:rFonts w:ascii="Arial" w:cs="Arial" w:eastAsia="Arial" w:hAnsi="Arial"/>
          <w:sz w:val="18"/>
          <w:szCs w:val="18"/>
          <w:color w:val="auto"/>
        </w:rPr>
        <w:t>. The Company will use the net proceeds received by it in connection with this offering in the manner described in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section of the General Disclosure Package and, except as disclosed in the General Disclosure Package and the Final Prospectus, the Company does not intend to use any of the proceeds from the sale of the Offered Securities hereunder to repay any outstanding debt owed to any Underwriter or affiliate of any Underwriter.</w:t>
      </w:r>
    </w:p>
    <w:p>
      <w:pPr>
        <w:spacing w:after="0" w:line="78" w:lineRule="exact"/>
        <w:rPr>
          <w:rFonts w:ascii="Arial" w:cs="Arial" w:eastAsia="Arial" w:hAnsi="Arial"/>
          <w:sz w:val="18"/>
          <w:szCs w:val="18"/>
          <w:color w:val="auto"/>
        </w:rPr>
      </w:pPr>
    </w:p>
    <w:p>
      <w:pPr>
        <w:ind w:right="40" w:firstLine="443"/>
        <w:spacing w:after="0" w:line="264" w:lineRule="auto"/>
        <w:tabs>
          <w:tab w:leader="none" w:pos="653"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reasonably be expected to cause or result in, stabilization or manipulation of the price of any securities of the Company to facilitate the sale or resale of the Offered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is made in this Section with respect to the Underwriters.</w:t>
      </w:r>
    </w:p>
    <w:p>
      <w:pPr>
        <w:spacing w:after="0" w:line="69" w:lineRule="exact"/>
        <w:rPr>
          <w:rFonts w:ascii="Arial" w:cs="Arial" w:eastAsia="Arial" w:hAnsi="Arial"/>
          <w:sz w:val="18"/>
          <w:szCs w:val="18"/>
          <w:color w:val="auto"/>
        </w:rPr>
      </w:pPr>
    </w:p>
    <w:p>
      <w:pPr>
        <w:ind w:firstLine="443"/>
        <w:spacing w:after="0" w:line="271" w:lineRule="auto"/>
        <w:tabs>
          <w:tab w:leader="none" w:pos="693"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Restriction on Sale of Securities</w:t>
      </w:r>
      <w:r>
        <w:rPr>
          <w:rFonts w:ascii="Arial" w:cs="Arial" w:eastAsia="Arial" w:hAnsi="Arial"/>
          <w:sz w:val="17"/>
          <w:szCs w:val="17"/>
          <w:color w:val="auto"/>
        </w:rPr>
        <w:t>. For the period specified below (the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will not, directly or indirectly, take</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 following actions with respect to its Securities or any securities convertible into or exchangeable or exercisable for any of its Securities (“</w:t>
      </w:r>
      <w:r>
        <w:rPr>
          <w:rFonts w:ascii="Arial" w:cs="Arial" w:eastAsia="Arial" w:hAnsi="Arial"/>
          <w:sz w:val="17"/>
          <w:szCs w:val="17"/>
          <w:b w:val="1"/>
          <w:bCs w:val="1"/>
          <w:color w:val="auto"/>
        </w:rPr>
        <w:t>Lock-Up Securities</w:t>
      </w:r>
      <w:r>
        <w:rPr>
          <w:rFonts w:ascii="Arial" w:cs="Arial" w:eastAsia="Arial" w:hAnsi="Arial"/>
          <w:sz w:val="17"/>
          <w:szCs w:val="17"/>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Credit Suisse. The Lock-Up Period will commence on the date hereof and continue for one hundred eighty (180) days after the date hereof or such earlier date that Credit Suisse consents to in writing.</w:t>
      </w:r>
    </w:p>
    <w:p>
      <w:pPr>
        <w:spacing w:after="0" w:line="178"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Offered Securities to be issued or sold hereunder; (b) the issuance by the Company of Common Shares upon the exercise of an option or warrant or the conversion of a security outstanding on the date hereof or described in the General Disclosure Package and the Final Prospectus; (c) the issuance by the Company of any options or warrants pursuant to any employee equity incentive plan or share ownership plan existing on the date hereof or described in the General Disclosure Package and the Final Prospectus; (d) the filing by the Company of a registration statement with the Commission on Form S-8 in respect of any shares issued under or the grant of any award pursuant to an employee equity incentive plan or share ownership plan existing on the date hereof or described in the General Disclosure Package and the Final Prospectus; (e) the transfer of Common Shares or any securities convertible into or exchangeable for Common Shares pursuant to a bona fide third-party tender offer, merger, consolidation or other similar transaction that is approved by the board of directors of the Company, made to all holders of Common Shares, involving a Change of Control (as defined below) after the completion of the offering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Shares or any securities convertible into or exchangeable for Common Shares shall remain subject to the restrictions contained in the preceding paragraph; or (f) the sale or issuance of or entry into an agreement to sell or issue Common Shares or securities convertible into or exercisable for Common Shares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w:t>
      </w:r>
    </w:p>
    <w:p>
      <w:pPr>
        <w:spacing w:after="0" w:line="2" w:lineRule="exact"/>
        <w:rPr>
          <w:sz w:val="20"/>
          <w:szCs w:val="20"/>
          <w:color w:val="auto"/>
        </w:rPr>
      </w:pPr>
    </w:p>
    <w:p>
      <w:pPr>
        <w:ind w:firstLine="4"/>
        <w:spacing w:after="0" w:line="269" w:lineRule="auto"/>
        <w:tabs>
          <w:tab w:leader="none" w:pos="30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the filing of a Registration Statement with respect to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Common Shares or securities convertible into or exercisable for Common Shares (on an as-converted or as-exercised basis, as the case may be) that the Company may sell or issue or agree to sell or issue pursuant to this clause (f) shall not exceed 10% of the total number of Common Shares issued and outstanding immediately following the completion of the transactions contemplated by this Agreement (determined on a fully-diluted basis and as adjusted for share splits, share dividends and other similar events after the date hereof);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recipient of Common Shares or securities convertible into or exercisable for Common Stock pursuant to this clause (f) shall, on or prior to such issuance, execute a lock-up letter in substantially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hereto with respect to the remaining portion of the Lock-Up Period.</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56" w:name="page257"/>
    <w:bookmarkEnd w:id="256"/>
    <w:p>
      <w:pPr>
        <w:ind w:left="440" w:right="120" w:firstLine="438"/>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paragraph,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the transfer (whether by tender offer, merger, consolidation or other similar transaction), in one transaction or a series of related transactions, to a person or group of affiliated persons (other than an Underwriter pursuant to the public offering contemplated by this Agreement), of the Company’s voting securities if, after such transfer, such person or group of affiliated persons would hold more than 50% of the outstanding voting securities of the Company (or the surviving entity).</w:t>
      </w:r>
    </w:p>
    <w:p>
      <w:pPr>
        <w:spacing w:after="0" w:line="61" w:lineRule="exact"/>
        <w:rPr>
          <w:sz w:val="20"/>
          <w:szCs w:val="20"/>
          <w:color w:val="auto"/>
        </w:rPr>
      </w:pPr>
    </w:p>
    <w:p>
      <w:pPr>
        <w:ind w:left="440" w:right="360" w:firstLine="438"/>
        <w:spacing w:after="0" w:line="342" w:lineRule="auto"/>
        <w:rPr>
          <w:sz w:val="20"/>
          <w:szCs w:val="20"/>
          <w:color w:val="auto"/>
        </w:rPr>
      </w:pPr>
      <w:r>
        <w:rPr>
          <w:rFonts w:ascii="Arial" w:cs="Arial" w:eastAsia="Arial" w:hAnsi="Arial"/>
          <w:sz w:val="16"/>
          <w:szCs w:val="16"/>
          <w:color w:val="auto"/>
        </w:rPr>
        <w:t>In addition, during the Lock-Up Period, the Company will enforce its stockholders’ obligations to comply with any and all restrictions on the sale, pledge or transfer of the Company’s Securities pursuant to any stockholder’s agreement by and among the Company and its stockholders.</w:t>
      </w:r>
    </w:p>
    <w:p>
      <w:pPr>
        <w:spacing w:after="0" w:line="16" w:lineRule="exact"/>
        <w:rPr>
          <w:sz w:val="20"/>
          <w:szCs w:val="20"/>
          <w:color w:val="auto"/>
        </w:rPr>
      </w:pPr>
    </w:p>
    <w:p>
      <w:pPr>
        <w:ind w:left="440" w:right="280" w:firstLine="443"/>
        <w:spacing w:after="0" w:line="264" w:lineRule="auto"/>
        <w:tabs>
          <w:tab w:leader="none" w:pos="1093"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(a) completion of the distribution of the Securities within the meaning of the Act and (b) completion of the 180-day restricted period referred to in Section 7(k) hereof.</w:t>
      </w:r>
    </w:p>
    <w:p>
      <w:pPr>
        <w:spacing w:after="0" w:line="73" w:lineRule="exact"/>
        <w:rPr>
          <w:rFonts w:ascii="Arial" w:cs="Arial" w:eastAsia="Arial" w:hAnsi="Arial"/>
          <w:sz w:val="18"/>
          <w:szCs w:val="18"/>
          <w:color w:val="auto"/>
        </w:rPr>
      </w:pPr>
    </w:p>
    <w:p>
      <w:pPr>
        <w:ind w:left="440" w:right="40" w:firstLine="443"/>
        <w:spacing w:after="0" w:line="276" w:lineRule="auto"/>
        <w:tabs>
          <w:tab w:leader="none" w:pos="1183" w:val="left"/>
        </w:tabs>
        <w:numPr>
          <w:ilvl w:val="1"/>
          <w:numId w:val="183"/>
        </w:numPr>
        <w:rPr>
          <w:rFonts w:ascii="Arial" w:cs="Arial" w:eastAsia="Arial" w:hAnsi="Arial"/>
          <w:sz w:val="17"/>
          <w:szCs w:val="17"/>
          <w:color w:val="auto"/>
        </w:rPr>
      </w:pPr>
      <w:r>
        <w:rPr>
          <w:rFonts w:ascii="Arial" w:cs="Arial" w:eastAsia="Arial" w:hAnsi="Arial"/>
          <w:sz w:val="17"/>
          <w:szCs w:val="17"/>
          <w:i w:val="1"/>
          <w:iCs w:val="1"/>
          <w:color w:val="auto"/>
        </w:rPr>
        <w:t>Testing-the-Waters</w:t>
      </w:r>
      <w:r>
        <w:rPr>
          <w:rFonts w:ascii="Arial" w:cs="Arial" w:eastAsia="Arial" w:hAnsi="Arial"/>
          <w:sz w:val="17"/>
          <w:szCs w:val="17"/>
          <w:color w:val="auto"/>
        </w:rPr>
        <w:t>. If at any time following the distribution of any Written Testing-the-Waters Communication there occurred or occurs an</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4" w:lineRule="exact"/>
        <w:rPr>
          <w:rFonts w:ascii="Arial" w:cs="Arial" w:eastAsia="Arial" w:hAnsi="Arial"/>
          <w:sz w:val="17"/>
          <w:szCs w:val="17"/>
          <w:color w:val="auto"/>
        </w:rPr>
      </w:pPr>
    </w:p>
    <w:p>
      <w:pPr>
        <w:ind w:left="440" w:firstLine="443"/>
        <w:spacing w:after="0" w:line="257" w:lineRule="auto"/>
        <w:tabs>
          <w:tab w:leader="none" w:pos="1133"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Agreement to Announce Lock-up Waiver</w:t>
      </w:r>
      <w:r>
        <w:rPr>
          <w:rFonts w:ascii="Arial" w:cs="Arial" w:eastAsia="Arial" w:hAnsi="Arial"/>
          <w:sz w:val="18"/>
          <w:szCs w:val="18"/>
          <w:color w:val="auto"/>
        </w:rPr>
        <w:t>. If Credit Suisse, in its sole discretion, agrees to release or waive the restrictions set forth in a lock-up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letter described in Section 9(j)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188" w:lineRule="exact"/>
        <w:rPr>
          <w:rFonts w:ascii="Arial" w:cs="Arial" w:eastAsia="Arial" w:hAnsi="Arial"/>
          <w:sz w:val="18"/>
          <w:szCs w:val="18"/>
          <w:color w:val="auto"/>
        </w:rPr>
      </w:pPr>
    </w:p>
    <w:p>
      <w:pPr>
        <w:ind w:left="-20" w:right="60" w:firstLine="464"/>
        <w:spacing w:after="0" w:line="253" w:lineRule="auto"/>
        <w:tabs>
          <w:tab w:leader="none" w:pos="61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Company represents and agrees that, unless it obtains the prior consent of the Representatives, and each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97" w:lineRule="exact"/>
        <w:rPr>
          <w:rFonts w:ascii="Arial" w:cs="Arial" w:eastAsia="Arial" w:hAnsi="Arial"/>
          <w:sz w:val="18"/>
          <w:szCs w:val="18"/>
          <w:color w:val="auto"/>
        </w:rPr>
      </w:pPr>
    </w:p>
    <w:p>
      <w:pPr>
        <w:ind w:left="-20" w:right="320" w:firstLine="464"/>
        <w:spacing w:after="0" w:line="302" w:lineRule="auto"/>
        <w:tabs>
          <w:tab w:leader="none" w:pos="616"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Conditions of the Obligations of the Underwriters</w:t>
      </w:r>
      <w:r>
        <w:rPr>
          <w:rFonts w:ascii="Arial" w:cs="Arial" w:eastAsia="Arial" w:hAnsi="Arial"/>
          <w:sz w:val="16"/>
          <w:szCs w:val="16"/>
          <w:color w:val="auto"/>
        </w:rPr>
        <w:t>. The obligations of the several Underwriters to purchase and pay for the Firm Securities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0" w:right="239" w:bottom="1440" w:gutter="0" w:footer="0" w:header="0"/>
        </w:sectPr>
      </w:pPr>
    </w:p>
    <w:bookmarkStart w:id="257" w:name="page258"/>
    <w:bookmarkEnd w:id="257"/>
    <w:p>
      <w:pPr>
        <w:ind w:right="220" w:firstLine="443"/>
        <w:spacing w:after="0" w:line="259" w:lineRule="auto"/>
        <w:tabs>
          <w:tab w:leader="none" w:pos="68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Accountants’ Comfort Letter</w:t>
      </w:r>
      <w:r>
        <w:rPr>
          <w:rFonts w:ascii="Arial" w:cs="Arial" w:eastAsia="Arial" w:hAnsi="Arial"/>
          <w:sz w:val="18"/>
          <w:szCs w:val="18"/>
          <w:color w:val="auto"/>
        </w:rPr>
        <w:t>. The Representatives shall have received letters, dated, respectively, the date hereof and each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AG confirming that they are a registered public accounting firm and independent public accountants within the meaning of the Securities Laws and substantially in the form of Schedule C hereto (except that, in any letter dated a Closing Date, the specified date referred to in Schedule C hereto shall be a date no more than three business days prior to such Closing Date).</w:t>
      </w:r>
    </w:p>
    <w:p>
      <w:pPr>
        <w:spacing w:after="0" w:line="78" w:lineRule="exact"/>
        <w:rPr>
          <w:rFonts w:ascii="Arial" w:cs="Arial" w:eastAsia="Arial" w:hAnsi="Arial"/>
          <w:sz w:val="18"/>
          <w:szCs w:val="18"/>
          <w:color w:val="auto"/>
        </w:rPr>
      </w:pPr>
    </w:p>
    <w:p>
      <w:pPr>
        <w:ind w:firstLine="443"/>
        <w:spacing w:after="0" w:line="255" w:lineRule="auto"/>
        <w:tabs>
          <w:tab w:leader="none" w:pos="69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If the Effective Time of the Additional Registration Statement (if any) is not prior to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7(a) hereof. Prior to such Closing Date, no stop order suspending the effectiveness of a Registration Statement shall have been issued and no proceedings for that purpose shall have been instituted or, to the knowledge of the Company or the Representatives, shall be contemplated by the Commission.</w:t>
      </w:r>
    </w:p>
    <w:p>
      <w:pPr>
        <w:spacing w:after="0" w:line="81" w:lineRule="exact"/>
        <w:rPr>
          <w:rFonts w:ascii="Arial" w:cs="Arial" w:eastAsia="Arial" w:hAnsi="Arial"/>
          <w:sz w:val="18"/>
          <w:szCs w:val="18"/>
          <w:color w:val="auto"/>
        </w:rPr>
      </w:pPr>
    </w:p>
    <w:p>
      <w:pPr>
        <w:ind w:firstLine="443"/>
        <w:spacing w:after="0" w:line="268" w:lineRule="auto"/>
        <w:tabs>
          <w:tab w:leader="none" w:pos="683"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Subsequent to the execution and delivery of this Agreement, there shall not have occurred (i) any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(financial or otherwise), results of operations, business or properties or prospects of the Company which, in the judgment of the Representatives, is material and adverse and makes it impractical or inadvisable to market the Offered Securities; (ii)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(iii) any suspension or material limitation of trading in securities generally on the New York Stock Exchange or NASDAQ Global [Select] Market, or any setting of minimum or maximum prices for trading on such exchange; (iv) any banking moratorium declared by any U.S. federal, New York or Swiss authorities; (v) any suspension of trading of any securities of the Company on any exchange or in the over-the-counter market;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79" w:lineRule="exact"/>
        <w:rPr>
          <w:rFonts w:ascii="Arial" w:cs="Arial" w:eastAsia="Arial" w:hAnsi="Arial"/>
          <w:sz w:val="17"/>
          <w:szCs w:val="17"/>
          <w:color w:val="auto"/>
        </w:rPr>
      </w:pPr>
    </w:p>
    <w:p>
      <w:pPr>
        <w:ind w:right="580" w:firstLine="443"/>
        <w:spacing w:after="0" w:line="277" w:lineRule="auto"/>
        <w:tabs>
          <w:tab w:leader="none" w:pos="69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Opinion of U.S. Counsel for Company</w:t>
      </w:r>
      <w:r>
        <w:rPr>
          <w:rFonts w:ascii="Arial" w:cs="Arial" w:eastAsia="Arial" w:hAnsi="Arial"/>
          <w:sz w:val="18"/>
          <w:szCs w:val="18"/>
          <w:color w:val="auto"/>
        </w:rPr>
        <w:t>. The Representatives shall have received an opinion, dated such Closing Date, of Davis Polk &amp;</w:t>
      </w:r>
      <w:r>
        <w:rPr>
          <w:rFonts w:ascii="Arial" w:cs="Arial" w:eastAsia="Arial" w:hAnsi="Arial"/>
          <w:sz w:val="18"/>
          <w:szCs w:val="18"/>
          <w:i w:val="1"/>
          <w:iCs w:val="1"/>
          <w:color w:val="auto"/>
        </w:rPr>
        <w:t xml:space="preserve"> </w:t>
      </w:r>
      <w:r>
        <w:rPr>
          <w:rFonts w:ascii="Arial" w:cs="Arial" w:eastAsia="Arial" w:hAnsi="Arial"/>
          <w:sz w:val="18"/>
          <w:szCs w:val="18"/>
          <w:color w:val="auto"/>
        </w:rPr>
        <w:t>Wardwell LLP, U.S. counsel for the Company, in form and substance satisfactory to the Representatives.</w:t>
      </w:r>
    </w:p>
    <w:p>
      <w:pPr>
        <w:spacing w:after="0" w:line="62" w:lineRule="exact"/>
        <w:rPr>
          <w:rFonts w:ascii="Arial" w:cs="Arial" w:eastAsia="Arial" w:hAnsi="Arial"/>
          <w:sz w:val="18"/>
          <w:szCs w:val="18"/>
          <w:color w:val="auto"/>
        </w:rPr>
      </w:pPr>
    </w:p>
    <w:p>
      <w:pPr>
        <w:ind w:right="320" w:firstLine="443"/>
        <w:spacing w:after="0" w:line="277" w:lineRule="auto"/>
        <w:tabs>
          <w:tab w:leader="none" w:pos="68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Opinion of Swiss Counsel for the Company</w:t>
      </w:r>
      <w:r>
        <w:rPr>
          <w:rFonts w:ascii="Arial" w:cs="Arial" w:eastAsia="Arial" w:hAnsi="Arial"/>
          <w:sz w:val="18"/>
          <w:szCs w:val="18"/>
          <w:color w:val="auto"/>
        </w:rPr>
        <w:t>. The Representatives shall have received an opinion, dated such Closing Date, of Vischer AG,</w:t>
      </w:r>
      <w:r>
        <w:rPr>
          <w:rFonts w:ascii="Arial" w:cs="Arial" w:eastAsia="Arial" w:hAnsi="Arial"/>
          <w:sz w:val="18"/>
          <w:szCs w:val="18"/>
          <w:i w:val="1"/>
          <w:iCs w:val="1"/>
          <w:color w:val="auto"/>
        </w:rPr>
        <w:t xml:space="preserve"> </w:t>
      </w:r>
      <w:r>
        <w:rPr>
          <w:rFonts w:ascii="Arial" w:cs="Arial" w:eastAsia="Arial" w:hAnsi="Arial"/>
          <w:sz w:val="18"/>
          <w:szCs w:val="18"/>
          <w:color w:val="auto"/>
        </w:rPr>
        <w:t>Swiss counsel for the Company, in form and substance satisfactory to the Representatives.</w:t>
      </w:r>
    </w:p>
    <w:p>
      <w:pPr>
        <w:spacing w:after="0" w:line="62" w:lineRule="exact"/>
        <w:rPr>
          <w:rFonts w:ascii="Arial" w:cs="Arial" w:eastAsia="Arial" w:hAnsi="Arial"/>
          <w:sz w:val="18"/>
          <w:szCs w:val="18"/>
          <w:color w:val="auto"/>
        </w:rPr>
      </w:pPr>
    </w:p>
    <w:p>
      <w:pPr>
        <w:ind w:right="260" w:firstLine="443"/>
        <w:spacing w:after="0" w:line="264" w:lineRule="auto"/>
        <w:tabs>
          <w:tab w:leader="none" w:pos="66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Opinions of Intellectual Property Counsel for the Company</w:t>
      </w:r>
      <w:r>
        <w:rPr>
          <w:rFonts w:ascii="Arial" w:cs="Arial" w:eastAsia="Arial" w:hAnsi="Arial"/>
          <w:sz w:val="18"/>
          <w:szCs w:val="18"/>
          <w:color w:val="auto"/>
        </w:rPr>
        <w:t>. The Representatives shall have received opinions, dated such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Marcou &amp; Isaacs LLP, Vossius &amp; Partner and Jones Day LLP, each intellectual property counsel for the Company, in form and substance satisfactory to the Representatives.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258" w:name="page259"/>
    <w:bookmarkEnd w:id="258"/>
    <w:p>
      <w:pPr>
        <w:ind w:left="460" w:right="280" w:firstLine="443"/>
        <w:spacing w:after="0" w:line="312" w:lineRule="auto"/>
        <w:tabs>
          <w:tab w:leader="none" w:pos="1153"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U.S. Counsel for Underwriters</w:t>
      </w:r>
      <w:r>
        <w:rPr>
          <w:rFonts w:ascii="Arial" w:cs="Arial" w:eastAsia="Arial" w:hAnsi="Arial"/>
          <w:sz w:val="16"/>
          <w:szCs w:val="16"/>
          <w:color w:val="auto"/>
        </w:rPr>
        <w:t>. The Representatives shall have received from Goodwin Procter LLP, U.S.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Opinion of Swiss Counsel for Underwriters</w:t>
      </w:r>
      <w:r>
        <w:rPr>
          <w:rFonts w:ascii="Arial" w:cs="Arial" w:eastAsia="Arial" w:hAnsi="Arial"/>
          <w:sz w:val="18"/>
          <w:szCs w:val="18"/>
          <w:color w:val="auto"/>
        </w:rPr>
        <w:t>. The Representatives shall have received from Homburger AG, Swiss counsel for the</w:t>
      </w:r>
    </w:p>
    <w:p>
      <w:pPr>
        <w:spacing w:after="0" w:line="23" w:lineRule="exact"/>
        <w:rPr>
          <w:rFonts w:ascii="Arial" w:cs="Arial" w:eastAsia="Arial" w:hAnsi="Arial"/>
          <w:sz w:val="18"/>
          <w:szCs w:val="18"/>
          <w:color w:val="auto"/>
        </w:rPr>
      </w:pPr>
    </w:p>
    <w:p>
      <w:pPr>
        <w:ind w:left="460" w:right="280"/>
        <w:spacing w:after="0" w:line="323" w:lineRule="auto"/>
        <w:rPr>
          <w:rFonts w:ascii="Arial" w:cs="Arial" w:eastAsia="Arial" w:hAnsi="Arial"/>
          <w:sz w:val="18"/>
          <w:szCs w:val="18"/>
          <w:color w:val="auto"/>
        </w:rPr>
      </w:pP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0" w:lineRule="exact"/>
        <w:rPr>
          <w:rFonts w:ascii="Arial" w:cs="Arial" w:eastAsia="Arial" w:hAnsi="Arial"/>
          <w:sz w:val="18"/>
          <w:szCs w:val="18"/>
          <w:color w:val="auto"/>
        </w:rPr>
      </w:pPr>
    </w:p>
    <w:p>
      <w:pPr>
        <w:ind w:left="460" w:right="40" w:firstLine="443"/>
        <w:spacing w:after="0" w:line="270" w:lineRule="auto"/>
        <w:tabs>
          <w:tab w:leader="none" w:pos="1113"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Representatives shall have received a certificate, dated such Closing Date, of an executive officer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 of the most recent financial statements in the General Disclosure Package, there has been no material adverse change in the condition (financial or otherwise), results of operations, business, properties or prospects of the Company except as set forth in the General Disclosure Package and the Final Prospectus or as described in such certificate.</w:t>
      </w:r>
    </w:p>
    <w:p>
      <w:pPr>
        <w:spacing w:after="0" w:line="69" w:lineRule="exact"/>
        <w:rPr>
          <w:rFonts w:ascii="Arial" w:cs="Arial" w:eastAsia="Arial" w:hAnsi="Arial"/>
          <w:sz w:val="17"/>
          <w:szCs w:val="17"/>
          <w:color w:val="auto"/>
        </w:rPr>
      </w:pPr>
    </w:p>
    <w:p>
      <w:pPr>
        <w:ind w:left="460" w:right="160" w:firstLine="443"/>
        <w:spacing w:after="0" w:line="264" w:lineRule="auto"/>
        <w:tabs>
          <w:tab w:leader="none" w:pos="1113"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On or prior to the date hereof, the Representatives shall have received lockup letters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(i) each of the executive officers and directors of the Company, and (ii) all shareholders, option holders and other equityholders of the Company.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81" w:lineRule="exact"/>
        <w:rPr>
          <w:sz w:val="20"/>
          <w:szCs w:val="20"/>
          <w:color w:val="auto"/>
        </w:rPr>
      </w:pPr>
    </w:p>
    <w:p>
      <w:pPr>
        <w:ind w:left="740" w:hanging="276"/>
        <w:spacing w:after="0"/>
        <w:tabs>
          <w:tab w:leader="none" w:pos="74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68" w:lineRule="auto"/>
        <w:tabs>
          <w:tab w:leader="none" w:pos="1143" w:val="left"/>
        </w:tabs>
        <w:numPr>
          <w:ilvl w:val="1"/>
          <w:numId w:val="187"/>
        </w:numPr>
        <w:rPr>
          <w:rFonts w:ascii="Arial" w:cs="Arial" w:eastAsia="Arial" w:hAnsi="Arial"/>
          <w:sz w:val="17"/>
          <w:szCs w:val="17"/>
          <w:color w:val="auto"/>
        </w:rPr>
      </w:pPr>
      <w:r>
        <w:rPr>
          <w:rFonts w:ascii="Arial" w:cs="Arial" w:eastAsia="Arial" w:hAnsi="Arial"/>
          <w:sz w:val="17"/>
          <w:szCs w:val="17"/>
          <w:i w:val="1"/>
          <w:iCs w:val="1"/>
          <w:color w:val="auto"/>
        </w:rPr>
        <w:t>Indemnification of Underwriters</w:t>
      </w:r>
      <w:r>
        <w:rPr>
          <w:rFonts w:ascii="Arial" w:cs="Arial" w:eastAsia="Arial" w:hAnsi="Arial"/>
          <w:sz w:val="17"/>
          <w:szCs w:val="17"/>
          <w:color w:val="auto"/>
        </w:rPr>
        <w:t>. The Company will indemnify and hold harmless each Underwriter, its partners, members,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agents, affiliates and each person, if any, who controls such Underwriter within the meaning of Section 15 of the Act or Section 20 of the Exchange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Written Testing-the-Waters Communication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not be liable in any such case to the extent that any such loss, claim, damage or liability arises out of or is based upon an untrue statement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9" w:name="page260"/>
    <w:bookmarkEnd w:id="259"/>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alleged untrue statement in or omission or alleged omission from any of such documents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57" w:lineRule="exact"/>
        <w:rPr>
          <w:sz w:val="20"/>
          <w:szCs w:val="20"/>
          <w:color w:val="auto"/>
        </w:rPr>
      </w:pPr>
    </w:p>
    <w:p>
      <w:pPr>
        <w:ind w:firstLine="443"/>
        <w:spacing w:after="0" w:line="285" w:lineRule="auto"/>
        <w:tabs>
          <w:tab w:leader="none" w:pos="693"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Indemnification of Company</w:t>
      </w:r>
      <w:r>
        <w:rPr>
          <w:rFonts w:ascii="Arial" w:cs="Arial" w:eastAsia="Arial" w:hAnsi="Arial"/>
          <w:sz w:val="16"/>
          <w:szCs w:val="16"/>
          <w:color w:val="auto"/>
        </w:rPr>
        <w:t>. Each Underwriter will severally and not jointly indemnify and hold harmless the Company, each of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fourth paragraph under the caption “Underwriting” and the information relating to stabilizing transactions, over-allotment transactions, syndicate covering transactions and penalty bids contained in the paragraphs under the caption “Underwriting—Price Stabilization, Short Positions and Penalty Bids.”</w:t>
      </w:r>
    </w:p>
    <w:p>
      <w:pPr>
        <w:spacing w:after="0" w:line="67" w:lineRule="exact"/>
        <w:rPr>
          <w:rFonts w:ascii="Arial" w:cs="Arial" w:eastAsia="Arial" w:hAnsi="Arial"/>
          <w:sz w:val="16"/>
          <w:szCs w:val="16"/>
          <w:color w:val="auto"/>
        </w:rPr>
      </w:pPr>
    </w:p>
    <w:p>
      <w:pPr>
        <w:ind w:right="20" w:firstLine="443"/>
        <w:spacing w:after="0" w:line="268" w:lineRule="auto"/>
        <w:tabs>
          <w:tab w:leader="none" w:pos="683"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Promptly after receipt by an indemnified party under this Section 10 of notice of the commencement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10 for any legal or other expenses subsequently incurred by such indemnified party in connection with the defense thereof other than reasonable costs of investigation.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60" w:name="page261"/>
    <w:bookmarkEnd w:id="260"/>
    <w:p>
      <w:pPr>
        <w:ind w:left="420"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w:t>
      </w:r>
    </w:p>
    <w:p>
      <w:pPr>
        <w:spacing w:after="0" w:line="3" w:lineRule="exact"/>
        <w:rPr>
          <w:sz w:val="20"/>
          <w:szCs w:val="20"/>
          <w:color w:val="auto"/>
        </w:rPr>
      </w:pPr>
    </w:p>
    <w:p>
      <w:pPr>
        <w:ind w:left="420" w:right="260" w:firstLine="4"/>
        <w:spacing w:after="0" w:line="290" w:lineRule="auto"/>
        <w:tabs>
          <w:tab w:leader="none" w:pos="63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53" w:lineRule="exact"/>
        <w:rPr>
          <w:rFonts w:ascii="Arial" w:cs="Arial" w:eastAsia="Arial" w:hAnsi="Arial"/>
          <w:sz w:val="17"/>
          <w:szCs w:val="17"/>
          <w:color w:val="auto"/>
        </w:rPr>
      </w:pPr>
    </w:p>
    <w:p>
      <w:pPr>
        <w:ind w:left="420" w:firstLine="443"/>
        <w:spacing w:after="0" w:line="284" w:lineRule="auto"/>
        <w:tabs>
          <w:tab w:leader="none" w:pos="1113" w:val="left"/>
        </w:tabs>
        <w:numPr>
          <w:ilvl w:val="1"/>
          <w:numId w:val="189"/>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underwriting discount or commission applicable to the Securities purchased by such Underwriter hereunder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10(d) were determined by pro rata allocation (even if the Underwriters were treated as one entity for such purpose) or by any other method of allocation which does not take account of the equitable considerations referred to in this Section 10(d).</w:t>
      </w:r>
    </w:p>
    <w:p>
      <w:pPr>
        <w:spacing w:after="0" w:line="180" w:lineRule="exact"/>
        <w:rPr>
          <w:sz w:val="20"/>
          <w:szCs w:val="20"/>
          <w:color w:val="auto"/>
        </w:rPr>
      </w:pPr>
    </w:p>
    <w:p>
      <w:pPr>
        <w:jc w:val="both"/>
        <w:ind w:left="-40" w:right="40" w:firstLine="464"/>
        <w:spacing w:after="0" w:line="259" w:lineRule="auto"/>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Default of Underwriters</w:t>
      </w:r>
      <w:r>
        <w:rPr>
          <w:rFonts w:ascii="Arial" w:cs="Arial" w:eastAsia="Arial" w:hAnsi="Arial"/>
          <w:sz w:val="18"/>
          <w:szCs w:val="18"/>
          <w:color w:val="auto"/>
        </w:rPr>
        <w:t>. If any Underwriter or Underwriters default in their obligations to purchase Offered Securities hereunder on either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80" w:top="274" w:right="259" w:bottom="1440" w:gutter="0" w:footer="0" w:header="0"/>
        </w:sectPr>
      </w:pPr>
    </w:p>
    <w:bookmarkStart w:id="261" w:name="page262"/>
    <w:bookmarkEnd w:id="26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78" w:lineRule="exact"/>
        <w:rPr>
          <w:sz w:val="20"/>
          <w:szCs w:val="20"/>
          <w:color w:val="auto"/>
        </w:rPr>
      </w:pPr>
    </w:p>
    <w:p>
      <w:pPr>
        <w:ind w:firstLine="464"/>
        <w:spacing w:after="0" w:line="268" w:lineRule="auto"/>
        <w:tabs>
          <w:tab w:leader="none" w:pos="726"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this Agreement. </w:t>
      </w:r>
      <w:r>
        <w:rPr>
          <w:rFonts w:ascii="Arial" w:cs="Arial" w:eastAsia="Arial" w:hAnsi="Arial"/>
          <w:sz w:val="17"/>
          <w:szCs w:val="17"/>
          <w:color w:val="auto"/>
        </w:rPr>
        <w:t>Prior to the purchase of the Firm Securities by the Underwriters on the First Closing Date, this Agreement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New York or Swiss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a Statutory Prospectus or to enforce contracts for the sale of securities; or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7(h) hereof if the purchase of the Offered Securities by the Underwriters is not consummated for any reason other than solely because of the termination of this Agreement pursuant to Section 11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10 shall at all times be effective and shall survive such termination.</w:t>
      </w:r>
    </w:p>
    <w:p>
      <w:pPr>
        <w:spacing w:after="0" w:line="180" w:lineRule="exact"/>
        <w:rPr>
          <w:rFonts w:ascii="Arial" w:cs="Arial" w:eastAsia="Arial" w:hAnsi="Arial"/>
          <w:sz w:val="17"/>
          <w:szCs w:val="17"/>
          <w:color w:val="auto"/>
        </w:rPr>
      </w:pPr>
    </w:p>
    <w:p>
      <w:pPr>
        <w:ind w:firstLine="464"/>
        <w:spacing w:after="0" w:line="270" w:lineRule="auto"/>
        <w:tabs>
          <w:tab w:leader="none" w:pos="726"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Survival of Certain Representations and Obligations</w:t>
      </w:r>
      <w:r>
        <w:rPr>
          <w:rFonts w:ascii="Arial" w:cs="Arial" w:eastAsia="Arial" w:hAnsi="Arial"/>
          <w:sz w:val="17"/>
          <w:szCs w:val="17"/>
          <w:color w:val="auto"/>
        </w:rPr>
        <w:t>. The respective indemnities, agreements, representations, warranties and other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11 hereof, the Company will reimburse the Underwriters for all out-of-pocket expenses (including fees and disbursements of counsel) reasonably incurred by them in connection with the offering of the Offered Securities, and the respective obligations of the Company and the Underwriters pursuant to Section 10 hereof shall remain in effect. In addition, if any Offered Securities have been purchased hereunder, the representations and warranties in Section 2 and all obligations under Section 7 shall also remain in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2" w:name="page263"/>
    <w:bookmarkEnd w:id="262"/>
    <w:p>
      <w:pPr>
        <w:ind w:left="280" w:hanging="276"/>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Effects of Termination on Offered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43"/>
        <w:spacing w:after="0" w:line="273" w:lineRule="auto"/>
        <w:tabs>
          <w:tab w:leader="none" w:pos="68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If, after application and registration of the Firm Capital Increase and/or any Over-Allotment Capital Increase with the Commercial Register of the Canton of Vaud pursuant to Section 4(c) or Section 5(b), prior to the First Closing Date or the relevant Optional Closing Date, as the case may be, this Agreement is terminated pursuant to Section 12, or if the delivery of the Firm Securities or Applicable Optional Securities to the Representatives for the account of the several Underwriters is not completed on the First Closing Date or the relevant Optional Closing Date, as the case may be (each, an “</w:t>
      </w:r>
      <w:r>
        <w:rPr>
          <w:rFonts w:ascii="Arial" w:cs="Arial" w:eastAsia="Arial" w:hAnsi="Arial"/>
          <w:sz w:val="17"/>
          <w:szCs w:val="17"/>
          <w:b w:val="1"/>
          <w:bCs w:val="1"/>
          <w:color w:val="auto"/>
        </w:rPr>
        <w:t>Event of Non-Completion</w:t>
      </w:r>
      <w:r>
        <w:rPr>
          <w:rFonts w:ascii="Arial" w:cs="Arial" w:eastAsia="Arial" w:hAnsi="Arial"/>
          <w:sz w:val="17"/>
          <w:szCs w:val="17"/>
          <w:color w:val="auto"/>
        </w:rPr>
        <w:t>”), and unless the Company and the Representatives, acting on behalf of the several Underwriters, otherwise agree within ten calendar days after the Event of Non-Completion, then:</w:t>
      </w:r>
    </w:p>
    <w:p>
      <w:pPr>
        <w:spacing w:after="0" w:line="70" w:lineRule="exact"/>
        <w:rPr>
          <w:rFonts w:ascii="Arial" w:cs="Arial" w:eastAsia="Arial" w:hAnsi="Arial"/>
          <w:sz w:val="17"/>
          <w:szCs w:val="17"/>
          <w:color w:val="auto"/>
        </w:rPr>
      </w:pPr>
    </w:p>
    <w:p>
      <w:pPr>
        <w:ind w:left="1100" w:hanging="219"/>
        <w:spacing w:after="0"/>
        <w:tabs>
          <w:tab w:leader="none" w:pos="110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the Company shall have a call option against the Underwriters pursuant to Section 14(b);</w:t>
      </w:r>
    </w:p>
    <w:p>
      <w:pPr>
        <w:spacing w:after="0" w:line="117" w:lineRule="exact"/>
        <w:rPr>
          <w:rFonts w:ascii="Arial" w:cs="Arial" w:eastAsia="Arial" w:hAnsi="Arial"/>
          <w:sz w:val="18"/>
          <w:szCs w:val="18"/>
          <w:color w:val="auto"/>
        </w:rPr>
      </w:pPr>
    </w:p>
    <w:p>
      <w:pPr>
        <w:ind w:right="260" w:firstLine="881"/>
        <w:spacing w:after="0" w:line="277" w:lineRule="auto"/>
        <w:tabs>
          <w:tab w:leader="none" w:pos="114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if the call option is not exercised, the Representatives acting on behalf of the several Underwriters shall have a put option against the Company pursuant to Section 14(c);</w:t>
      </w:r>
    </w:p>
    <w:p>
      <w:pPr>
        <w:spacing w:after="0" w:line="62" w:lineRule="exact"/>
        <w:rPr>
          <w:rFonts w:ascii="Arial" w:cs="Arial" w:eastAsia="Arial" w:hAnsi="Arial"/>
          <w:sz w:val="18"/>
          <w:szCs w:val="18"/>
          <w:color w:val="auto"/>
        </w:rPr>
      </w:pPr>
    </w:p>
    <w:p>
      <w:pPr>
        <w:jc w:val="both"/>
        <w:ind w:right="120" w:firstLine="881"/>
        <w:spacing w:after="0" w:line="264" w:lineRule="auto"/>
        <w:tabs>
          <w:tab w:leader="none" w:pos="119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if the put option is not possible for legal reasons or insufficient to dispose of the Firm Securities or Applicable Optional Securities, as applicable, or if such put option is not exercised within the deadline set forth in Section 14(c), the Company shall effect a capital reduction pursuant to Section 14(d); and</w:t>
      </w:r>
    </w:p>
    <w:p>
      <w:pPr>
        <w:spacing w:after="0" w:line="73" w:lineRule="exact"/>
        <w:rPr>
          <w:rFonts w:ascii="Arial" w:cs="Arial" w:eastAsia="Arial" w:hAnsi="Arial"/>
          <w:sz w:val="18"/>
          <w:szCs w:val="18"/>
          <w:color w:val="auto"/>
        </w:rPr>
      </w:pPr>
    </w:p>
    <w:p>
      <w:pPr>
        <w:ind w:right="260" w:firstLine="881"/>
        <w:spacing w:after="0" w:line="277" w:lineRule="auto"/>
        <w:tabs>
          <w:tab w:leader="none" w:pos="118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if the capital reduction is not effected in accordance with Section 14(d), the Underwriters may sell the Firm Securities or Applicable Optional Securities, as applicable, in the market as provided in Section 14(e).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192"/>
        </w:numPr>
        <w:rPr>
          <w:rFonts w:ascii="Arial" w:cs="Arial" w:eastAsia="Arial" w:hAnsi="Arial"/>
          <w:sz w:val="18"/>
          <w:szCs w:val="18"/>
          <w:color w:val="auto"/>
        </w:rPr>
      </w:pPr>
      <w:r>
        <w:rPr>
          <w:rFonts w:ascii="Arial" w:cs="Arial" w:eastAsia="Arial" w:hAnsi="Arial"/>
          <w:sz w:val="18"/>
          <w:szCs w:val="18"/>
          <w:i w:val="1"/>
          <w:iCs w:val="1"/>
          <w:color w:val="auto"/>
        </w:rPr>
        <w:t>Call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60" w:firstLine="881"/>
        <w:spacing w:after="0" w:line="258" w:lineRule="auto"/>
        <w:tabs>
          <w:tab w:leader="none" w:pos="109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The Company, acting on its own behalf or on behalf of third parties, shall have the right (the “</w:t>
      </w:r>
      <w:r>
        <w:rPr>
          <w:rFonts w:ascii="Arial" w:cs="Arial" w:eastAsia="Arial" w:hAnsi="Arial"/>
          <w:sz w:val="18"/>
          <w:szCs w:val="18"/>
          <w:b w:val="1"/>
          <w:bCs w:val="1"/>
          <w:color w:val="auto"/>
        </w:rPr>
        <w:t>Call Option</w:t>
      </w:r>
      <w:r>
        <w:rPr>
          <w:rFonts w:ascii="Arial" w:cs="Arial" w:eastAsia="Arial" w:hAnsi="Arial"/>
          <w:sz w:val="18"/>
          <w:szCs w:val="18"/>
          <w:color w:val="auto"/>
        </w:rPr>
        <w:t>”) to request in writing that the Representatives, acting on behalf of the several Underwriters, deliver the Firm Securities or Applicable Optional Securities, as applicable, to an account specified by the Company against payment of an amount representing the aggregate nominal value of the respective Firm Securities or Applicable Optional Securities, as applicable, plus expenses of the Representatives as set out in Section 14(f). The Call Option shall expire on the tenth calendar day after the Event of Non-Completion.</w:t>
      </w:r>
    </w:p>
    <w:p>
      <w:pPr>
        <w:spacing w:after="0" w:line="79" w:lineRule="exact"/>
        <w:rPr>
          <w:rFonts w:ascii="Arial" w:cs="Arial" w:eastAsia="Arial" w:hAnsi="Arial"/>
          <w:sz w:val="18"/>
          <w:szCs w:val="18"/>
          <w:color w:val="auto"/>
        </w:rPr>
      </w:pPr>
    </w:p>
    <w:p>
      <w:pPr>
        <w:ind w:firstLine="881"/>
        <w:spacing w:after="0" w:line="255" w:lineRule="auto"/>
        <w:tabs>
          <w:tab w:leader="none" w:pos="114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An acquisition of the Firm Securities or Applicable Optional Securities, as applicable, by the Company for its own account shall only be permitted if the Company has delivered evidence to the Representatives reasonably satisfactory to the Representatives that the Company has sufficient freely available reserves to acquire the Firm Securities or Applicable Optional Securities, as applicable, under this Section 14(b) or, alternatively, that the Company has entered into arrangements with a third party ensuring for the immediate re-sale of the Firm Securities or Applicable Optional Securities, as applicable, to such third party, at no less than their nominal value, on the date of acquisition of the Firm Securities or Applicable Optional Securities, as applicable, by the Company.</w:t>
      </w:r>
    </w:p>
    <w:p>
      <w:pPr>
        <w:spacing w:after="0" w:line="85" w:lineRule="exact"/>
        <w:rPr>
          <w:rFonts w:ascii="Arial" w:cs="Arial" w:eastAsia="Arial" w:hAnsi="Arial"/>
          <w:sz w:val="18"/>
          <w:szCs w:val="18"/>
          <w:color w:val="auto"/>
        </w:rPr>
      </w:pPr>
    </w:p>
    <w:p>
      <w:pPr>
        <w:ind w:left="680" w:hanging="237"/>
        <w:spacing w:after="0"/>
        <w:tabs>
          <w:tab w:leader="none" w:pos="680" w:val="left"/>
        </w:tabs>
        <w:numPr>
          <w:ilvl w:val="1"/>
          <w:numId w:val="192"/>
        </w:numPr>
        <w:rPr>
          <w:rFonts w:ascii="Arial" w:cs="Arial" w:eastAsia="Arial" w:hAnsi="Arial"/>
          <w:sz w:val="18"/>
          <w:szCs w:val="18"/>
          <w:color w:val="auto"/>
        </w:rPr>
      </w:pPr>
      <w:r>
        <w:rPr>
          <w:rFonts w:ascii="Arial" w:cs="Arial" w:eastAsia="Arial" w:hAnsi="Arial"/>
          <w:sz w:val="18"/>
          <w:szCs w:val="18"/>
          <w:i w:val="1"/>
          <w:iCs w:val="1"/>
          <w:color w:val="auto"/>
        </w:rPr>
        <w:t>Put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881"/>
        <w:spacing w:after="0" w:line="297" w:lineRule="auto"/>
        <w:tabs>
          <w:tab w:leader="none" w:pos="1091" w:val="left"/>
        </w:tabs>
        <w:numPr>
          <w:ilvl w:val="2"/>
          <w:numId w:val="192"/>
        </w:numPr>
        <w:rPr>
          <w:rFonts w:ascii="Arial" w:cs="Arial" w:eastAsia="Arial" w:hAnsi="Arial"/>
          <w:sz w:val="16"/>
          <w:szCs w:val="16"/>
          <w:color w:val="auto"/>
        </w:rPr>
      </w:pPr>
      <w:r>
        <w:rPr>
          <w:rFonts w:ascii="Arial" w:cs="Arial" w:eastAsia="Arial" w:hAnsi="Arial"/>
          <w:sz w:val="16"/>
          <w:szCs w:val="16"/>
          <w:color w:val="auto"/>
        </w:rPr>
        <w:t>Following the expiry of the Call Option pursuant to Section 14(b), the Representatives, acting on behalf of the several Underwriters, shall have an option (the “</w:t>
      </w:r>
      <w:r>
        <w:rPr>
          <w:rFonts w:ascii="Arial" w:cs="Arial" w:eastAsia="Arial" w:hAnsi="Arial"/>
          <w:sz w:val="16"/>
          <w:szCs w:val="16"/>
          <w:b w:val="1"/>
          <w:bCs w:val="1"/>
          <w:color w:val="auto"/>
        </w:rPr>
        <w:t>Put Option</w:t>
      </w:r>
      <w:r>
        <w:rPr>
          <w:rFonts w:ascii="Arial" w:cs="Arial" w:eastAsia="Arial" w:hAnsi="Arial"/>
          <w:sz w:val="16"/>
          <w:szCs w:val="16"/>
          <w:color w:val="auto"/>
        </w:rPr>
        <w:t>”) to require the Company, subject to article 659 CO, to purchase all Firm Securities or Applicable Optional Securities, as applicable, entered in the Commercial Register of the Canton of Vaud at their nominal value, plus expenses of the Representatives as set out in Section 14(f), within ten calendar days after receipt of a notice in writing addressed to the Company from the Representatives, stating that the Representatives exercises the Put Option. The Put Option shall expire on the twentieth calendar day after the Event of Non-Completion.</w:t>
      </w:r>
    </w:p>
    <w:p>
      <w:pPr>
        <w:spacing w:after="0" w:line="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4" w:right="239" w:bottom="1440" w:gutter="0" w:footer="0" w:header="0"/>
        </w:sectPr>
      </w:pPr>
    </w:p>
    <w:bookmarkStart w:id="263" w:name="page264"/>
    <w:bookmarkEnd w:id="263"/>
    <w:p>
      <w:pPr>
        <w:ind w:right="20" w:firstLine="881"/>
        <w:spacing w:after="0" w:line="279" w:lineRule="auto"/>
        <w:tabs>
          <w:tab w:leader="none" w:pos="1141" w:val="left"/>
        </w:tabs>
        <w:numPr>
          <w:ilvl w:val="1"/>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in which the Representatives, acting on behalf of the several Underwriters, exercises the Put Option shall specify the date on which the Representatives will deliver the Firm Securities or Applicable Optional Securities, as applicable, to the Company against direct payment therefore, and shall contain detailed instructions regarding payment, delivery of the Firm Securities or Applicable Optional Securities, as applicable, and amount payable (including satisfactory details regarding the costs claimed according to Section 14(f)).</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Capital Reduction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88" w:lineRule="auto"/>
        <w:tabs>
          <w:tab w:leader="none" w:pos="109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If the Put Option is not exercised within the deadline set forth in Section 14(c) or it is not possible for legal reasons or insufficient to dispose of the Firm Securities or Applicable Optional Securities, as applicable, including due to non-availability of sufficient freely disposable reserves, the Company shall immediately call a shareholders’ meeting and table the reduction of the share capital. Such shareholders’ meeting shall take place no later than seventy days after the Event of Non-Completion. The Representatives acting on behalf of the several Underwriters, will vote in favor of a reduction of the issued and outstanding share capital of the Company (the “</w:t>
      </w:r>
      <w:r>
        <w:rPr>
          <w:rFonts w:ascii="Arial" w:cs="Arial" w:eastAsia="Arial" w:hAnsi="Arial"/>
          <w:sz w:val="16"/>
          <w:szCs w:val="16"/>
          <w:b w:val="1"/>
          <w:bCs w:val="1"/>
          <w:color w:val="auto"/>
        </w:rPr>
        <w:t>Capital Reduction</w:t>
      </w:r>
      <w:r>
        <w:rPr>
          <w:rFonts w:ascii="Arial" w:cs="Arial" w:eastAsia="Arial" w:hAnsi="Arial"/>
          <w:sz w:val="16"/>
          <w:szCs w:val="16"/>
          <w:color w:val="auto"/>
        </w:rPr>
        <w:t xml:space="preserve">”) by cancellation of the Firm Securities or Applicable Optional Securities, as applicable, entered in the Commercial Register of the Canton of Vaud against repayment of the aggregate nominal value of such securities to the Representatives, acting on behalf of the several Underwriters. Prior to such shareholders’ meeting, the Company shall use its reasonable best efforts to cause its auditors to confirm in writing, pursuant to article 732 para. 2 CO, that the claims of the Company’s creditors are fully covered notwithstanding the Capital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confirmation is not made by the auditors prior to such meeting, the meeting shall be cancelled. The Company shall use its reasonable best efforts to cause its shareholders to vote in favor of the Capital Reduction.</w:t>
      </w:r>
    </w:p>
    <w:p>
      <w:pPr>
        <w:spacing w:after="0" w:line="61" w:lineRule="exact"/>
        <w:rPr>
          <w:sz w:val="20"/>
          <w:szCs w:val="20"/>
          <w:color w:val="auto"/>
        </w:rPr>
      </w:pPr>
    </w:p>
    <w:p>
      <w:pPr>
        <w:ind w:right="140" w:firstLine="881"/>
        <w:spacing w:after="0" w:line="259" w:lineRule="auto"/>
        <w:tabs>
          <w:tab w:leader="none" w:pos="114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At the earliest possible date, and subject to statutory law, the Capital Reduction shall be consummated by registration in the Commercial Register of the Canton of Vaud. The proceeds of the Capital Reduction, being an amount representing the aggregate nominal value of the Firm Securities or Applicable Optional Securities, as applicable, shall be paid (for value on the date of the entry in the Commercial Register of the Canton of Vaud) in cash to the Representatives, acting on behalf of the several Underwriters.</w:t>
      </w:r>
    </w:p>
    <w:p>
      <w:pPr>
        <w:spacing w:after="0" w:line="78" w:lineRule="exact"/>
        <w:rPr>
          <w:rFonts w:ascii="Arial" w:cs="Arial" w:eastAsia="Arial" w:hAnsi="Arial"/>
          <w:sz w:val="18"/>
          <w:szCs w:val="18"/>
          <w:color w:val="auto"/>
        </w:rPr>
      </w:pPr>
    </w:p>
    <w:p>
      <w:pPr>
        <w:ind w:right="120" w:firstLine="881"/>
        <w:spacing w:after="0" w:line="264" w:lineRule="auto"/>
        <w:tabs>
          <w:tab w:leader="none" w:pos="119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Upon consummation of the Capital Reduction, the Company shall deregister the Firm Securities or Applicable Optional Securities, as applicable, in its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to reflect the number of Shares registered with the Commercial Register of the Canton of Vaud.</w:t>
      </w:r>
    </w:p>
    <w:p>
      <w:pPr>
        <w:spacing w:after="0" w:line="73" w:lineRule="exact"/>
        <w:rPr>
          <w:rFonts w:ascii="Arial" w:cs="Arial" w:eastAsia="Arial" w:hAnsi="Arial"/>
          <w:sz w:val="18"/>
          <w:szCs w:val="18"/>
          <w:color w:val="auto"/>
        </w:rPr>
      </w:pPr>
    </w:p>
    <w:p>
      <w:pPr>
        <w:ind w:left="680" w:hanging="237"/>
        <w:spacing w:after="0"/>
        <w:tabs>
          <w:tab w:leader="none" w:pos="68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Sale of Firm Securities or Applicable Optional Securities</w:t>
      </w:r>
      <w:r>
        <w:rPr>
          <w:rFonts w:ascii="Arial" w:cs="Arial" w:eastAsia="Arial" w:hAnsi="Arial"/>
          <w:sz w:val="18"/>
          <w:szCs w:val="18"/>
          <w:color w:val="auto"/>
        </w:rPr>
        <w:t>. In addition, if an Event of Non-Completion occurs and,</w:t>
      </w:r>
    </w:p>
    <w:p>
      <w:pPr>
        <w:spacing w:after="0" w:line="117" w:lineRule="exact"/>
        <w:rPr>
          <w:rFonts w:ascii="Arial" w:cs="Arial" w:eastAsia="Arial" w:hAnsi="Arial"/>
          <w:sz w:val="18"/>
          <w:szCs w:val="18"/>
          <w:color w:val="auto"/>
        </w:rPr>
      </w:pPr>
    </w:p>
    <w:p>
      <w:pPr>
        <w:ind w:right="320" w:firstLine="881"/>
        <w:spacing w:after="0" w:line="277" w:lineRule="auto"/>
        <w:tabs>
          <w:tab w:leader="none" w:pos="109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fails to acquire or cause a third party to acquire the Firm Securities or Applicable Optional Securities, as applicable, in accordance with Section 14(b) at any time after the Event of Non-Completion; and</w:t>
      </w:r>
    </w:p>
    <w:p>
      <w:pPr>
        <w:spacing w:after="0" w:line="62" w:lineRule="exact"/>
        <w:rPr>
          <w:rFonts w:ascii="Arial" w:cs="Arial" w:eastAsia="Arial" w:hAnsi="Arial"/>
          <w:sz w:val="18"/>
          <w:szCs w:val="18"/>
          <w:color w:val="auto"/>
        </w:rPr>
      </w:pPr>
    </w:p>
    <w:p>
      <w:pPr>
        <w:ind w:right="240" w:firstLine="881"/>
        <w:spacing w:after="0" w:line="264" w:lineRule="auto"/>
        <w:tabs>
          <w:tab w:leader="none" w:pos="114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the event and to the extent the Put Option is not possible for legal reasons or insufficient to dispose of the Firm Securities or Applicable Optional Securities, as applicable, including due to insufficient freely disposable reserves, or if the Put Option is not exercised within the deadline set forth in Section 14(c);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264" w:name="page265"/>
    <w:bookmarkEnd w:id="264"/>
    <w:p>
      <w:pPr>
        <w:ind w:left="440" w:right="80" w:firstLine="881"/>
        <w:spacing w:after="0" w:line="276" w:lineRule="auto"/>
        <w:tabs>
          <w:tab w:leader="none" w:pos="1631" w:val="left"/>
        </w:tabs>
        <w:numPr>
          <w:ilvl w:val="1"/>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Capital Reduction has not been resolved by the shareholders’ meeting of the Company within seventy days after the Event of Non-Completion, the Representatives, acting on behalf of the several Underwriters, are entitled to sell any or all Firm Securities or Applicable Optional Securities on terms which the Representatives deem fit under the circumstances. The difference between the proceeds of such sale and the nominal amount of such Firm Securities or Applicable Optional Securities, as applicable, sold, less the costs and expenses pursuant to Section 14(f) reasonably incurred by the Representatives in connection with the sale, if any, shall be transferred to the Company.</w:t>
      </w:r>
    </w:p>
    <w:p>
      <w:pPr>
        <w:spacing w:after="0" w:line="64" w:lineRule="exact"/>
        <w:rPr>
          <w:rFonts w:ascii="Arial" w:cs="Arial" w:eastAsia="Arial" w:hAnsi="Arial"/>
          <w:sz w:val="17"/>
          <w:szCs w:val="17"/>
          <w:color w:val="auto"/>
        </w:rPr>
      </w:pPr>
    </w:p>
    <w:p>
      <w:pPr>
        <w:ind w:left="1100" w:hanging="217"/>
        <w:spacing w:after="0"/>
        <w:tabs>
          <w:tab w:leader="none" w:pos="110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Costs;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881"/>
        <w:spacing w:after="0" w:line="297" w:lineRule="auto"/>
        <w:tabs>
          <w:tab w:leader="none" w:pos="153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Company shall bear (A) all costs directly incidental to the Capital Reduction, including but not limited to notarization costs, costs of the Commercial Register and costs of publication of the Capital Reduction and (B) the costs of the Representatives reasonably incurred in connection with the Call Option, the Put Option or the Capital Reduction, as applicable (including but not limited to (x) taxes, (y) interest at a rate of the higher of zero or the 3-month CHF LIBOR, calculated on a 30/360 basis, following the Event of Non-Completion until the payment of proceeds to the Representatives, acting on behalf of the several Underwriters, and (z) reasonable out of pocket expenses of the Representatives and their counsel).</w:t>
      </w:r>
    </w:p>
    <w:p>
      <w:pPr>
        <w:spacing w:after="0" w:line="50" w:lineRule="exact"/>
        <w:rPr>
          <w:sz w:val="20"/>
          <w:szCs w:val="20"/>
          <w:color w:val="auto"/>
        </w:rPr>
      </w:pPr>
    </w:p>
    <w:p>
      <w:pPr>
        <w:jc w:val="both"/>
        <w:ind w:left="440" w:right="140" w:firstLine="881"/>
        <w:spacing w:after="0" w:line="264" w:lineRule="auto"/>
        <w:tabs>
          <w:tab w:leader="none" w:pos="1581"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further undertakes to indemnify the Representatives for, and to hold the Representatives harmless from, any reasonable costs, expenses, third party claims and liabilities, actual or contingent, that may be incurred by or made against the Representatives in connection with the Capital Reduction.</w:t>
      </w:r>
    </w:p>
    <w:p>
      <w:pPr>
        <w:spacing w:after="0" w:line="181" w:lineRule="exact"/>
        <w:rPr>
          <w:rFonts w:ascii="Arial" w:cs="Arial" w:eastAsia="Arial" w:hAnsi="Arial"/>
          <w:sz w:val="18"/>
          <w:szCs w:val="18"/>
          <w:color w:val="auto"/>
        </w:rPr>
      </w:pPr>
    </w:p>
    <w:p>
      <w:pPr>
        <w:ind w:left="-20" w:firstLine="464"/>
        <w:spacing w:after="0" w:line="257"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will be in writing and, if sent to the Underwriters, will be mailed by registered mail, or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Credit Suisse Securities (USA) LLC, Eleven Madison Avenue, New York, N.Y. 10010-3629, Attention: LCD-IBD, or, if sent to the Company, will be mailed by registered mail or at AC Immune SA, EPFL Innovation Park Building B, 1050 Lausanne, Switzerland, Attention: Chief Financial Officer with copies (which shall not constitute notice) to Vischer AG, attn. Dr. Matthias Staehelin, Aeschenvorstadt 4, CH 4051 Basel, Switzerland, and Davis Polk &amp; Wardwell LLP, attn. Richard D. Truesdell, Jr., 450 Lexington Avenue, New York, NY 10017.</w:t>
      </w:r>
    </w:p>
    <w:p>
      <w:pPr>
        <w:spacing w:after="0" w:line="188" w:lineRule="exact"/>
        <w:rPr>
          <w:rFonts w:ascii="Arial" w:cs="Arial" w:eastAsia="Arial" w:hAnsi="Arial"/>
          <w:sz w:val="18"/>
          <w:szCs w:val="18"/>
          <w:color w:val="auto"/>
        </w:rPr>
      </w:pPr>
    </w:p>
    <w:p>
      <w:pPr>
        <w:ind w:left="-20" w:right="180" w:firstLine="464"/>
        <w:spacing w:after="0" w:line="277"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no other person will have any right or obligation hereunder.</w:t>
      </w:r>
    </w:p>
    <w:p>
      <w:pPr>
        <w:spacing w:after="0" w:line="170"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Representation of Underwriters</w:t>
      </w:r>
      <w:r>
        <w:rPr>
          <w:rFonts w:ascii="Arial" w:cs="Arial" w:eastAsia="Arial" w:hAnsi="Arial"/>
          <w:sz w:val="18"/>
          <w:szCs w:val="18"/>
          <w:color w:val="auto"/>
        </w:rPr>
        <w:t>. The Representatives will act for the several Underwriters in connection with this financing, and any action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taken by the Representatives will be binding upon all the Underwriters.</w:t>
      </w:r>
    </w:p>
    <w:p>
      <w:pPr>
        <w:spacing w:after="0" w:line="170" w:lineRule="exact"/>
        <w:rPr>
          <w:rFonts w:ascii="Arial" w:cs="Arial" w:eastAsia="Arial" w:hAnsi="Arial"/>
          <w:sz w:val="18"/>
          <w:szCs w:val="18"/>
          <w:color w:val="auto"/>
        </w:rPr>
      </w:pPr>
    </w:p>
    <w:p>
      <w:pPr>
        <w:ind w:left="-20" w:right="560" w:firstLine="464"/>
        <w:spacing w:after="0" w:line="277"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Absence of Fiduciary Relationship</w:t>
      </w:r>
      <w:r>
        <w:rPr>
          <w:rFonts w:ascii="Arial" w:cs="Arial" w:eastAsia="Arial" w:hAnsi="Arial"/>
          <w:sz w:val="18"/>
          <w:szCs w:val="18"/>
          <w:color w:val="auto"/>
        </w:rPr>
        <w:t>. The Company acknowledges and agrees that:</w:t>
      </w:r>
    </w:p>
    <w:p>
      <w:pPr>
        <w:spacing w:after="0" w:line="117" w:lineRule="exact"/>
        <w:rPr>
          <w:rFonts w:ascii="Arial" w:cs="Arial" w:eastAsia="Arial" w:hAnsi="Arial"/>
          <w:sz w:val="18"/>
          <w:szCs w:val="18"/>
          <w:color w:val="auto"/>
        </w:rPr>
      </w:pPr>
    </w:p>
    <w:p>
      <w:pPr>
        <w:ind w:left="1120" w:hanging="237"/>
        <w:spacing w:after="0"/>
        <w:tabs>
          <w:tab w:leader="none" w:pos="1120" w:val="left"/>
        </w:tabs>
        <w:numPr>
          <w:ilvl w:val="1"/>
          <w:numId w:val="200"/>
        </w:numPr>
        <w:rPr>
          <w:rFonts w:ascii="Arial" w:cs="Arial" w:eastAsia="Arial" w:hAnsi="Arial"/>
          <w:sz w:val="17"/>
          <w:szCs w:val="17"/>
          <w:color w:val="auto"/>
        </w:rPr>
      </w:pPr>
      <w:r>
        <w:rPr>
          <w:rFonts w:ascii="Arial" w:cs="Arial" w:eastAsia="Arial" w:hAnsi="Arial"/>
          <w:sz w:val="17"/>
          <w:szCs w:val="17"/>
          <w:i w:val="1"/>
          <w:iCs w:val="1"/>
          <w:color w:val="auto"/>
        </w:rPr>
        <w:t>No Other Relationship</w:t>
      </w:r>
      <w:r>
        <w:rPr>
          <w:rFonts w:ascii="Arial" w:cs="Arial" w:eastAsia="Arial" w:hAnsi="Arial"/>
          <w:sz w:val="17"/>
          <w:szCs w:val="17"/>
          <w:color w:val="auto"/>
        </w:rPr>
        <w:t>. The Representatives have been retained solely to act as an underwriter in connection with the sale of Offered</w:t>
      </w:r>
    </w:p>
    <w:p>
      <w:pPr>
        <w:spacing w:after="0" w:line="34" w:lineRule="exact"/>
        <w:rPr>
          <w:rFonts w:ascii="Arial" w:cs="Arial" w:eastAsia="Arial" w:hAnsi="Arial"/>
          <w:sz w:val="17"/>
          <w:szCs w:val="17"/>
          <w:color w:val="auto"/>
        </w:rPr>
      </w:pPr>
    </w:p>
    <w:p>
      <w:pPr>
        <w:ind w:left="440" w:right="20"/>
        <w:spacing w:after="0" w:line="255" w:lineRule="auto"/>
        <w:rPr>
          <w:rFonts w:ascii="Arial" w:cs="Arial" w:eastAsia="Arial" w:hAnsi="Arial"/>
          <w:sz w:val="17"/>
          <w:szCs w:val="17"/>
          <w:color w:val="auto"/>
        </w:rPr>
      </w:pPr>
      <w:r>
        <w:rPr>
          <w:rFonts w:ascii="Arial" w:cs="Arial" w:eastAsia="Arial" w:hAnsi="Arial"/>
          <w:sz w:val="18"/>
          <w:szCs w:val="18"/>
          <w:color w:val="auto"/>
        </w:rPr>
        <w:t>Securities and that no fiduciary, advisory or agency relationship between the Company and the Representatives has been created in respect of any of the transactions contemplated by this Agreement or the Final Prospectus, irrespective of whether the Representatives have advised or are advising the Company on other matters;</w:t>
      </w:r>
    </w:p>
    <w:p>
      <w:pPr>
        <w:spacing w:after="0" w:line="82" w:lineRule="exact"/>
        <w:rPr>
          <w:rFonts w:ascii="Arial" w:cs="Arial" w:eastAsia="Arial" w:hAnsi="Arial"/>
          <w:sz w:val="17"/>
          <w:szCs w:val="17"/>
          <w:color w:val="auto"/>
        </w:rPr>
      </w:pPr>
    </w:p>
    <w:p>
      <w:pPr>
        <w:ind w:left="440" w:right="240" w:firstLine="443"/>
        <w:spacing w:after="0" w:line="264" w:lineRule="auto"/>
        <w:tabs>
          <w:tab w:leader="none" w:pos="1133"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Arms’ Length Negotiations</w:t>
      </w:r>
      <w:r>
        <w:rPr>
          <w:rFonts w:ascii="Arial" w:cs="Arial" w:eastAsia="Arial" w:hAnsi="Arial"/>
          <w:sz w:val="18"/>
          <w:szCs w:val="18"/>
          <w:color w:val="auto"/>
        </w:rPr>
        <w:t>. The price of the Offered Securities set forth in this Agreement was established by the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265" w:name="page266"/>
    <w:bookmarkEnd w:id="265"/>
    <w:p>
      <w:pPr>
        <w:ind w:left="460" w:firstLine="443"/>
        <w:spacing w:after="0" w:line="264" w:lineRule="auto"/>
        <w:tabs>
          <w:tab w:leader="none" w:pos="1143" w:val="left"/>
        </w:tabs>
        <w:numPr>
          <w:ilvl w:val="1"/>
          <w:numId w:val="2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Obligation to Disclose</w:t>
      </w:r>
      <w:r>
        <w:rPr>
          <w:rFonts w:ascii="Arial" w:cs="Arial" w:eastAsia="Arial" w:hAnsi="Arial"/>
          <w:sz w:val="18"/>
          <w:szCs w:val="18"/>
          <w:color w:val="auto"/>
        </w:rPr>
        <w:t>. The Company has been advised that the Representatives and their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1"/>
          <w:numId w:val="201"/>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Representatives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6" w:lineRule="exact"/>
        <w:rPr>
          <w:rFonts w:ascii="Arial" w:cs="Arial" w:eastAsia="Arial" w:hAnsi="Arial"/>
          <w:sz w:val="18"/>
          <w:szCs w:val="18"/>
          <w:color w:val="auto"/>
        </w:rPr>
      </w:pPr>
    </w:p>
    <w:p>
      <w:pPr>
        <w:ind w:right="40" w:firstLine="464"/>
        <w:spacing w:after="0" w:line="268" w:lineRule="auto"/>
        <w:tabs>
          <w:tab w:leader="none" w:pos="726"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laws of the State of New York. The Company hereby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that the U.S. federal and New York state courts in the Borough of Manhattan in The City of New York shall have sole and exclusive jurisdiction over any suit or proceeding against the Underwriters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has appointed National Corporate Research, Ltd. as its authorized agent (the “</w:t>
      </w:r>
      <w:r>
        <w:rPr>
          <w:rFonts w:ascii="Arial" w:cs="Arial" w:eastAsia="Arial" w:hAnsi="Arial"/>
          <w:sz w:val="17"/>
          <w:szCs w:val="17"/>
          <w:b w:val="1"/>
          <w:bCs w:val="1"/>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which may be instituted in any New York state or United States federal court, by any Underwriter, the directors, officers, employees and agents of any Underwriter, or by any person who controls any Underwriter, and expressly accepts the 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France. The provisions of this paragraph shall survive any termination of this Agreement.</w:t>
      </w:r>
    </w:p>
    <w:p>
      <w:pPr>
        <w:spacing w:after="0" w:line="18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147" w:lineRule="exact"/>
        <w:rPr>
          <w:sz w:val="20"/>
          <w:szCs w:val="20"/>
          <w:color w:val="auto"/>
        </w:rPr>
      </w:pPr>
    </w:p>
    <w:p>
      <w:pPr>
        <w:ind w:right="280" w:firstLine="464"/>
        <w:spacing w:after="0" w:line="308" w:lineRule="auto"/>
        <w:tabs>
          <w:tab w:leader="none" w:pos="726"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Each of the Company and the Underwriters hereby irrevocably waive, to the fullest extent permitted by applicable law, 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right to trial by jury in any legal proceeding arising out of or relating to this Agreement or the transactions contemplated hereby.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66" w:name="page267"/>
    <w:bookmarkEnd w:id="266"/>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 confirmed and 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[Signature Page to Underwriting Agreement]</w:t>
      </w:r>
    </w:p>
    <w:p>
      <w:pPr>
        <w:sectPr>
          <w:pgSz w:w="11900" w:h="16838" w:orient="portrait"/>
          <w:cols w:equalWidth="0" w:num="1">
            <w:col w:w="10760"/>
          </w:cols>
          <w:pgMar w:left="240" w:top="274" w:right="89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Number of Firm Securities</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9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0"/>
              <w:spacing w:after="0" w:line="203" w:lineRule="exact"/>
              <w:rPr>
                <w:sz w:val="20"/>
                <w:szCs w:val="20"/>
                <w:color w:val="auto"/>
              </w:rPr>
            </w:pPr>
            <w:r>
              <w:rPr>
                <w:rFonts w:ascii="Arial" w:cs="Arial" w:eastAsia="Arial" w:hAnsi="Arial"/>
                <w:sz w:val="18"/>
                <w:szCs w:val="18"/>
                <w:color w:val="auto"/>
              </w:rPr>
              <w:t>]</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70" w:right="239" w:bottom="1440" w:gutter="0" w:footer="0" w:header="0"/>
        </w:sectPr>
      </w:pPr>
    </w:p>
    <w:bookmarkStart w:id="268" w:name="page269"/>
    <w:bookmarkEnd w:id="268"/>
    <w:p>
      <w:pPr>
        <w:ind w:left="51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52" w:lineRule="exact"/>
        <w:rPr>
          <w:sz w:val="20"/>
          <w:szCs w:val="20"/>
          <w:color w:val="auto"/>
        </w:rPr>
      </w:pPr>
    </w:p>
    <w:p>
      <w:pPr>
        <w:ind w:left="452" w:right="3259" w:hanging="452"/>
        <w:spacing w:after="0" w:line="425" w:lineRule="auto"/>
        <w:tabs>
          <w:tab w:leader="none" w:pos="441"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Use Free Writing Prospectuses (included in the General Disclosure Package) </w:t>
      </w:r>
      <w:r>
        <w:rPr>
          <w:rFonts w:ascii="Arial" w:cs="Arial" w:eastAsia="Arial" w:hAnsi="Arial"/>
          <w:sz w:val="16"/>
          <w:szCs w:val="16"/>
          <w:color w:val="auto"/>
        </w:rPr>
        <w:t>“General Use Issuer Free Writing Prospectus” includes each of the following documents:</w:t>
      </w:r>
    </w:p>
    <w:p>
      <w:pPr>
        <w:ind w:left="632" w:hanging="176"/>
        <w:spacing w:after="0"/>
        <w:tabs>
          <w:tab w:leader="none" w:pos="6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Included in the General Disclosure Package</w:t>
      </w:r>
    </w:p>
    <w:p>
      <w:pPr>
        <w:spacing w:after="0" w:line="121" w:lineRule="exact"/>
        <w:rPr>
          <w:rFonts w:ascii="Arial" w:cs="Arial" w:eastAsia="Arial" w:hAnsi="Arial"/>
          <w:sz w:val="18"/>
          <w:szCs w:val="18"/>
          <w:b w:val="1"/>
          <w:bCs w:val="1"/>
          <w:color w:val="auto"/>
        </w:rPr>
      </w:pPr>
    </w:p>
    <w:p>
      <w:pPr>
        <w:ind w:left="452" w:right="4099"/>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is also included in the General Disclosure Package: [1. The initial price to the public of the Offered Securities.</w:t>
      </w:r>
    </w:p>
    <w:p>
      <w:pPr>
        <w:spacing w:after="0" w:line="1" w:lineRule="exact"/>
        <w:rPr>
          <w:rFonts w:ascii="Arial" w:cs="Arial" w:eastAsia="Arial" w:hAnsi="Arial"/>
          <w:sz w:val="18"/>
          <w:szCs w:val="18"/>
          <w:b w:val="1"/>
          <w:bCs w:val="1"/>
          <w:color w:val="auto"/>
        </w:rPr>
      </w:pPr>
    </w:p>
    <w:p>
      <w:pPr>
        <w:ind w:left="632" w:hanging="176"/>
        <w:spacing w:after="0"/>
        <w:tabs>
          <w:tab w:leader="none" w:pos="63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211"/>
          </w:cols>
          <w:pgMar w:left="248" w:top="270" w:right="1440"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Comfort Letter</w:t>
      </w:r>
    </w:p>
    <w:p>
      <w:pPr>
        <w:sectPr>
          <w:pgSz w:w="11900" w:h="16838" w:orient="portrait"/>
          <w:cols w:equalWidth="0" w:num="1">
            <w:col w:w="9019"/>
          </w:cols>
          <w:pgMar w:left="1440" w:top="270"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Form of Subscription</w:t>
      </w:r>
    </w:p>
    <w:p>
      <w:pPr>
        <w:sectPr>
          <w:pgSz w:w="11900" w:h="16838" w:orient="portrait"/>
          <w:cols w:equalWidth="0" w:num="1">
            <w:col w:w="10220"/>
          </w:cols>
          <w:pgMar w:left="1440" w:top="270"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1050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As an inducement to the Underwriters to execute the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pursuant to which an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will be made that is intended to result in the establishment of a public market in the United States for common shares, nominal value CHF 0.02 per share (the “</w:t>
      </w:r>
      <w:r>
        <w:rPr>
          <w:rFonts w:ascii="Arial" w:cs="Arial" w:eastAsia="Arial" w:hAnsi="Arial"/>
          <w:sz w:val="16"/>
          <w:szCs w:val="16"/>
          <w:b w:val="1"/>
          <w:bCs w:val="1"/>
          <w:color w:val="auto"/>
        </w:rPr>
        <w:t>Securities</w:t>
      </w:r>
      <w:r>
        <w:rPr>
          <w:rFonts w:ascii="Arial" w:cs="Arial" w:eastAsia="Arial" w:hAnsi="Arial"/>
          <w:sz w:val="16"/>
          <w:szCs w:val="16"/>
          <w:color w:val="auto"/>
        </w:rPr>
        <w:t>”) of AC Immune SA, and any successor (by merger or otherwise) thereto (the “</w:t>
      </w:r>
      <w:r>
        <w:rPr>
          <w:rFonts w:ascii="Arial" w:cs="Arial" w:eastAsia="Arial" w:hAnsi="Arial"/>
          <w:sz w:val="16"/>
          <w:szCs w:val="16"/>
          <w:b w:val="1"/>
          <w:bCs w:val="1"/>
          <w:color w:val="auto"/>
        </w:rPr>
        <w:t>Company</w:t>
      </w:r>
      <w:r>
        <w:rPr>
          <w:rFonts w:ascii="Arial" w:cs="Arial" w:eastAsia="Arial" w:hAnsi="Arial"/>
          <w:sz w:val="16"/>
          <w:szCs w:val="16"/>
          <w:color w:val="auto"/>
        </w:rPr>
        <w:t>”), the undersigned hereby agrees that during the period specified in the following paragraph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will not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that transfers, in whole or in part, any of the economic consequences of ownership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w:t>
      </w:r>
      <w:r>
        <w:rPr>
          <w:rFonts w:ascii="Arial" w:cs="Arial" w:eastAsia="Arial" w:hAnsi="Arial"/>
          <w:sz w:val="16"/>
          <w:szCs w:val="16"/>
          <w:b w:val="1"/>
          <w:bCs w:val="1"/>
          <w:color w:val="auto"/>
        </w:rPr>
        <w:t>Credit Suisse</w:t>
      </w:r>
      <w:r>
        <w:rPr>
          <w:rFonts w:ascii="Arial" w:cs="Arial" w:eastAsia="Arial" w:hAnsi="Arial"/>
          <w:sz w:val="16"/>
          <w:szCs w:val="16"/>
          <w:color w:val="auto"/>
        </w:rPr>
        <w:t>”). In addition, the undersigned agrees that, without the prior written consent of Credit Suisse, it will not, during the Lock-Up Period, make any demand for or exercise any right with respect to, the registration of any Securities or any security convertible into or exercisable or exchangeable for the Securities.</w:t>
      </w:r>
    </w:p>
    <w:p>
      <w:pPr>
        <w:spacing w:after="0" w:line="168"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The Lock-Up Period will commence on the filing of a preliminary prospectus by the Company which contains a bona fide price range and will continue and include the date 180 days after the public offering date set forth on the final prospectus used to sell the Securities (the “</w:t>
      </w:r>
      <w:r>
        <w:rPr>
          <w:rFonts w:ascii="Arial" w:cs="Arial" w:eastAsia="Arial" w:hAnsi="Arial"/>
          <w:sz w:val="16"/>
          <w:szCs w:val="16"/>
          <w:b w:val="1"/>
          <w:bCs w:val="1"/>
          <w:color w:val="auto"/>
        </w:rPr>
        <w:t>Public Offering Date</w:t>
      </w:r>
      <w:r>
        <w:rPr>
          <w:rFonts w:ascii="Arial" w:cs="Arial" w:eastAsia="Arial" w:hAnsi="Arial"/>
          <w:sz w:val="16"/>
          <w:szCs w:val="16"/>
          <w:color w:val="auto"/>
        </w:rPr>
        <w:t>”).</w:t>
      </w:r>
    </w:p>
    <w:p>
      <w:pPr>
        <w:spacing w:after="0" w:line="12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Any Securities received upon exercise of options granted to the undersigned will also be subject to this Lock-Up Agreement. Notwithstanding anything contained herein to the contrary, the restrictions described in this Lock-Up Agreement shall not apply to:</w:t>
      </w:r>
    </w:p>
    <w:p>
      <w:pPr>
        <w:spacing w:after="0" w:line="76"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transactions relating to Securities or other securities acquired by the undersigned in the Public Offering or in open market transactions;</w:t>
      </w:r>
    </w:p>
    <w:p>
      <w:pPr>
        <w:sectPr>
          <w:pgSz w:w="11900" w:h="16838" w:orient="portrait"/>
          <w:cols w:equalWidth="0" w:num="1">
            <w:col w:w="11420"/>
          </w:cols>
          <w:pgMar w:left="240" w:top="270" w:right="239" w:bottom="1440" w:gutter="0" w:footer="0" w:header="0"/>
        </w:sectPr>
      </w:pPr>
    </w:p>
    <w:bookmarkStart w:id="272" w:name="page273"/>
    <w:bookmarkEnd w:id="272"/>
    <w:p>
      <w:pPr>
        <w:ind w:left="446" w:right="40" w:hanging="446"/>
        <w:spacing w:after="0" w:line="270" w:lineRule="auto"/>
        <w:tabs>
          <w:tab w:leader="none" w:pos="446"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 the exercise of stock options or other similar awards granted pursuant to the Company’s equity incentive plans or the vesting or settlement of awards granted pursuant to the Company’s equity incentive plans (including the delivery and receipt of Securities, other awards or any securities convertible into or exercisable or exchangeable for Securities in connection with such vesting or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 the foregoing restrictions shall apply to any of the undersigned’s Securities issued upon such exercise, vesting or settlement; or (ii) the transfer of Securities or any securities convertible into or exercisable or exchangeable for Securities from the undersigned to the Company (or the purchase and cancellation of same by the Company) upon a vesting event of the Company’s securities or upon the exercise of options to purchase Securities by the undersigned, in each case on a “cashless” or “net exercise” basis, or to cover income or withholding and other tax obligations of the undersigned in connection with such vesting or exercise in 2015 and 2016 of options for Securities of the Company, whether by means of a “net settlement” or otherwise;</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w:t>
      </w:r>
    </w:p>
    <w:p>
      <w:pPr>
        <w:spacing w:after="0" w:line="130" w:lineRule="exact"/>
        <w:rPr>
          <w:rFonts w:ascii="Arial" w:cs="Arial" w:eastAsia="Arial" w:hAnsi="Arial"/>
          <w:sz w:val="18"/>
          <w:szCs w:val="18"/>
          <w:color w:val="auto"/>
        </w:rPr>
      </w:pPr>
    </w:p>
    <w:p>
      <w:pPr>
        <w:ind w:left="1026" w:right="420" w:hanging="567"/>
        <w:spacing w:after="0" w:line="277" w:lineRule="auto"/>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026" w:right="40" w:hanging="567"/>
        <w:spacing w:after="0" w:line="264" w:lineRule="auto"/>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undersigned is a natural person, to a member of the immediate family of the undersigned (for purposes of this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026" w:right="40" w:hanging="567"/>
        <w:spacing w:after="0" w:line="277" w:lineRule="auto"/>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undersigned is a natural person, to any trust or other like entity for the direct or indirect benefit of the undersigned or the immediate family of the undersigned;</w:t>
      </w:r>
    </w:p>
    <w:p>
      <w:pPr>
        <w:spacing w:after="0" w:line="75" w:lineRule="exact"/>
        <w:rPr>
          <w:rFonts w:ascii="Arial" w:cs="Arial" w:eastAsia="Arial" w:hAnsi="Arial"/>
          <w:sz w:val="18"/>
          <w:szCs w:val="18"/>
          <w:color w:val="auto"/>
        </w:rPr>
      </w:pPr>
    </w:p>
    <w:p>
      <w:pPr>
        <w:ind w:left="1026" w:right="700" w:hanging="567"/>
        <w:spacing w:after="0" w:line="277" w:lineRule="auto"/>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undersigned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undersigned is a natural person, to a corporation, partnership, limited liability company or other entity of which the undersigned and the immediate family of the undersigned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jc w:val="both"/>
        <w:ind w:left="1026" w:right="120" w:hanging="567"/>
        <w:spacing w:after="0" w:line="342" w:lineRule="auto"/>
        <w:tabs>
          <w:tab w:leader="none" w:pos="1026"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entity, to any trust or other like entity for the direct or indirect benefit of the undersigned or any affiliate, wholly-owned subsidiary, limited partner, member or stockholder of the undersigned;</w:t>
      </w:r>
    </w:p>
    <w:p>
      <w:pPr>
        <w:spacing w:after="0" w:line="29" w:lineRule="exact"/>
        <w:rPr>
          <w:rFonts w:ascii="Arial" w:cs="Arial" w:eastAsia="Arial" w:hAnsi="Arial"/>
          <w:sz w:val="16"/>
          <w:szCs w:val="16"/>
          <w:color w:val="auto"/>
        </w:rPr>
      </w:pPr>
    </w:p>
    <w:p>
      <w:pPr>
        <w:ind w:left="1026" w:hanging="567"/>
        <w:spacing w:after="0"/>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026" w:right="20" w:hanging="567"/>
        <w:spacing w:after="0" w:line="277" w:lineRule="auto"/>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investment fund or other entity controlled or managed by the undersigned; or</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the undersigned;</w:t>
      </w:r>
    </w:p>
    <w:p>
      <w:pPr>
        <w:sectPr>
          <w:pgSz w:w="11900" w:h="16838" w:orient="portrait"/>
          <w:cols w:equalWidth="0" w:num="1">
            <w:col w:w="10966"/>
          </w:cols>
          <w:pgMar w:left="694" w:top="274" w:right="239" w:bottom="1440" w:gutter="0" w:footer="0" w:header="0"/>
        </w:sectPr>
      </w:pPr>
    </w:p>
    <w:bookmarkStart w:id="273" w:name="page274"/>
    <w:bookmarkEnd w:id="273"/>
    <w:p>
      <w:pPr>
        <w:ind w:left="920" w:right="6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w:t>
      </w:r>
      <w:r>
        <w:rPr>
          <w:rFonts w:ascii="Arial" w:cs="Arial" w:eastAsia="Arial" w:hAnsi="Arial"/>
          <w:sz w:val="18"/>
          <w:szCs w:val="18"/>
          <w:color w:val="auto"/>
        </w:rPr>
        <w:t>that in the case of any transfer or distribution pursuant to clause (c)(i)-(ix) above, each donee, distributee or transferee agrees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bound in writing by the terms of this Lock-Up Agreement prior to such transfer, such transfer shall not involve a disposition for value and no filing by any party (donor, donee, transferor or transferee)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shall be required or shall be voluntarily made in connection with such transfer;</w:t>
      </w:r>
    </w:p>
    <w:p>
      <w:pPr>
        <w:spacing w:after="0" w:line="92" w:lineRule="exact"/>
        <w:rPr>
          <w:sz w:val="20"/>
          <w:szCs w:val="20"/>
          <w:color w:val="auto"/>
        </w:rPr>
      </w:pPr>
    </w:p>
    <w:p>
      <w:pPr>
        <w:ind w:left="900" w:right="100" w:hanging="446"/>
        <w:spacing w:after="0" w:line="255"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Lock-Up Period, (ii) the establishment of such plan shall not be voluntarily publicly announced or filed under the Exchange Act and (iii) to the extent a public announcement or filing under the Exchange Act, if any, is required by or on behalf of the undersigned or the Company regarding the establishment or modification of such plan, such announcement or filing shall include a statement to the effect that no transfer of Securities may be made under such plan during the Lock-Up Period;</w:t>
      </w:r>
    </w:p>
    <w:p>
      <w:pPr>
        <w:spacing w:after="0" w:line="98"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transfer of Securities or any security convertible into or exercisable or exchangeable for Securities to the Company, pursuant to agreements or rights in existence on the Public Offering Date under which the Company has the option to repurchase such shares or a right of first refusal with respect to transfers of such shares or in connection with the termination of the undersigned’s employment with the Company;</w:t>
      </w:r>
    </w:p>
    <w:p>
      <w:pPr>
        <w:spacing w:after="0" w:line="52"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transfer of Securities or any security convertible into or exercisable or exchangeable for Securities that occurs by any order or settlement resulting from any legal proceeding;</w:t>
      </w:r>
    </w:p>
    <w:p>
      <w:pPr>
        <w:spacing w:after="0" w:line="75" w:lineRule="exact"/>
        <w:rPr>
          <w:rFonts w:ascii="Arial" w:cs="Arial" w:eastAsia="Arial" w:hAnsi="Arial"/>
          <w:sz w:val="18"/>
          <w:szCs w:val="18"/>
          <w:color w:val="auto"/>
        </w:rPr>
      </w:pPr>
    </w:p>
    <w:p>
      <w:pPr>
        <w:ind w:left="900" w:right="140" w:hanging="446"/>
        <w:spacing w:after="0" w:line="279" w:lineRule="auto"/>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the transfer of Securities or any security convertible into or exercisable or exchangeable for Securities pursuant to a bona fide third-party tender offer, merger, amalgamation, consolidation or other similar transaction made to all holders of the Securities involving a change of control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amalgamation, consolidation or other such transaction is not completed, the Securities owned by the undersigned shall remain subject to the restrictions contained in this Lock-Up Agreement; or</w:t>
      </w:r>
    </w:p>
    <w:p>
      <w:pPr>
        <w:spacing w:after="0" w:line="76"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the Company of Securities or any securities convertible into or exercisable or exchangeable for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the undersigned’s Securities proposed to be registered pursuant to the exercise of such rights under this clause (h) shall occur, and no registration statement shall be filed, during the Lock-Up Period.</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shares of Securities if such transfer would constitute a violation or breach of this Lock-Up Agreement.</w:t>
      </w:r>
    </w:p>
    <w:p>
      <w:pPr>
        <w:spacing w:after="0" w:line="17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If the undersigned is an officer or director of the Company, (i) Credit Suisse agrees that, at least three business days before the effective date of any release or waiver of the foregoing restrictions in connection with a transfer of Securities, Credit Suisse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Credit Suisse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6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This Lock-Up Agreement shall be binding on the undersigned and the successors, heirs, personal representatives and assigns of the undersigned. This Lock-Up Agreement shall automatically terminate, and the undersigned will, in each case, be released from its obligations under this Lock-Up Agreement, upon the earliest to occur, if any, of (a) the date that the Company advises Credit Suisse that it does not intend to proceed with the Public Offering, (b) the date of termination of the Underwriting Agreement (if executed) if</w:t>
      </w:r>
    </w:p>
    <w:p>
      <w:pPr>
        <w:sectPr>
          <w:pgSz w:w="11900" w:h="16838" w:orient="portrait"/>
          <w:cols w:equalWidth="0" w:num="1">
            <w:col w:w="11380"/>
          </w:cols>
          <w:pgMar w:left="240" w:top="274" w:right="279" w:bottom="1440" w:gutter="0" w:footer="0" w:header="0"/>
        </w:sectPr>
      </w:pPr>
    </w:p>
    <w:bookmarkStart w:id="274" w:name="page275"/>
    <w:bookmarkEnd w:id="27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to the closing of the Public Offering, (c) March 31, 2016 if the Underwriting Agreement has not been entered into by such date, or (d) the date on which the Company files an application with the Securities and Exchange Commission to withdraw the registration statement relating to the Public Offering. </w:t>
      </w:r>
      <w:r>
        <w:rPr>
          <w:rFonts w:ascii="Arial" w:cs="Arial" w:eastAsia="Arial" w:hAnsi="Arial"/>
          <w:sz w:val="17"/>
          <w:szCs w:val="17"/>
          <w:b w:val="1"/>
          <w:bCs w:val="1"/>
          <w:color w:val="auto"/>
        </w:rPr>
        <w:t>This</w:t>
      </w:r>
      <w:r>
        <w:rPr>
          <w:rFonts w:ascii="Arial" w:cs="Arial" w:eastAsia="Arial" w:hAnsi="Arial"/>
          <w:sz w:val="17"/>
          <w:szCs w:val="17"/>
          <w:color w:val="auto"/>
        </w:rPr>
        <w:t xml:space="preserve"> </w:t>
      </w:r>
      <w:r>
        <w:rPr>
          <w:rFonts w:ascii="Arial" w:cs="Arial" w:eastAsia="Arial" w:hAnsi="Arial"/>
          <w:sz w:val="17"/>
          <w:szCs w:val="17"/>
          <w:b w:val="1"/>
          <w:bCs w:val="1"/>
          <w:color w:val="auto"/>
        </w:rPr>
        <w:t>Lock-Up Agreement shall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9"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Credit Suisse Securities (USA) LLC, a lead book-running manager in the Company’s recent public sale of [•] shares of the Company’s common stock, is [waiving] [releasing] a lock-up restriction with respect to [•] shares of the Company’s common shares held by [certain officers or directors] [an officer or director] of the Company. The [waiver] [release] will take effect on [•], 20[•] , and the shares may be sold on or after such date.</w:t>
      </w:r>
    </w:p>
    <w:p>
      <w:pPr>
        <w:spacing w:after="0" w:line="180"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20"/>
          </w:cols>
          <w:pgMar w:left="240" w:top="270" w:right="239" w:bottom="1440" w:gutter="0" w:footer="0" w:header="0"/>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VISCHER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CH-4010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33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Zurich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Schützengasse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CH-8021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34 10</w:t>
      </w:r>
    </w:p>
    <w:p>
      <w:pPr>
        <w:spacing w:after="0" w:line="211" w:lineRule="exact"/>
        <w:rPr>
          <w:sz w:val="20"/>
          <w:szCs w:val="20"/>
          <w:color w:val="auto"/>
        </w:rPr>
      </w:pPr>
    </w:p>
    <w:p>
      <w:pPr>
        <w:ind w:right="218"/>
        <w:spacing w:after="0" w:line="277" w:lineRule="auto"/>
        <w:rPr>
          <w:sz w:val="20"/>
          <w:szCs w:val="20"/>
          <w:color w:val="auto"/>
        </w:rPr>
      </w:pPr>
      <w:r>
        <w:rPr>
          <w:rFonts w:ascii="Arial" w:cs="Arial" w:eastAsia="Arial" w:hAnsi="Arial"/>
          <w:sz w:val="18"/>
          <w:szCs w:val="18"/>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1015 Lausanne</w:t>
      </w:r>
    </w:p>
    <w:p>
      <w:pPr>
        <w:spacing w:after="0" w:line="319" w:lineRule="exact"/>
        <w:rPr>
          <w:sz w:val="20"/>
          <w:szCs w:val="20"/>
          <w:color w:val="auto"/>
        </w:rPr>
      </w:pPr>
    </w:p>
    <w:p>
      <w:pPr>
        <w:ind w:left="2"/>
        <w:spacing w:after="0"/>
        <w:rPr>
          <w:sz w:val="20"/>
          <w:szCs w:val="20"/>
          <w:color w:val="auto"/>
        </w:rPr>
      </w:pPr>
      <w:r>
        <w:rPr>
          <w:rFonts w:ascii="Arial" w:cs="Arial" w:eastAsia="Arial" w:hAnsi="Arial"/>
          <w:sz w:val="18"/>
          <w:szCs w:val="18"/>
          <w:color w:val="auto"/>
        </w:rPr>
        <w:t>Basel, 19 November 2015</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AC Immune SA – Registration Statement on Form F-1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2" w:right="40"/>
        <w:spacing w:after="0" w:line="286" w:lineRule="auto"/>
        <w:rPr>
          <w:sz w:val="20"/>
          <w:szCs w:val="20"/>
          <w:color w:val="auto"/>
        </w:rPr>
      </w:pPr>
      <w:r>
        <w:rPr>
          <w:rFonts w:ascii="Arial" w:cs="Arial" w:eastAsia="Arial" w:hAnsi="Arial"/>
          <w:sz w:val="16"/>
          <w:szCs w:val="16"/>
          <w:color w:val="auto"/>
        </w:rPr>
        <w:t>This opinion is being rendered at the request of the Company in connection with the registration statement on Form F-1 confidentially submitted to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August 28, 2015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the Amendment No. 1 to the Initial Registration Statement confidentially submitted on September 25, 2015 (“</w:t>
      </w:r>
      <w:r>
        <w:rPr>
          <w:rFonts w:ascii="Arial" w:cs="Arial" w:eastAsia="Arial" w:hAnsi="Arial"/>
          <w:sz w:val="16"/>
          <w:szCs w:val="16"/>
          <w:b w:val="1"/>
          <w:bCs w:val="1"/>
          <w:color w:val="auto"/>
        </w:rPr>
        <w:t>Amendment No. 1</w:t>
      </w:r>
      <w:r>
        <w:rPr>
          <w:rFonts w:ascii="Arial" w:cs="Arial" w:eastAsia="Arial" w:hAnsi="Arial"/>
          <w:sz w:val="16"/>
          <w:szCs w:val="16"/>
          <w:color w:val="auto"/>
        </w:rPr>
        <w:t>”); the Amendment No. 2 to the Initial Registration Statement confidentially submitted on October 2, 2015 (“</w:t>
      </w:r>
      <w:r>
        <w:rPr>
          <w:rFonts w:ascii="Arial" w:cs="Arial" w:eastAsia="Arial" w:hAnsi="Arial"/>
          <w:sz w:val="16"/>
          <w:szCs w:val="16"/>
          <w:b w:val="1"/>
          <w:bCs w:val="1"/>
          <w:color w:val="auto"/>
        </w:rPr>
        <w:t>Amendment No. 2</w:t>
      </w:r>
      <w:r>
        <w:rPr>
          <w:rFonts w:ascii="Arial" w:cs="Arial" w:eastAsia="Arial" w:hAnsi="Arial"/>
          <w:sz w:val="16"/>
          <w:szCs w:val="16"/>
          <w:color w:val="auto"/>
        </w:rPr>
        <w:t>”); the Amendment No. 3 to the Initial Registration Statement publicly filed on October 23, 2015 (“</w:t>
      </w:r>
      <w:r>
        <w:rPr>
          <w:rFonts w:ascii="Arial" w:cs="Arial" w:eastAsia="Arial" w:hAnsi="Arial"/>
          <w:sz w:val="16"/>
          <w:szCs w:val="16"/>
          <w:b w:val="1"/>
          <w:bCs w:val="1"/>
          <w:color w:val="auto"/>
        </w:rPr>
        <w:t>Amendment No. 3</w:t>
      </w:r>
      <w:r>
        <w:rPr>
          <w:rFonts w:ascii="Arial" w:cs="Arial" w:eastAsia="Arial" w:hAnsi="Arial"/>
          <w:sz w:val="16"/>
          <w:szCs w:val="16"/>
          <w:color w:val="auto"/>
        </w:rPr>
        <w:t>” and, the Initial Registration Statement as so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term does not include any other document or agreement whether or not specifically referred to therein or attached as an exhibit or schedule thereto) relating to the registration under the United States Securities Act of 1933, as amended, of a number of common shares of CHF 0.02 par value each of the Company, such number not to exceed the number of shares authorized by the Shareholders Resolution (as defined below), including any additional shares with a nominal value of CHF 0.02 sold or, if and to the extent such option is exercised, to be sold to the underwriters pursuant to the over-allotment option granted by the Company to the underwriters (together the “</w:t>
      </w:r>
      <w:r>
        <w:rPr>
          <w:rFonts w:ascii="Arial" w:cs="Arial" w:eastAsia="Arial" w:hAnsi="Arial"/>
          <w:sz w:val="16"/>
          <w:szCs w:val="16"/>
          <w:b w:val="1"/>
          <w:bCs w:val="1"/>
          <w:color w:val="auto"/>
        </w:rPr>
        <w:t>Shares</w:t>
      </w:r>
      <w:r>
        <w:rPr>
          <w:rFonts w:ascii="Arial" w:cs="Arial" w:eastAsia="Arial" w:hAnsi="Arial"/>
          <w:sz w:val="16"/>
          <w:szCs w:val="16"/>
          <w:color w:val="auto"/>
        </w:rPr>
        <w:t>”). As such counsel, we have been requested to render an opinion as to certain matters of Swiss law.</w:t>
      </w:r>
    </w:p>
    <w:p>
      <w:pPr>
        <w:spacing w:after="0" w:line="319" w:lineRule="exact"/>
        <w:rPr>
          <w:sz w:val="20"/>
          <w:szCs w:val="20"/>
          <w:color w:val="auto"/>
        </w:rPr>
      </w:pPr>
    </w:p>
    <w:p>
      <w:pPr>
        <w:ind w:left="362" w:hanging="362"/>
        <w:spacing w:after="0"/>
        <w:tabs>
          <w:tab w:leader="none" w:pos="362"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21" w:lineRule="exact"/>
        <w:rPr>
          <w:sz w:val="20"/>
          <w:szCs w:val="20"/>
          <w:color w:val="auto"/>
        </w:rPr>
      </w:pPr>
    </w:p>
    <w:p>
      <w:pPr>
        <w:jc w:val="both"/>
        <w:ind w:left="2" w:right="16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the Swiss courts. In the absence of statutory or established case law, we base our opinion on our independent professional judgement.</w:t>
      </w:r>
    </w:p>
    <w:p>
      <w:pPr>
        <w:sectPr>
          <w:pgSz w:w="11900" w:h="16838" w:orient="portrait"/>
          <w:cols w:equalWidth="0" w:num="2">
            <w:col w:w="1798" w:space="720"/>
            <w:col w:w="8782"/>
          </w:cols>
          <w:pgMar w:left="240" w:top="175" w:right="359" w:bottom="1440" w:gutter="0" w:footer="0" w:header="0"/>
        </w:sectPr>
      </w:pPr>
    </w:p>
    <w:bookmarkStart w:id="277" w:name="page278"/>
    <w:bookmarkEnd w:id="277"/>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 November 2015</w:t>
      </w:r>
      <w:r>
        <w:rPr>
          <w:sz w:val="20"/>
          <w:szCs w:val="20"/>
          <w:color w:val="auto"/>
        </w:rPr>
        <w:tab/>
      </w:r>
      <w:r>
        <w:rPr>
          <w:rFonts w:ascii="Arial" w:cs="Arial" w:eastAsia="Arial" w:hAnsi="Arial"/>
          <w:sz w:val="14"/>
          <w:szCs w:val="14"/>
          <w:color w:val="auto"/>
        </w:rPr>
        <w:t>2</w:t>
      </w:r>
    </w:p>
    <w:p>
      <w:pPr>
        <w:sectPr>
          <w:pgSz w:w="11900" w:h="16838" w:orient="portrait"/>
          <w:cols w:equalWidth="0" w:num="1">
            <w:col w:w="10220"/>
          </w:cols>
          <w:pgMar w:left="1440" w:top="274" w:right="239" w:bottom="1440" w:gutter="0" w:footer="0" w:header="0"/>
        </w:sectPr>
      </w:pPr>
    </w:p>
    <w:p>
      <w:pPr>
        <w:spacing w:after="0" w:line="212" w:lineRule="exact"/>
        <w:rPr>
          <w:sz w:val="20"/>
          <w:szCs w:val="20"/>
          <w:color w:val="auto"/>
        </w:rPr>
      </w:pPr>
    </w:p>
    <w:p>
      <w:pPr>
        <w:ind w:left="1320" w:right="26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31" w:lineRule="exact"/>
        <w:rPr>
          <w:sz w:val="20"/>
          <w:szCs w:val="20"/>
          <w:color w:val="auto"/>
        </w:rPr>
      </w:pPr>
    </w:p>
    <w:p>
      <w:pPr>
        <w:ind w:left="1680" w:right="260" w:hanging="362"/>
        <w:spacing w:after="0" w:line="277" w:lineRule="auto"/>
        <w:tabs>
          <w:tab w:leader="none" w:pos="16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pdf copy of the Initial Registration Statement; the Amendment No. 1, the Amendment No. 2 and the Amendment No. 3;</w:t>
      </w:r>
    </w:p>
    <w:p>
      <w:pPr>
        <w:spacing w:after="0" w:line="75" w:lineRule="exact"/>
        <w:rPr>
          <w:rFonts w:ascii="Arial" w:cs="Arial" w:eastAsia="Arial" w:hAnsi="Arial"/>
          <w:sz w:val="18"/>
          <w:szCs w:val="18"/>
          <w:color w:val="auto"/>
        </w:rPr>
      </w:pPr>
    </w:p>
    <w:p>
      <w:pPr>
        <w:ind w:left="1680" w:right="700" w:hanging="362"/>
        <w:spacing w:after="0" w:line="277" w:lineRule="auto"/>
        <w:tabs>
          <w:tab w:leader="none" w:pos="16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 excerpt from the register of commerce of the Canton of Vaud in respect of the Company, certified by such Commercial Register to be up-to-date as of 13 November 2015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680" w:right="180" w:hanging="362"/>
        <w:spacing w:after="0" w:line="281" w:lineRule="auto"/>
        <w:tabs>
          <w:tab w:leader="none" w:pos="1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copy of the public deed regarding the general meeting of the Company dated 21 October 2015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Deed</w:t>
      </w:r>
      <w:r>
        <w:rPr>
          <w:rFonts w:ascii="Arial" w:cs="Arial" w:eastAsia="Arial" w:hAnsi="Arial"/>
          <w:sz w:val="17"/>
          <w:szCs w:val="17"/>
          <w:color w:val="auto"/>
        </w:rPr>
        <w:t>”) regarding, among others, the adoption of the Articles and the authorization (the “Authorization”) granted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to increase the share capital by up to CHF 459’337.50 and to issue up to 22’966’875 shares of a nominal value of CHF 0.02 each (the “</w:t>
      </w:r>
      <w:r>
        <w:rPr>
          <w:rFonts w:ascii="Arial" w:cs="Arial" w:eastAsia="Arial" w:hAnsi="Arial"/>
          <w:sz w:val="17"/>
          <w:szCs w:val="17"/>
          <w:b w:val="1"/>
          <w:bCs w:val="1"/>
          <w:color w:val="auto"/>
        </w:rPr>
        <w:t>Shareholders Resolution</w:t>
      </w:r>
      <w:r>
        <w:rPr>
          <w:rFonts w:ascii="Arial" w:cs="Arial" w:eastAsia="Arial" w:hAnsi="Arial"/>
          <w:sz w:val="17"/>
          <w:szCs w:val="17"/>
          <w:color w:val="auto"/>
        </w:rPr>
        <w:t>”); and</w:t>
      </w:r>
    </w:p>
    <w:p>
      <w:pPr>
        <w:spacing w:after="0" w:line="74" w:lineRule="exact"/>
        <w:rPr>
          <w:rFonts w:ascii="Arial" w:cs="Arial" w:eastAsia="Arial" w:hAnsi="Arial"/>
          <w:sz w:val="17"/>
          <w:szCs w:val="17"/>
          <w:color w:val="auto"/>
        </w:rPr>
      </w:pPr>
    </w:p>
    <w:p>
      <w:pPr>
        <w:ind w:left="1680" w:right="280" w:hanging="362"/>
        <w:spacing w:after="0" w:line="277" w:lineRule="auto"/>
        <w:tabs>
          <w:tab w:leader="none" w:pos="16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articles of association of the Company as adopted by the general meeting of the Company dated 21 October 20015 (“</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documents referred to a) to d)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sz w:val="20"/>
          <w:szCs w:val="20"/>
          <w:color w:val="auto"/>
        </w:rPr>
      </w:pPr>
    </w:p>
    <w:p>
      <w:pPr>
        <w:ind w:left="1320" w:right="780"/>
        <w:spacing w:after="0" w:line="277" w:lineRule="auto"/>
        <w:rPr>
          <w:sz w:val="20"/>
          <w:szCs w:val="20"/>
          <w:color w:val="auto"/>
        </w:rPr>
      </w:pPr>
      <w:r>
        <w:rPr>
          <w:rFonts w:ascii="Arial" w:cs="Arial" w:eastAsia="Arial" w:hAnsi="Arial"/>
          <w:sz w:val="18"/>
          <w:szCs w:val="18"/>
          <w:color w:val="auto"/>
        </w:rPr>
        <w:t>We have further examined such other records, documents and other instruments as we have deemed necessary or advisable for the purposes of rendering this opinion.</w:t>
      </w:r>
    </w:p>
    <w:p>
      <w:pPr>
        <w:spacing w:after="0" w:line="170" w:lineRule="exact"/>
        <w:rPr>
          <w:sz w:val="20"/>
          <w:szCs w:val="20"/>
          <w:color w:val="auto"/>
        </w:rPr>
      </w:pPr>
    </w:p>
    <w:p>
      <w:pPr>
        <w:ind w:left="1320" w:right="30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315"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ASSUMPTIONS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1680" w:right="860" w:hanging="362"/>
        <w:spacing w:after="0" w:line="277" w:lineRule="auto"/>
        <w:tabs>
          <w:tab w:leader="none" w:pos="1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Documents submitted to us as copies are complete and conform to their originals and such originals are authentic;</w:t>
      </w:r>
    </w:p>
    <w:p>
      <w:pPr>
        <w:spacing w:after="0" w:line="75" w:lineRule="exact"/>
        <w:rPr>
          <w:rFonts w:ascii="Arial" w:cs="Arial" w:eastAsia="Arial" w:hAnsi="Arial"/>
          <w:sz w:val="18"/>
          <w:szCs w:val="18"/>
          <w:color w:val="auto"/>
        </w:rPr>
      </w:pPr>
    </w:p>
    <w:p>
      <w:pPr>
        <w:ind w:left="1680" w:hanging="362"/>
        <w:spacing w:after="0"/>
        <w:tabs>
          <w:tab w:leader="none" w:pos="1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signatures on the Documents are genuine;</w:t>
      </w:r>
    </w:p>
    <w:p>
      <w:pPr>
        <w:spacing w:after="0" w:line="130" w:lineRule="exact"/>
        <w:rPr>
          <w:rFonts w:ascii="Arial" w:cs="Arial" w:eastAsia="Arial" w:hAnsi="Arial"/>
          <w:sz w:val="18"/>
          <w:szCs w:val="18"/>
          <w:color w:val="auto"/>
        </w:rPr>
      </w:pPr>
    </w:p>
    <w:p>
      <w:pPr>
        <w:ind w:left="1680" w:right="560" w:hanging="362"/>
        <w:spacing w:after="0" w:line="308" w:lineRule="auto"/>
        <w:tabs>
          <w:tab w:leader="none" w:pos="16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 bankruptcy, reorganization, liquidation or similar proceedings is or are pending or were initiated against the Company outside Switzerland, no litigation, administrative or other proceeding of or before any</w:t>
      </w:r>
    </w:p>
    <w:p>
      <w:pPr>
        <w:sectPr>
          <w:pgSz w:w="11900" w:h="16838" w:orient="portrait"/>
          <w:cols w:equalWidth="0" w:num="1">
            <w:col w:w="10220"/>
          </w:cols>
          <w:pgMar w:left="1440" w:top="274" w:right="239" w:bottom="1440" w:gutter="0" w:footer="0" w:header="0"/>
          <w:type w:val="continuous"/>
        </w:sectPr>
      </w:pPr>
    </w:p>
    <w:bookmarkStart w:id="278" w:name="page279"/>
    <w:bookmarkEnd w:id="278"/>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 November 2015</w:t>
      </w:r>
      <w:r>
        <w:rPr>
          <w:sz w:val="20"/>
          <w:szCs w:val="20"/>
          <w:color w:val="auto"/>
        </w:rPr>
        <w:tab/>
      </w:r>
      <w:r>
        <w:rPr>
          <w:rFonts w:ascii="Arial" w:cs="Arial" w:eastAsia="Arial" w:hAnsi="Arial"/>
          <w:sz w:val="14"/>
          <w:szCs w:val="14"/>
          <w:color w:val="auto"/>
        </w:rPr>
        <w:t>3</w:t>
      </w:r>
    </w:p>
    <w:p>
      <w:pPr>
        <w:sectPr>
          <w:pgSz w:w="11900" w:h="16838" w:orient="portrait"/>
          <w:cols w:equalWidth="0" w:num="1">
            <w:col w:w="10220"/>
          </w:cols>
          <w:pgMar w:left="1440" w:top="274" w:right="239" w:bottom="1440" w:gutter="0" w:footer="0" w:header="0"/>
        </w:sectPr>
      </w:pPr>
    </w:p>
    <w:p>
      <w:pPr>
        <w:spacing w:after="0" w:line="212" w:lineRule="exact"/>
        <w:rPr>
          <w:sz w:val="20"/>
          <w:szCs w:val="20"/>
          <w:color w:val="auto"/>
        </w:rPr>
      </w:pPr>
    </w:p>
    <w:p>
      <w:pPr>
        <w:ind w:left="1680" w:right="280"/>
        <w:spacing w:after="0" w:line="302" w:lineRule="auto"/>
        <w:rPr>
          <w:sz w:val="20"/>
          <w:szCs w:val="20"/>
          <w:color w:val="auto"/>
        </w:rPr>
      </w:pPr>
      <w:r>
        <w:rPr>
          <w:rFonts w:ascii="Arial" w:cs="Arial" w:eastAsia="Arial" w:hAnsi="Arial"/>
          <w:sz w:val="16"/>
          <w:szCs w:val="16"/>
          <w:color w:val="auto"/>
        </w:rPr>
        <w:t>non-Swiss governmental authority is pending against the Company outside Switzerland and that the Company has not passed a voluntary winding-up resolution, no petition has been presented or order been made by a court for the winding-up, dissolution, composition or administration of the Company and no receiver, trustee, administrator or similar officer has been appointed in relation to the Company or any of its assets or revenues outside Switzerland;</w:t>
      </w:r>
    </w:p>
    <w:p>
      <w:pPr>
        <w:spacing w:after="0" w:line="60" w:lineRule="exact"/>
        <w:rPr>
          <w:sz w:val="20"/>
          <w:szCs w:val="20"/>
          <w:color w:val="auto"/>
        </w:rPr>
      </w:pPr>
    </w:p>
    <w:p>
      <w:pPr>
        <w:ind w:left="1680" w:right="660" w:hanging="362"/>
        <w:spacing w:after="0" w:line="277" w:lineRule="auto"/>
        <w:tabs>
          <w:tab w:leader="none" w:pos="1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Shareholders Resolution has been duly resolved in meetings duly convened and has not been rescinded or amended and is in full force and effect;</w:t>
      </w:r>
    </w:p>
    <w:p>
      <w:pPr>
        <w:spacing w:after="0" w:line="75" w:lineRule="exact"/>
        <w:rPr>
          <w:rFonts w:ascii="Arial" w:cs="Arial" w:eastAsia="Arial" w:hAnsi="Arial"/>
          <w:sz w:val="18"/>
          <w:szCs w:val="18"/>
          <w:color w:val="auto"/>
        </w:rPr>
      </w:pPr>
    </w:p>
    <w:p>
      <w:pPr>
        <w:ind w:left="1680" w:hanging="362"/>
        <w:spacing w:after="0"/>
        <w:tabs>
          <w:tab w:leader="none" w:pos="1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Registration Statement has been duly submitted by the Company;</w:t>
      </w:r>
    </w:p>
    <w:p>
      <w:pPr>
        <w:spacing w:after="0" w:line="130" w:lineRule="exact"/>
        <w:rPr>
          <w:rFonts w:ascii="Arial" w:cs="Arial" w:eastAsia="Arial" w:hAnsi="Arial"/>
          <w:sz w:val="18"/>
          <w:szCs w:val="18"/>
          <w:color w:val="auto"/>
        </w:rPr>
      </w:pPr>
    </w:p>
    <w:p>
      <w:pPr>
        <w:ind w:left="1680" w:right="400" w:hanging="362"/>
        <w:spacing w:after="0" w:line="264" w:lineRule="auto"/>
        <w:tabs>
          <w:tab w:leader="none" w:pos="1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Articles of Association, when filed with the register, are unchanged and correct as of the date hereof and no changes have been made which should have been or should be reflected in the Articles Association as of the date hereof;</w:t>
      </w:r>
    </w:p>
    <w:p>
      <w:pPr>
        <w:spacing w:after="0" w:line="86" w:lineRule="exact"/>
        <w:rPr>
          <w:rFonts w:ascii="Arial" w:cs="Arial" w:eastAsia="Arial" w:hAnsi="Arial"/>
          <w:sz w:val="18"/>
          <w:szCs w:val="18"/>
          <w:color w:val="auto"/>
        </w:rPr>
      </w:pPr>
    </w:p>
    <w:p>
      <w:pPr>
        <w:ind w:left="1680" w:right="240" w:hanging="362"/>
        <w:spacing w:after="0" w:line="277" w:lineRule="auto"/>
        <w:tabs>
          <w:tab w:leader="none" w:pos="1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Documents are true, complete and accurate;</w:t>
      </w:r>
    </w:p>
    <w:p>
      <w:pPr>
        <w:spacing w:after="0" w:line="75" w:lineRule="exact"/>
        <w:rPr>
          <w:rFonts w:ascii="Arial" w:cs="Arial" w:eastAsia="Arial" w:hAnsi="Arial"/>
          <w:sz w:val="18"/>
          <w:szCs w:val="18"/>
          <w:color w:val="auto"/>
        </w:rPr>
      </w:pPr>
    </w:p>
    <w:p>
      <w:pPr>
        <w:ind w:left="1680" w:right="140" w:hanging="362"/>
        <w:spacing w:after="0" w:line="290" w:lineRule="auto"/>
        <w:tabs>
          <w:tab w:leader="none" w:pos="16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 a sufficient number of Shares will be available for issuance, (ii) the Registration Statement is effective and will continue to be effective, (iii) the offering and sale of and payment for the Shares being registered by the Registration Statement will be in accordance with the Registrations Statement, (iv) the consideration received for the issuance and sale of the Shares will not be less than the nominal value of the Shares, (v) to the extent applicable, the Shares will be issued in accordance with articles 647, 651-652h, 931a – 937 and 973c of the Swiss Code of Obligations as well as the relevant commercial register regulations, and (vi) the issuance and sale of the Shares will not violate the articles of association or organizational regulations of the Company, any applicable law or any requirement or restriction imposed by any court or governmental body having jurisdiction of the Company.</w:t>
      </w:r>
    </w:p>
    <w:p>
      <w:pPr>
        <w:spacing w:after="0" w:line="311" w:lineRule="exact"/>
        <w:rPr>
          <w:sz w:val="20"/>
          <w:szCs w:val="20"/>
          <w:color w:val="auto"/>
        </w:rPr>
      </w:pPr>
    </w:p>
    <w:p>
      <w:pPr>
        <w:ind w:left="1680" w:hanging="362"/>
        <w:spacing w:after="0"/>
        <w:tabs>
          <w:tab w:leader="none" w:pos="16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34" w:lineRule="exact"/>
        <w:rPr>
          <w:rFonts w:ascii="Arial" w:cs="Arial" w:eastAsia="Arial" w:hAnsi="Arial"/>
          <w:sz w:val="18"/>
          <w:szCs w:val="18"/>
          <w:b w:val="1"/>
          <w:bCs w:val="1"/>
          <w:color w:val="auto"/>
        </w:rPr>
      </w:pPr>
    </w:p>
    <w:p>
      <w:pPr>
        <w:ind w:left="168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Based upon the foregoing and subject to the qualifications set out below, we are of the opinion that the Shares, when sold, will be validly issued, fully paid-in (up to their nominal amount) and non-assessable (which term means when used herein that no further contributions have to be made by the holders of the Shares).</w:t>
      </w:r>
    </w:p>
    <w:p>
      <w:pPr>
        <w:spacing w:after="0" w:line="31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IV.  QUALIFICATIONS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1680" w:right="300" w:hanging="362"/>
        <w:spacing w:after="0" w:line="264" w:lineRule="auto"/>
        <w:tabs>
          <w:tab w:leader="none" w:pos="1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ectPr>
          <w:pgSz w:w="11900" w:h="16838" w:orient="portrait"/>
          <w:cols w:equalWidth="0" w:num="1">
            <w:col w:w="10220"/>
          </w:cols>
          <w:pgMar w:left="1440" w:top="274" w:right="239" w:bottom="1440" w:gutter="0" w:footer="0" w:header="0"/>
          <w:type w:val="continuous"/>
        </w:sectPr>
      </w:pPr>
    </w:p>
    <w:bookmarkStart w:id="279" w:name="page280"/>
    <w:bookmarkEnd w:id="279"/>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 November 2015</w:t>
      </w:r>
      <w:r>
        <w:rPr>
          <w:sz w:val="20"/>
          <w:szCs w:val="20"/>
          <w:color w:val="auto"/>
        </w:rPr>
        <w:tab/>
      </w:r>
      <w:r>
        <w:rPr>
          <w:rFonts w:ascii="Arial" w:cs="Arial" w:eastAsia="Arial" w:hAnsi="Arial"/>
          <w:sz w:val="14"/>
          <w:szCs w:val="14"/>
          <w:color w:val="auto"/>
        </w:rPr>
        <w:t>4</w:t>
      </w:r>
    </w:p>
    <w:p>
      <w:pPr>
        <w:sectPr>
          <w:pgSz w:w="11900" w:h="16838" w:orient="portrait"/>
          <w:cols w:equalWidth="0" w:num="1">
            <w:col w:w="10220"/>
          </w:cols>
          <w:pgMar w:left="1440" w:top="274" w:right="239" w:bottom="1440" w:gutter="0" w:footer="0" w:header="0"/>
        </w:sectPr>
      </w:pPr>
    </w:p>
    <w:p>
      <w:pPr>
        <w:spacing w:after="0" w:line="212" w:lineRule="exact"/>
        <w:rPr>
          <w:sz w:val="20"/>
          <w:szCs w:val="20"/>
          <w:color w:val="auto"/>
        </w:rPr>
      </w:pPr>
    </w:p>
    <w:p>
      <w:pPr>
        <w:jc w:val="both"/>
        <w:ind w:left="1680" w:right="220" w:hanging="360"/>
        <w:spacing w:after="0" w:line="286" w:lineRule="auto"/>
        <w:tabs>
          <w:tab w:leader="none" w:pos="16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70" w:lineRule="exact"/>
        <w:rPr>
          <w:rFonts w:ascii="Arial" w:cs="Arial" w:eastAsia="Arial" w:hAnsi="Arial"/>
          <w:sz w:val="17"/>
          <w:szCs w:val="17"/>
          <w:color w:val="auto"/>
        </w:rPr>
      </w:pPr>
    </w:p>
    <w:p>
      <w:pPr>
        <w:ind w:left="1680" w:right="240" w:hanging="360"/>
        <w:spacing w:after="0" w:line="293" w:lineRule="auto"/>
        <w:tabs>
          <w:tab w:leader="none" w:pos="16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Notwithstanding the registration of the Articles of Association providing for an authorized share capital of up to 22’966’875 Shares to be made at a later stage with the Commercial Register of the Canton of Vaud, the Shareholders Resolution underlying such authorised share capital may be challenged by a dissenting shareholder in court within two months after Shareholders Resolution. Should the court decide in favour of the claimant, the court may annul the relevant resolution of the general meeting of the shareholders. As a consequence, any amendment made to the articles of association of the company based on such a resolution may be void.</w:t>
      </w:r>
    </w:p>
    <w:p>
      <w:pPr>
        <w:spacing w:after="0" w:line="70" w:lineRule="exact"/>
        <w:rPr>
          <w:rFonts w:ascii="Arial" w:cs="Arial" w:eastAsia="Arial" w:hAnsi="Arial"/>
          <w:sz w:val="16"/>
          <w:szCs w:val="16"/>
          <w:color w:val="auto"/>
        </w:rPr>
      </w:pPr>
    </w:p>
    <w:p>
      <w:pPr>
        <w:ind w:left="1680" w:right="880" w:hanging="360"/>
        <w:spacing w:after="0" w:line="277" w:lineRule="auto"/>
        <w:tabs>
          <w:tab w:leader="none" w:pos="16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Registration Statement.</w:t>
      </w:r>
    </w:p>
    <w:p>
      <w:pPr>
        <w:spacing w:after="0" w:line="170" w:lineRule="exact"/>
        <w:rPr>
          <w:sz w:val="20"/>
          <w:szCs w:val="20"/>
          <w:color w:val="auto"/>
        </w:rPr>
      </w:pPr>
    </w:p>
    <w:p>
      <w:pPr>
        <w:ind w:left="1320" w:right="58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1320" w:right="160"/>
        <w:spacing w:after="0" w:line="255"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93" w:lineRule="exact"/>
        <w:rPr>
          <w:sz w:val="20"/>
          <w:szCs w:val="20"/>
          <w:color w:val="auto"/>
        </w:rPr>
      </w:pPr>
    </w:p>
    <w:p>
      <w:pPr>
        <w:ind w:left="1320" w:right="140"/>
        <w:spacing w:after="0" w:line="279" w:lineRule="auto"/>
        <w:rPr>
          <w:sz w:val="20"/>
          <w:szCs w:val="20"/>
          <w:color w:val="auto"/>
        </w:rPr>
      </w:pPr>
      <w:r>
        <w:rPr>
          <w:rFonts w:ascii="Arial" w:cs="Arial" w:eastAsia="Arial" w:hAnsi="Arial"/>
          <w:sz w:val="17"/>
          <w:szCs w:val="17"/>
          <w:color w:val="auto"/>
        </w:rPr>
        <w:t>This opinion is an exhibit to the Registration Statement and may be relied upon for the purpose of the registration pursuant the Registration Statement. It may not be supplied, and its contents or existence may not be disclosed, to any person other than as an Exhibit to (and therefore together with) the Registration Statement and may not be relied upon for any purpose other than the registration pursuant the Registration Statement.</w:t>
      </w:r>
    </w:p>
    <w:p>
      <w:pPr>
        <w:spacing w:after="0" w:line="171" w:lineRule="exact"/>
        <w:rPr>
          <w:sz w:val="20"/>
          <w:szCs w:val="20"/>
          <w:color w:val="auto"/>
        </w:rPr>
      </w:pPr>
    </w:p>
    <w:p>
      <w:pPr>
        <w:ind w:left="1320" w:right="42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ectPr>
          <w:pgSz w:w="11900" w:h="16838" w:orient="portrait"/>
          <w:cols w:equalWidth="0" w:num="1">
            <w:col w:w="10220"/>
          </w:cols>
          <w:pgMar w:left="1440" w:top="274" w:right="239" w:bottom="1440" w:gutter="0" w:footer="0" w:header="0"/>
          <w:type w:val="continuous"/>
        </w:sectPr>
      </w:pPr>
    </w:p>
    <w:bookmarkStart w:id="280" w:name="page281"/>
    <w:bookmarkEnd w:id="280"/>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 November 2015</w:t>
      </w:r>
      <w:r>
        <w:rPr>
          <w:sz w:val="20"/>
          <w:szCs w:val="20"/>
          <w:color w:val="auto"/>
        </w:rPr>
        <w:tab/>
      </w:r>
      <w:r>
        <w:rPr>
          <w:rFonts w:ascii="Arial" w:cs="Arial" w:eastAsia="Arial" w:hAnsi="Arial"/>
          <w:sz w:val="14"/>
          <w:szCs w:val="14"/>
          <w:color w:val="auto"/>
        </w:rPr>
        <w:t>5</w:t>
      </w:r>
    </w:p>
    <w:p>
      <w:pPr>
        <w:sectPr>
          <w:pgSz w:w="11900" w:h="16838" w:orient="portrait"/>
          <w:cols w:equalWidth="0" w:num="1">
            <w:col w:w="10220"/>
          </w:cols>
          <w:pgMar w:left="1440" w:top="274" w:right="239" w:bottom="1440" w:gutter="0" w:footer="0" w:header="0"/>
        </w:sectPr>
      </w:pPr>
    </w:p>
    <w:p>
      <w:pPr>
        <w:spacing w:after="0" w:line="32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Matthias Staehelin</w:t>
      </w: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Matthias Staehelin</w:t>
      </w:r>
    </w:p>
    <w:p>
      <w:pPr>
        <w:sectPr>
          <w:pgSz w:w="11900" w:h="16838" w:orient="portrait"/>
          <w:cols w:equalWidth="0" w:num="1">
            <w:col w:w="10220"/>
          </w:cols>
          <w:pgMar w:left="1440" w:top="274" w:right="239" w:bottom="1440" w:gutter="0" w:footer="0" w:header="0"/>
          <w:type w:val="continuous"/>
        </w:sectPr>
      </w:pPr>
    </w:p>
    <w:bookmarkStart w:id="281" w:name="page282"/>
    <w:bookmarkEnd w:id="281"/>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9"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This Research Collaboration and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6</w:t>
      </w:r>
      <w:r>
        <w:rPr>
          <w:rFonts w:ascii="Arial" w:cs="Arial" w:eastAsia="Arial" w:hAnsi="Arial"/>
          <w:sz w:val="14"/>
          <w:szCs w:val="14"/>
          <w:color w:val="auto"/>
        </w:rPr>
        <w:t>th</w:t>
      </w:r>
      <w:r>
        <w:rPr>
          <w:rFonts w:ascii="Arial" w:cs="Arial" w:eastAsia="Arial" w:hAnsi="Arial"/>
          <w:sz w:val="17"/>
          <w:szCs w:val="17"/>
          <w:color w:val="auto"/>
        </w:rPr>
        <w:t xml:space="preserve"> day of November, 2006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by and between AC Immune SA Corporation, a Swiss corporation with a principal place of business at Parc scientifique EPFL, PSE-B, CH-1015 Lausanne, Switzerland (“</w:t>
      </w:r>
      <w:r>
        <w:rPr>
          <w:rFonts w:ascii="Arial" w:cs="Arial" w:eastAsia="Arial" w:hAnsi="Arial"/>
          <w:sz w:val="17"/>
          <w:szCs w:val="17"/>
          <w:u w:val="single" w:color="auto"/>
          <w:color w:val="auto"/>
        </w:rPr>
        <w:t>ACI</w:t>
      </w:r>
      <w:r>
        <w:rPr>
          <w:rFonts w:ascii="Arial" w:cs="Arial" w:eastAsia="Arial" w:hAnsi="Arial"/>
          <w:sz w:val="17"/>
          <w:szCs w:val="17"/>
          <w:color w:val="auto"/>
        </w:rPr>
        <w:t>”) and Genentech, Inc., a Delaware corporation, with offices located at 1 DNA Way, South San Francisco, CA 94080 (“</w:t>
      </w:r>
      <w:r>
        <w:rPr>
          <w:rFonts w:ascii="Arial" w:cs="Arial" w:eastAsia="Arial" w:hAnsi="Arial"/>
          <w:sz w:val="17"/>
          <w:szCs w:val="17"/>
          <w:u w:val="single" w:color="auto"/>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ACI possesses certain expertise and proprietary technologies related to antibody products that interact with amyloid precursor protein derivatives, including beta amyloid.</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amyloid precursor protein derivatives for the diagnosis and treatment of human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develop and commercialize antibody products that interact with APP derivatives for the selection and evaluation of patients and the treatment of Alzheimer’s disease and other indications in exchange for upfront, research,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ACI Diagnostic Product</w:t>
      </w:r>
      <w:r>
        <w:rPr>
          <w:rFonts w:ascii="Arial" w:cs="Arial" w:eastAsia="Arial" w:hAnsi="Arial"/>
          <w:sz w:val="18"/>
          <w:szCs w:val="18"/>
          <w:color w:val="auto"/>
        </w:rPr>
        <w:t>” means a product that utilizes an [*****] and is intended for the identification or diagnosis of Alzheimer’s disease or an Additional Indication in a human patient, but where such product is not a [*****].</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IP Rights</w:t>
      </w:r>
      <w:r>
        <w:rPr>
          <w:rFonts w:ascii="Arial" w:cs="Arial" w:eastAsia="Arial" w:hAnsi="Arial"/>
          <w:sz w:val="18"/>
          <w:szCs w:val="18"/>
          <w:color w:val="auto"/>
        </w:rPr>
        <w:t xml:space="preserve">” means (i) all Patents which claim [*****] and any and all other Know-How related to Licensed Products and [*****] (including assays, and methods of immunization to generate, methods of making or methods of using any of the foregoing) or methods of screening or detecting [*****], binding or modulation activity, which Patents include but are not limited to those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all other intellectual property rights, or rights in confidential or proprietary information, in and to Know-How related to Licensed Products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1 of 42</w:t>
            </w:r>
          </w:p>
        </w:tc>
      </w:tr>
    </w:tbl>
    <w:p>
      <w:pPr>
        <w:sectPr>
          <w:pgSz w:w="11900" w:h="16838" w:orient="portrait"/>
          <w:cols w:equalWidth="0" w:num="1">
            <w:col w:w="11420"/>
          </w:cols>
          <w:pgMar w:left="240" w:top="121"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each case (a) owned or Controlled by ACI or its Affiliates as of the Effective Date or during the Term of this Agreement and (b) excluding (1) any [*****], (2) any claims which are specific to [*****] or [*****], but in each case except to the extent rights to and under such claims which are specific to a [*****] or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an [*****]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human disease condition, [*****]</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 or [*****]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 or [*****] means [*****].</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 means any [*****].</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2 of 42</w:t>
            </w:r>
          </w:p>
        </w:tc>
      </w:tr>
    </w:tbl>
    <w:p>
      <w:pPr>
        <w:sectPr>
          <w:pgSz w:w="11900" w:h="16838" w:orient="portrait"/>
          <w:cols w:equalWidth="0" w:num="1">
            <w:col w:w="11420"/>
          </w:cols>
          <w:pgMar w:left="240" w:top="270" w:right="2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 as amended) and whether provided orally, electronically, visually, or in writing; (ii) all copies of the information and materials described in (i) above; and</w:t>
      </w:r>
    </w:p>
    <w:p>
      <w:pPr>
        <w:spacing w:after="0" w:line="2" w:lineRule="exact"/>
        <w:rPr>
          <w:sz w:val="20"/>
          <w:szCs w:val="20"/>
          <w:color w:val="auto"/>
        </w:rPr>
      </w:pPr>
    </w:p>
    <w:p>
      <w:pPr>
        <w:jc w:val="both"/>
        <w:ind w:right="60" w:firstLine="8"/>
        <w:spacing w:after="0" w:line="281" w:lineRule="auto"/>
        <w:tabs>
          <w:tab w:leader="none" w:pos="31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w:t>
      </w:r>
    </w:p>
    <w:p>
      <w:pPr>
        <w:spacing w:after="0" w:line="2" w:lineRule="exact"/>
        <w:rPr>
          <w:rFonts w:ascii="Arial" w:cs="Arial" w:eastAsia="Arial" w:hAnsi="Arial"/>
          <w:sz w:val="16"/>
          <w:szCs w:val="16"/>
          <w:color w:val="auto"/>
        </w:rPr>
      </w:pPr>
    </w:p>
    <w:p>
      <w:pPr>
        <w:ind w:right="40" w:firstLine="8"/>
        <w:spacing w:after="0" w:line="261" w:lineRule="auto"/>
        <w:tabs>
          <w:tab w:leader="none" w:pos="24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of (i) with respect to materials, data or information, physical possession or the right to such physical possession of those items, with the right to provide them to Third Parties; and</w:t>
      </w:r>
    </w:p>
    <w:p>
      <w:pPr>
        <w:ind w:right="80" w:firstLine="8"/>
        <w:spacing w:after="0" w:line="261" w:lineRule="auto"/>
        <w:tabs>
          <w:tab w:leader="none" w:pos="26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 respect to intellectual property rights, rights sufficient to grant the applicable license or sublicense under this Agreement,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Diagnostic Field</w:t>
      </w:r>
      <w:r>
        <w:rPr>
          <w:rFonts w:ascii="Arial" w:cs="Arial" w:eastAsia="Arial" w:hAnsi="Arial"/>
          <w:sz w:val="16"/>
          <w:szCs w:val="16"/>
          <w:color w:val="auto"/>
        </w:rPr>
        <w:t>” means the identification of human patients who may be suitable for treatment with a Therapeutic Product or the analysis of human patients and/or biological samples from human patients to predict response to or determine the effect of treatment with a Therapeutic Product.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Licensed Product developed and/or marketed for use in the Diagnostic Field.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EMEA</w:t>
      </w:r>
      <w:r>
        <w:rPr>
          <w:rFonts w:ascii="Arial" w:cs="Arial" w:eastAsia="Arial" w:hAnsi="Arial"/>
          <w:sz w:val="18"/>
          <w:szCs w:val="18"/>
          <w:color w:val="auto"/>
        </w:rPr>
        <w:t>” means the European Medicines Evaluation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EPFL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3 of 42</w:t>
            </w:r>
          </w:p>
        </w:tc>
      </w:tr>
    </w:tbl>
    <w:p>
      <w:pPr>
        <w:sectPr>
          <w:pgSz w:w="11900" w:h="16838" w:orient="portrait"/>
          <w:cols w:equalWidth="0" w:num="1">
            <w:col w:w="11420"/>
          </w:cols>
          <w:pgMar w:left="240" w:top="270"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with respect to an application for Marketing Approval means that such application has been filed with and accepted for review by the appropriate Regulatory Authority.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Follow-On Antibodies</w:t>
      </w:r>
      <w:r>
        <w:rPr>
          <w:rFonts w:ascii="Arial" w:cs="Arial" w:eastAsia="Arial" w:hAnsi="Arial"/>
          <w:sz w:val="18"/>
          <w:szCs w:val="18"/>
          <w:color w:val="auto"/>
        </w:rPr>
        <w:t xml:space="preserve">” means the [*****] (including all [*****]) selected by Genentech and designated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where said [*****]</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FTE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GAAP</w:t>
      </w:r>
      <w:r>
        <w:rPr>
          <w:rFonts w:ascii="Arial" w:cs="Arial" w:eastAsia="Arial" w:hAnsi="Arial"/>
          <w:sz w:val="18"/>
          <w:szCs w:val="18"/>
          <w:color w:val="auto"/>
        </w:rPr>
        <w:t>” shall mean for</w:t>
      </w:r>
      <w:r>
        <w:rPr>
          <w:rFonts w:ascii="Arial" w:cs="Arial" w:eastAsia="Arial" w:hAnsi="Arial"/>
          <w:sz w:val="15"/>
          <w:szCs w:val="15"/>
          <w:color w:val="auto"/>
        </w:rPr>
        <w:t>-</w:t>
      </w:r>
      <w:r>
        <w:rPr>
          <w:rFonts w:ascii="Arial" w:cs="Arial" w:eastAsia="Arial" w:hAnsi="Arial"/>
          <w:sz w:val="18"/>
          <w:szCs w:val="18"/>
          <w:color w:val="auto"/>
        </w:rPr>
        <w:t>Genentech the United States generally accepted accounting principles and for ACI the International Financial Reporting Standards (IFRS), in each case consistently applied.</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 Information.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an [*****] or assays, methods of screening or detecting [*****] and (ii) all other intellectual property rights, or rights in confidential or proprietary information, relating to an [*****]; in each case owned or Controlled by Genentech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Genentech Licensee</w:t>
      </w:r>
      <w:r>
        <w:rPr>
          <w:rFonts w:ascii="Arial" w:cs="Arial" w:eastAsia="Arial" w:hAnsi="Arial"/>
          <w:sz w:val="18"/>
          <w:szCs w:val="18"/>
          <w:color w:val="auto"/>
        </w:rPr>
        <w:t>(</w:t>
      </w:r>
      <w:r>
        <w:rPr>
          <w:rFonts w:ascii="Arial" w:cs="Arial" w:eastAsia="Arial" w:hAnsi="Arial"/>
          <w:sz w:val="18"/>
          <w:szCs w:val="18"/>
          <w:u w:val="single" w:color="auto"/>
          <w:color w:val="auto"/>
        </w:rPr>
        <w:t>s</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4 of 42</w:t>
            </w:r>
          </w:p>
        </w:tc>
      </w:tr>
    </w:tbl>
    <w:p>
      <w:pPr>
        <w:sectPr>
          <w:pgSz w:w="11900" w:h="16838" w:orient="portrait"/>
          <w:cols w:equalWidth="0" w:num="1">
            <w:col w:w="11420"/>
          </w:cols>
          <w:pgMar w:left="240" w:top="270" w:right="2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Know-How</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Lead Antibody</w:t>
      </w:r>
      <w:r>
        <w:rPr>
          <w:rFonts w:ascii="Arial" w:cs="Arial" w:eastAsia="Arial" w:hAnsi="Arial"/>
          <w:sz w:val="18"/>
          <w:szCs w:val="18"/>
          <w:color w:val="auto"/>
        </w:rPr>
        <w:t>” means the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Licensed Product</w:t>
      </w:r>
      <w:r>
        <w:rPr>
          <w:rFonts w:ascii="Arial" w:cs="Arial" w:eastAsia="Arial" w:hAnsi="Arial"/>
          <w:sz w:val="18"/>
          <w:szCs w:val="18"/>
          <w:color w:val="auto"/>
        </w:rPr>
        <w:t>(</w:t>
      </w:r>
      <w:r>
        <w:rPr>
          <w:rFonts w:ascii="Arial" w:cs="Arial" w:eastAsia="Arial" w:hAnsi="Arial"/>
          <w:sz w:val="18"/>
          <w:szCs w:val="18"/>
          <w:u w:val="single" w:color="auto"/>
          <w:color w:val="auto"/>
        </w:rPr>
        <w:t>s</w:t>
      </w:r>
      <w:r>
        <w:rPr>
          <w:rFonts w:ascii="Arial" w:cs="Arial" w:eastAsia="Arial" w:hAnsi="Arial"/>
          <w:sz w:val="18"/>
          <w:szCs w:val="18"/>
          <w:color w:val="auto"/>
        </w:rPr>
        <w:t>)” means any product containing an [*****]. For the avoidance of doubt,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Net Sales</w:t>
      </w:r>
      <w:r>
        <w:rPr>
          <w:rFonts w:ascii="Arial" w:cs="Arial" w:eastAsia="Arial" w:hAnsi="Arial"/>
          <w:sz w:val="18"/>
          <w:szCs w:val="18"/>
          <w:color w:val="auto"/>
        </w:rPr>
        <w:t>” means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5 of 42</w:t>
            </w:r>
          </w:p>
        </w:tc>
      </w:tr>
    </w:tbl>
    <w:p>
      <w:pPr>
        <w:sectPr>
          <w:pgSz w:w="11900" w:h="16838" w:orient="portrait"/>
          <w:cols w:equalWidth="0" w:num="1">
            <w:col w:w="11420"/>
          </w:cols>
          <w:pgMar w:left="240" w:top="270" w:right="2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6 of 42</w:t>
            </w:r>
          </w:p>
        </w:tc>
      </w:tr>
    </w:tbl>
    <w:p>
      <w:pPr>
        <w:sectPr>
          <w:pgSz w:w="11900" w:h="16838" w:orient="portrait"/>
          <w:cols w:equalWidth="0" w:num="1">
            <w:col w:w="11420"/>
          </w:cols>
          <w:pgMar w:left="240" w:top="270"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1.55 [*****] has the meaning set forth in </w:t>
      </w:r>
      <w:r>
        <w:rPr>
          <w:rFonts w:ascii="Arial" w:cs="Arial" w:eastAsia="Arial" w:hAnsi="Arial"/>
          <w:sz w:val="18"/>
          <w:szCs w:val="18"/>
          <w:u w:val="single" w:color="auto"/>
          <w:color w:val="auto"/>
        </w:rPr>
        <w:t>Section 7.7.1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Licensed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Licensed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Licensed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with respect to a particular Licensed Product: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Program IP Rights</w:t>
      </w:r>
      <w:r>
        <w:rPr>
          <w:rFonts w:ascii="Arial" w:cs="Arial" w:eastAsia="Arial" w:hAnsi="Arial"/>
          <w:sz w:val="18"/>
          <w:szCs w:val="18"/>
          <w:color w:val="auto"/>
        </w:rPr>
        <w:t>” means (1) all Patents which claim (including a method of making or using) Know-How conceived, reduced to practice or otherwise created during the conduct of or in connection with activities under the Research Program or Research Plan (whether solely by one Party and/or its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7 of 42</w:t>
            </w:r>
          </w:p>
        </w:tc>
      </w:tr>
    </w:tbl>
    <w:p>
      <w:pPr>
        <w:sectPr>
          <w:pgSz w:w="11900" w:h="16838" w:orient="portrait"/>
          <w:cols w:equalWidth="0" w:num="1">
            <w:col w:w="11420"/>
          </w:cols>
          <w:pgMar w:left="240" w:top="270" w:right="2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or in connection with activities under the Research Program or Research Plan (whether solely by one Party and/or its respective employees, contractors or consultants or jointly by the Parties and/or their employees, contractors or consultants).</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1.64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1.66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xml:space="preserve">” means any national </w:t>
      </w:r>
      <w:r>
        <w:rPr>
          <w:rFonts w:ascii="Arial" w:cs="Arial" w:eastAsia="Arial" w:hAnsi="Arial"/>
          <w:sz w:val="16"/>
          <w:szCs w:val="16"/>
          <w:i w:val="1"/>
          <w:iCs w:val="1"/>
          <w:color w:val="auto"/>
        </w:rPr>
        <w:t>(e.g.</w:t>
      </w:r>
      <w:r>
        <w:rPr>
          <w:rFonts w:ascii="Arial" w:cs="Arial" w:eastAsia="Arial" w:hAnsi="Arial"/>
          <w:sz w:val="16"/>
          <w:szCs w:val="16"/>
          <w:color w:val="auto"/>
        </w:rPr>
        <w:t xml:space="preserve">, the FDA), supra-national </w:t>
      </w:r>
      <w:r>
        <w:rPr>
          <w:rFonts w:ascii="Arial" w:cs="Arial" w:eastAsia="Arial" w:hAnsi="Arial"/>
          <w:sz w:val="16"/>
          <w:szCs w:val="16"/>
          <w:i w:val="1"/>
          <w:iCs w:val="1"/>
          <w:color w:val="auto"/>
        </w:rPr>
        <w:t>(e.g.</w:t>
      </w:r>
      <w:r>
        <w:rPr>
          <w:rFonts w:ascii="Arial" w:cs="Arial" w:eastAsia="Arial" w:hAnsi="Arial"/>
          <w:sz w:val="16"/>
          <w:szCs w:val="16"/>
          <w:color w:val="auto"/>
        </w:rPr>
        <w:t>, the EMEA), regional, state or local regulatory agency, department, bureau, commission, council or other governmental entity, in any jurisdiction of the world, involved in the granting of Marketing Approval.</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1.68 “</w:t>
      </w:r>
      <w:r>
        <w:rPr>
          <w:rFonts w:ascii="Arial" w:cs="Arial" w:eastAsia="Arial" w:hAnsi="Arial"/>
          <w:sz w:val="16"/>
          <w:szCs w:val="16"/>
          <w:u w:val="single" w:color="auto"/>
          <w:color w:val="auto"/>
        </w:rPr>
        <w:t>Research Program</w:t>
      </w:r>
      <w:r>
        <w:rPr>
          <w:rFonts w:ascii="Arial" w:cs="Arial" w:eastAsia="Arial" w:hAnsi="Arial"/>
          <w:sz w:val="16"/>
          <w:szCs w:val="16"/>
          <w:color w:val="auto"/>
        </w:rPr>
        <w:t xml:space="preserve">” means the program of research and preclinical development the Parties engage in under this Agreement, which program is set forth on the Research Plan, and including all research supported by the research funding provided by Genentech under </w:t>
      </w:r>
      <w:r>
        <w:rPr>
          <w:rFonts w:ascii="Arial" w:cs="Arial" w:eastAsia="Arial" w:hAnsi="Arial"/>
          <w:sz w:val="16"/>
          <w:szCs w:val="16"/>
          <w:u w:val="single" w:color="auto"/>
          <w:color w:val="auto"/>
        </w:rPr>
        <w:t>Sections 2.5 and 5.2</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2.5.3</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RSP Report</w:t>
      </w:r>
      <w:r>
        <w:rPr>
          <w:rFonts w:ascii="Arial" w:cs="Arial" w:eastAsia="Arial" w:hAnsi="Arial"/>
          <w:sz w:val="18"/>
          <w:szCs w:val="18"/>
          <w:color w:val="auto"/>
        </w:rPr>
        <w:t xml:space="preserve">” means the report of quarterly research support expense to be generated by ACI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Termination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Territory</w:t>
      </w:r>
      <w:r>
        <w:rPr>
          <w:rFonts w:ascii="Arial" w:cs="Arial" w:eastAsia="Arial" w:hAnsi="Arial"/>
          <w:sz w:val="18"/>
          <w:szCs w:val="18"/>
          <w:color w:val="auto"/>
        </w:rPr>
        <w:t>” means the entire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8 of 42</w:t>
            </w:r>
          </w:p>
        </w:tc>
      </w:tr>
    </w:tbl>
    <w:p>
      <w:pPr>
        <w:sectPr>
          <w:pgSz w:w="11900" w:h="16838" w:orient="portrait"/>
          <w:cols w:equalWidth="0" w:num="1">
            <w:col w:w="11420"/>
          </w:cols>
          <w:pgMar w:left="240" w:top="270"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human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Therapeutic Product</w:t>
      </w:r>
      <w:r>
        <w:rPr>
          <w:rFonts w:ascii="Arial" w:cs="Arial" w:eastAsia="Arial" w:hAnsi="Arial"/>
          <w:sz w:val="18"/>
          <w:szCs w:val="18"/>
          <w:color w:val="auto"/>
        </w:rPr>
        <w:t>” means any Licensed Product developed and/or marketed for use in the Therapeutic Field.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Research Program Overview and Responsibilities</w:t>
      </w:r>
      <w:r>
        <w:rPr>
          <w:rFonts w:ascii="Arial" w:cs="Arial" w:eastAsia="Arial" w:hAnsi="Arial"/>
          <w:sz w:val="17"/>
          <w:szCs w:val="17"/>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which shall be developed and approved by the JRC within ninety (90) days following the Effective Date.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The JRC</w:t>
      </w:r>
      <w:r>
        <w:rPr>
          <w:rFonts w:ascii="Arial" w:cs="Arial" w:eastAsia="Arial" w:hAnsi="Arial"/>
          <w:sz w:val="16"/>
          <w:szCs w:val="16"/>
          <w:color w:val="auto"/>
        </w:rPr>
        <w:t>. Within thirty (30) days after the Effective Date, the Parties shall establish a committee to oversee the Research Program, and to establish, plan and coordinate the activities under the Research Plan (“</w:t>
      </w:r>
      <w:r>
        <w:rPr>
          <w:rFonts w:ascii="Arial" w:cs="Arial" w:eastAsia="Arial" w:hAnsi="Arial"/>
          <w:sz w:val="16"/>
          <w:szCs w:val="16"/>
          <w:u w:val="single" w:color="auto"/>
          <w:color w:val="auto"/>
        </w:rPr>
        <w:t>Joint Research Committee</w:t>
      </w:r>
      <w:r>
        <w:rPr>
          <w:rFonts w:ascii="Arial" w:cs="Arial" w:eastAsia="Arial" w:hAnsi="Arial"/>
          <w:sz w:val="16"/>
          <w:szCs w:val="16"/>
          <w:color w:val="auto"/>
        </w:rPr>
        <w:t>” or “</w:t>
      </w:r>
      <w:r>
        <w:rPr>
          <w:rFonts w:ascii="Arial" w:cs="Arial" w:eastAsia="Arial" w:hAnsi="Arial"/>
          <w:sz w:val="16"/>
          <w:szCs w:val="16"/>
          <w:u w:val="single" w:color="auto"/>
          <w:color w:val="auto"/>
        </w:rPr>
        <w:t>JRC</w:t>
      </w:r>
      <w:r>
        <w:rPr>
          <w:rFonts w:ascii="Arial" w:cs="Arial" w:eastAsia="Arial" w:hAnsi="Arial"/>
          <w:sz w:val="16"/>
          <w:szCs w:val="16"/>
          <w:color w:val="auto"/>
        </w:rPr>
        <w:t>”). The JRC will be composed of three</w:t>
      </w:r>
    </w:p>
    <w:p>
      <w:pPr>
        <w:ind w:right="60" w:firstLine="8"/>
        <w:spacing w:after="0" w:line="271" w:lineRule="auto"/>
        <w:tabs>
          <w:tab w:leader="none" w:pos="25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representatives designated by each Party (or such other number as the Parties may agree, provided that each of the Parties shall have the same number of JRC members). Representatives must be appropriate for the tasks then being undertaken and the stage of research or 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Meetings</w:t>
      </w:r>
      <w:r>
        <w:rPr>
          <w:rFonts w:ascii="Arial" w:cs="Arial" w:eastAsia="Arial" w:hAnsi="Arial"/>
          <w:sz w:val="18"/>
          <w:szCs w:val="18"/>
          <w:color w:val="auto"/>
        </w:rPr>
        <w:t>. The JRC shall meet at such times as are unanimously agreed to by the JRC members, but no less than once each calendar quarter. Such meetings may be in-person, via videoconference,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9 of 42</w:t>
            </w:r>
          </w:p>
        </w:tc>
      </w:tr>
    </w:tbl>
    <w:p>
      <w:pPr>
        <w:sectPr>
          <w:pgSz w:w="11900" w:h="16838" w:orient="portrait"/>
          <w:cols w:equalWidth="0" w:num="1">
            <w:col w:w="11420"/>
          </w:cols>
          <w:pgMar w:left="240" w:top="270"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The JRC shall record all decisions made, and otherwise take minutes as appropriate. Responsibility for keeping minutes will alternate between the Parties, beginning with Genentech.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31" w:lineRule="exact"/>
        <w:rPr>
          <w:sz w:val="20"/>
          <w:szCs w:val="20"/>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develop and approve the initial Research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 and approve the allocation of resources and efforts for the Research Program;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130" w:lineRule="exact"/>
        <w:rPr>
          <w:rFonts w:ascii="Arial" w:cs="Arial" w:eastAsia="Arial" w:hAnsi="Arial"/>
          <w:sz w:val="18"/>
          <w:szCs w:val="18"/>
          <w:color w:val="auto"/>
        </w:rPr>
      </w:pPr>
    </w:p>
    <w:p>
      <w:pPr>
        <w:ind w:left="1480" w:right="580" w:hanging="567"/>
        <w:spacing w:after="0" w:line="277" w:lineRule="auto"/>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On an ongoing basis during the Term, ACI shall, as determined by the JRC, deliver to Genentech: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10 of 42</w:t>
            </w:r>
          </w:p>
        </w:tc>
      </w:tr>
    </w:tbl>
    <w:p>
      <w:pPr>
        <w:sectPr>
          <w:pgSz w:w="11900" w:h="16838" w:orient="portrait"/>
          <w:cols w:equalWidth="0" w:num="1">
            <w:col w:w="11420"/>
          </w:cols>
          <w:pgMar w:left="240" w:top="270"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Written Reports</w:t>
      </w:r>
      <w:r>
        <w:rPr>
          <w:rFonts w:ascii="Arial" w:cs="Arial" w:eastAsia="Arial" w:hAnsi="Arial"/>
          <w:sz w:val="17"/>
          <w:szCs w:val="17"/>
          <w:color w:val="auto"/>
        </w:rPr>
        <w:t>. During the Research Term and within six (6) months thereafter,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compounds synthesized or discovered, the results of in vitro and in vivo studies, any inventions conceived or reduced to practice, on at least a calendar quarter basis; and (c) raw data for research undertaken under the Research Program, upon request of Genentech.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78" w:lineRule="exact"/>
        <w:rPr>
          <w:sz w:val="20"/>
          <w:szCs w:val="20"/>
          <w:color w:val="auto"/>
        </w:rPr>
      </w:pPr>
    </w:p>
    <w:p>
      <w:pPr>
        <w:ind w:right="540" w:firstLine="456"/>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Subcontracting</w:t>
      </w:r>
      <w:r>
        <w:rPr>
          <w:rFonts w:ascii="Arial" w:cs="Arial" w:eastAsia="Arial" w:hAnsi="Arial"/>
          <w:sz w:val="16"/>
          <w:szCs w:val="16"/>
          <w:color w:val="auto"/>
        </w:rPr>
        <w:t>. ACI may use CROs to outsource some of its activities under the Research Plan provided that: (i) ACI shall delegate such responsibilities to CROs in writing, which CROs shall be subject to Genentech’s prior written approval, which shall not be unreasonably withheld; and</w:t>
      </w:r>
    </w:p>
    <w:p>
      <w:pPr>
        <w:ind w:firstLine="8"/>
        <w:spacing w:after="0" w:line="287" w:lineRule="auto"/>
        <w:tabs>
          <w:tab w:leader="none" w:pos="26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Genentech shall have [*****] Business Days to review each agreement ACI plans to enter into with CROs and ACI shall include Genentech’s reasonable requests for changes to such agreements. ACI may fulfill its obligation to commit FTEs to the Research Program by using individual contractors or consultants under the following conditions: (a) ACI has informed Genentech, in writing, in advance of committing such Third Party FTEs to the Research Program and has provided to Genentech a resume or curriculum vitae for each such Third Party FTE; (b) each individual included within the FTEs must have appropriate experience and qualifications; and (c) each individual within the FTEs must have entered into a written agreement with ACI that either has been approved by Genentech in advance or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ACI is responsible for compliance by CROs and Third Party FTEs with the terms and conditions of this Agreement as if those CROs and Third Party FTEs were ACI’s employees.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ACI FTEs and CROs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ACI FTEs</w:t>
      </w:r>
      <w:r>
        <w:rPr>
          <w:rFonts w:ascii="Arial" w:cs="Arial" w:eastAsia="Arial" w:hAnsi="Arial"/>
          <w:sz w:val="18"/>
          <w:szCs w:val="18"/>
          <w:color w:val="auto"/>
        </w:rPr>
        <w:t xml:space="preserve">. During the Research Term, Genentech shall support the research and other activities to be undertaken under the Research Plan and as part of the Research Program with an annual resource commitment to pay for the number of ACI FTEs set forth in the Research Plan (the “FTE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Personnel included within the FTE Commitment may be employees of ACI or may be contractors, but the inclusion of contractors must otherwise satisfy the requirements of </w:t>
      </w:r>
      <w:r>
        <w:rPr>
          <w:rFonts w:ascii="Arial" w:cs="Arial" w:eastAsia="Arial" w:hAnsi="Arial"/>
          <w:sz w:val="18"/>
          <w:szCs w:val="18"/>
          <w:u w:val="single" w:color="auto"/>
          <w:color w:val="auto"/>
        </w:rPr>
        <w:t>Section 2.4</w:t>
      </w:r>
      <w:r>
        <w:rPr>
          <w:rFonts w:ascii="Arial" w:cs="Arial" w:eastAsia="Arial" w:hAnsi="Arial"/>
          <w:sz w:val="18"/>
          <w:szCs w:val="18"/>
          <w:color w:val="auto"/>
        </w:rPr>
        <w:t>. Each individual included within the FTE Commitment must possess a bachelor’s degree or higher in a relevant scientific discipline or such equivalent educational background and training outside the United States and must be experienced in the type of research or other activities to be undertaken under the Research Plan. At Genentech’s request, ACI shall provide resumes or curriculum vitae for any personnel included in the FTEs committed under this Agreement</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2.5.2 [*****] During the Research Term, [*****] the research and other activities to be undertaken under the Research Plan and as part of the Research Program performed by CROs retained by ACI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Research Support Payments by Genentech</w:t>
      </w:r>
      <w:r>
        <w:rPr>
          <w:rFonts w:ascii="Arial" w:cs="Arial" w:eastAsia="Arial" w:hAnsi="Arial"/>
          <w:sz w:val="18"/>
          <w:szCs w:val="18"/>
          <w:color w:val="auto"/>
        </w:rPr>
        <w:t xml:space="preserve">. Genentech shall pay to ACI (i) research support payments based on the FTE Commitment in accordance with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and (ii) [*****] as provided in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 (i) and (ii) together, the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Other than those Research Support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11 of 42</w:t>
            </w:r>
          </w:p>
        </w:tc>
      </w:tr>
    </w:tbl>
    <w:p>
      <w:pPr>
        <w:sectPr>
          <w:pgSz w:w="11900" w:h="16838" w:orient="portrait"/>
          <w:cols w:equalWidth="0" w:num="1">
            <w:col w:w="11420"/>
          </w:cols>
          <w:pgMar w:left="240" w:top="270" w:right="2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payable by Genentech under </w:t>
      </w:r>
      <w:r>
        <w:rPr>
          <w:rFonts w:ascii="Arial" w:cs="Arial" w:eastAsia="Arial" w:hAnsi="Arial"/>
          <w:sz w:val="18"/>
          <w:szCs w:val="18"/>
          <w:u w:val="single" w:color="auto"/>
          <w:color w:val="auto"/>
        </w:rPr>
        <w:t>Section 5.2</w:t>
      </w:r>
      <w:r>
        <w:rPr>
          <w:rFonts w:ascii="Arial" w:cs="Arial" w:eastAsia="Arial" w:hAnsi="Arial"/>
          <w:sz w:val="18"/>
          <w:szCs w:val="18"/>
          <w:color w:val="auto"/>
        </w:rPr>
        <w:t>, ACI shall bear all costs of undertaking and carrying out the research of the Research Program and performing under the Research Plan.</w:t>
      </w:r>
    </w:p>
    <w:p>
      <w:pPr>
        <w:spacing w:after="0" w:line="17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Research Term</w:t>
      </w:r>
      <w:r>
        <w:rPr>
          <w:rFonts w:ascii="Arial" w:cs="Arial" w:eastAsia="Arial" w:hAnsi="Arial"/>
          <w:sz w:val="16"/>
          <w:szCs w:val="16"/>
          <w:color w:val="auto"/>
        </w:rPr>
        <w:t xml:space="preserve">. The Research Term commences as of the Effective Date and, unless the Agreement is earlier terminated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or the Research Program is earlier terminated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14.1 the Research Term expires [*****] years after the Effective Date. The Research Term may be extended by written agreement of both Parties. After [*****] months following the end of the Research Term, the JRC is no longer required to meet.</w:t>
      </w:r>
    </w:p>
    <w:p>
      <w:pPr>
        <w:spacing w:after="0" w:line="35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reasonably incurred by [*****] in connection with such cooperation and support provided that such [*****] are approved in advance by [*****].</w:t>
      </w:r>
    </w:p>
    <w:p>
      <w:pPr>
        <w:spacing w:after="0" w:line="18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Development Updates</w:t>
      </w:r>
      <w:r>
        <w:rPr>
          <w:rFonts w:ascii="Arial" w:cs="Arial" w:eastAsia="Arial" w:hAnsi="Arial"/>
          <w:sz w:val="18"/>
          <w:szCs w:val="18"/>
          <w:color w:val="auto"/>
        </w:rPr>
        <w:t>. Throughout the Term, Genentech shall provide to ACI periodic updates on the plan for development of Licensed Products under this Agreement on at least an annual basis. Such updates to include a summary of any significant progress or advances along with a general description of Genentech’s then-current plan of development. It is understood and agreed that the development plan summaries provided under this Section 3.1.4 are non-binding and provided to ACI for informational purposes only.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Genentech Diligence</w:t>
      </w:r>
      <w:r>
        <w:rPr>
          <w:rFonts w:ascii="Arial" w:cs="Arial" w:eastAsia="Arial" w:hAnsi="Arial"/>
          <w:sz w:val="18"/>
          <w:szCs w:val="18"/>
          <w:color w:val="auto"/>
        </w:rPr>
        <w:t xml:space="preserve">. Genentech shall use Commercially Reasonable Efforts to develop and commercialize at least one Licensed Product for Alzheimer’s disease [*****] as indicated by compelling biologic rationale and commercial viability. Activities by Genentech Licensees and Affiliates 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Follow-On Antibody Designation</w:t>
      </w:r>
      <w:r>
        <w:rPr>
          <w:rFonts w:ascii="Arial" w:cs="Arial" w:eastAsia="Arial" w:hAnsi="Arial"/>
          <w:sz w:val="18"/>
          <w:szCs w:val="18"/>
          <w:color w:val="auto"/>
        </w:rPr>
        <w:t xml:space="preserve">. Within the first [*****] years of the Term, Genentech shall select up to [*****] as [*****] to be reserved for exclusive development by Genentech in accordance with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Upon notification by Genentech to the JRC, each such [*****] shall be subject to the terms and conditions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12 of 42</w:t>
            </w:r>
          </w:p>
        </w:tc>
      </w:tr>
    </w:tbl>
    <w:p>
      <w:pPr>
        <w:sectPr>
          <w:pgSz w:w="11900" w:h="16838" w:orient="portrait"/>
          <w:cols w:equalWidth="0" w:num="1">
            <w:col w:w="11420"/>
          </w:cols>
          <w:pgMar w:left="240" w:top="270" w:right="2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Exclusive License</w:t>
      </w:r>
      <w:r>
        <w:rPr>
          <w:rFonts w:ascii="Arial" w:cs="Arial" w:eastAsia="Arial" w:hAnsi="Arial"/>
          <w:sz w:val="18"/>
          <w:szCs w:val="18"/>
          <w:color w:val="auto"/>
        </w:rPr>
        <w:t xml:space="preserve">. Subject to the terms and conditions of this Agreement, ACI hereby grants to Genentech, and Genentech hereby accepts, an exclusive (even as to ACI) right and license under the ACI IP Rights, the ACI Program IP Rights and ACI’s interest in the Joint Program IP Rights to research, develop, make, have made, use, sell, offer for sale and import [*****] and Licensed Products in the Genentech Field in the Territory. The license granted to Genentech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include the right to sublicense to multiple tiers of Third Parties in accordance with the terms of </w:t>
      </w:r>
      <w:r>
        <w:rPr>
          <w:rFonts w:ascii="Arial" w:cs="Arial" w:eastAsia="Arial" w:hAnsi="Arial"/>
          <w:sz w:val="18"/>
          <w:szCs w:val="18"/>
          <w:u w:val="single" w:color="auto"/>
          <w:color w:val="auto"/>
        </w:rPr>
        <w:t>Section 4.6</w:t>
      </w:r>
      <w:r>
        <w:rPr>
          <w:rFonts w:ascii="Arial" w:cs="Arial" w:eastAsia="Arial" w:hAnsi="Arial"/>
          <w:sz w:val="18"/>
          <w:szCs w:val="18"/>
          <w:color w:val="auto"/>
        </w:rPr>
        <w:t>. For the avoidance of doubt, [*****].</w:t>
      </w:r>
    </w:p>
    <w:p>
      <w:pPr>
        <w:spacing w:after="0" w:line="188"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License Grant to ACI for Conduct of the Research Program</w:t>
      </w:r>
      <w:r>
        <w:rPr>
          <w:rFonts w:ascii="Arial" w:cs="Arial" w:eastAsia="Arial" w:hAnsi="Arial"/>
          <w:sz w:val="17"/>
          <w:szCs w:val="17"/>
          <w:color w:val="auto"/>
        </w:rPr>
        <w:t xml:space="preserve">. Subject to the terms of this Agreement, Genentech hereby grants to ACI a non-exclusive, non-transferable, non-sublicenseable (except as expressly provided in </w:t>
      </w:r>
      <w:r>
        <w:rPr>
          <w:rFonts w:ascii="Arial" w:cs="Arial" w:eastAsia="Arial" w:hAnsi="Arial"/>
          <w:sz w:val="17"/>
          <w:szCs w:val="17"/>
          <w:u w:val="single" w:color="auto"/>
          <w:color w:val="auto"/>
        </w:rPr>
        <w:t>Section 2.4</w:t>
      </w:r>
      <w:r>
        <w:rPr>
          <w:rFonts w:ascii="Arial" w:cs="Arial" w:eastAsia="Arial" w:hAnsi="Arial"/>
          <w:sz w:val="17"/>
          <w:szCs w:val="17"/>
          <w:color w:val="auto"/>
        </w:rPr>
        <w:t>),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 solely to the extent necessary for ACI to conduct those activities specified in the Research Plan.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4.3.1 ACI shall not (i) provide any [*****] or Licensed Products to any Third Party; or (ii) provide to any Third Party any methods of screening for, identifying or making any [*****] or Licensed Products, except as expressly provided in, and in strict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13 of 42</w:t>
            </w:r>
          </w:p>
        </w:tc>
      </w:tr>
    </w:tbl>
    <w:p>
      <w:pPr>
        <w:sectPr>
          <w:pgSz w:w="11900" w:h="16838" w:orient="portrait"/>
          <w:cols w:equalWidth="0" w:num="1">
            <w:col w:w="11420"/>
          </w:cols>
          <w:pgMar w:left="240" w:top="270" w:right="2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For clarity, except as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 the foregoing restriction will not apply to limit ACI’s use or transfer of [*****] and related methods of screening, identification or manufacture, with respect to ACI’s activities outside the Genentech Field, including without limitation the research, development and commercialization of ACI Diagnostic Products and Vaccine Products.</w:t>
      </w:r>
    </w:p>
    <w:p>
      <w:pPr>
        <w:spacing w:after="0" w:line="18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4.3.2 During the Term, the Parties agree that Genentech shall have the sole right to develop and commercialize the [*****] and [*****] and ACI shall not have any rights to develop or commercialize products containing the [*****] or any [*****] for any purpose, including outside the Genentech Field. Notwithstanding the foregoing, upon First Commercial Sale of a Licensed Product in the Therapeutic Field containing the [*****] or any [*****], ACI shall be permitted to commercialize [*****] containing such [*****] or [*****]. During the period commencing on the Effective Date and ending [*****] years after the Effective Date, ACI shall not permit a Third Party to make or use any [*****] incorporating or otherwise using an [*****] as a component of such product unless such Third Party’s use of the [*****] (including the disclosure of any results of such use) is subject to obligations at least as protective of Genentech’s interest as the obligations imposed on ACI by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and where ACI’s agreement with such ACI Licensees requires assignment to ACI of all right, title and interest in and to any intellectual property (and intellectual property rights) created, discovered, conceived or reduced to practice during the making or using of such [*****] where such intellectual property rights are related to [*****]. Notwithstanding anything to the contrary, ACI shall not manufacture or sell or permit any Third Party to manufacture or sell any [*****] incorporating or otherwise using an [*****] as a component of such product during the period commencing on the Effective Date and ending [*****] years after the Effective Date.</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Academic Research</w:t>
      </w:r>
      <w:r>
        <w:rPr>
          <w:rFonts w:ascii="Arial" w:cs="Arial" w:eastAsia="Arial" w:hAnsi="Arial"/>
          <w:sz w:val="18"/>
          <w:szCs w:val="18"/>
          <w:color w:val="auto"/>
        </w:rPr>
        <w:t>. ACI may provide [*****] material to Ecole Polytechnique Federale de Lausanne (“</w:t>
      </w:r>
      <w:r>
        <w:rPr>
          <w:rFonts w:ascii="Arial" w:cs="Arial" w:eastAsia="Arial" w:hAnsi="Arial"/>
          <w:sz w:val="18"/>
          <w:szCs w:val="18"/>
          <w:u w:val="single" w:color="auto"/>
          <w:color w:val="auto"/>
        </w:rPr>
        <w:t>EPFL</w:t>
      </w:r>
      <w:r>
        <w:rPr>
          <w:rFonts w:ascii="Arial" w:cs="Arial" w:eastAsia="Arial" w:hAnsi="Arial"/>
          <w:sz w:val="18"/>
          <w:szCs w:val="18"/>
          <w:color w:val="auto"/>
        </w:rPr>
        <w:t>”) solely for use in the academic research contemplated under the agreement entered into between ACI and EPFL effective as of June 1, 2006 (the “</w:t>
      </w:r>
      <w:r>
        <w:rPr>
          <w:rFonts w:ascii="Arial" w:cs="Arial" w:eastAsia="Arial" w:hAnsi="Arial"/>
          <w:sz w:val="18"/>
          <w:szCs w:val="18"/>
          <w:u w:val="single" w:color="auto"/>
          <w:color w:val="auto"/>
        </w:rPr>
        <w:t>EPFL Agreement</w:t>
      </w:r>
      <w:r>
        <w:rPr>
          <w:rFonts w:ascii="Arial" w:cs="Arial" w:eastAsia="Arial" w:hAnsi="Arial"/>
          <w:sz w:val="18"/>
          <w:szCs w:val="18"/>
          <w:color w:val="auto"/>
        </w:rPr>
        <w:t xml:space="preserve">”) provided, however, that (i) use of such [*****] shall not conflict with Genentech’s exclusive rights under this Agreement; (ii) all intellectual property rights (including but not limited to Patents and Know-How) made pursuant to the EPFL Agreement shall be included within the ACI IP Rights to the extent necessary or useful to Genentech in exercising its rights under the licenses granted in this Agreement; and (iii) publication of any research results shall be subject to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of this Agreement.</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xml:space="preserve">. Each Party acknowledges that the licenses granted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are limited to the scope expressly granted, and all other rights under a Party’s Patents and other intellectual property rights are expressly reserved to the granting Party. Where a license is granted by one Party to the other Party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for a particular purpose or with respect to a particular product, the granting Party retains all of its rights with respect to those intellectual property rights for those purposes not expressly licensed under this Agreement.</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Right of First Negotiation</w:t>
      </w:r>
      <w:r>
        <w:rPr>
          <w:rFonts w:ascii="Arial" w:cs="Arial" w:eastAsia="Arial" w:hAnsi="Arial"/>
          <w:sz w:val="16"/>
          <w:szCs w:val="16"/>
          <w:color w:val="auto"/>
        </w:rPr>
        <w:t>. Prior to negotiating with or entertaining offers from a Third Party to license the Vaccine Product Rights, ACI shall first notify Genentech in writing and such notification shall be accompanied by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6"/>
          <w:szCs w:val="16"/>
          <w:u w:val="single" w:color="auto"/>
          <w:color w:val="auto"/>
        </w:rPr>
        <w:t>ROFN Period</w:t>
      </w:r>
      <w:r>
        <w:rPr>
          <w:rFonts w:ascii="Arial" w:cs="Arial" w:eastAsia="Arial" w:hAnsi="Arial"/>
          <w:sz w:val="16"/>
          <w:szCs w:val="16"/>
          <w:color w:val="auto"/>
        </w:rPr>
        <w:t>”). If the Parties are unable to agree on substantive terms within the ROFN Period, Genentech shall promptly reduce to writing its last offer to ACI and provide such writing to ACI, and ACI shall be free to enter into an agreement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14 of 42</w:t>
            </w:r>
          </w:p>
        </w:tc>
      </w:tr>
    </w:tbl>
    <w:p>
      <w:pPr>
        <w:sectPr>
          <w:pgSz w:w="11900" w:h="16838" w:orient="portrait"/>
          <w:cols w:equalWidth="0" w:num="1">
            <w:col w:w="11420"/>
          </w:cols>
          <w:pgMar w:left="240" w:top="270" w:right="2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Third Party for the sale or licensing of the ACI Vaccine Rights provided that the financial terms of such agreement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Sublicenses</w:t>
      </w:r>
      <w:r>
        <w:rPr>
          <w:rFonts w:ascii="Arial" w:cs="Arial" w:eastAsia="Arial" w:hAnsi="Arial"/>
          <w:sz w:val="16"/>
          <w:szCs w:val="16"/>
          <w:color w:val="auto"/>
        </w:rPr>
        <w:t xml:space="preserve">. In order for Genentech validly to sublicense its rights under the license set forth in Section 4.1, the applicable sublicense agreement must be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Notwithstanding anything to the contrary, Genentech shall not sublicense its commercialization rights outside the United States under this Agreement to an entity that has an [*****] product or program that competes with a Therapeutic Product without the [*****].</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Up-Front Payment</w:t>
      </w:r>
      <w:r>
        <w:rPr>
          <w:rFonts w:ascii="Arial" w:cs="Arial" w:eastAsia="Arial" w:hAnsi="Arial"/>
          <w:sz w:val="16"/>
          <w:szCs w:val="16"/>
          <w:color w:val="auto"/>
        </w:rPr>
        <w:t xml:space="preserve">. In consideration for the rights granted and promises made hereunder, including the license granted to Genentech under the ACI IP Rights, Genentech shall, within thirty (30) days of the Effective Date, pay to ACI a one-time payment of </w:t>
      </w:r>
      <w:r>
        <w:rPr>
          <w:rFonts w:ascii="Arial" w:cs="Arial" w:eastAsia="Arial" w:hAnsi="Arial"/>
          <w:sz w:val="16"/>
          <w:szCs w:val="16"/>
          <w:b w:val="1"/>
          <w:bCs w:val="1"/>
          <w:color w:val="auto"/>
        </w:rPr>
        <w:t>twenty five million dollars (US$25,000,000)</w:t>
      </w:r>
      <w:r>
        <w:rPr>
          <w:rFonts w:ascii="Arial" w:cs="Arial" w:eastAsia="Arial" w:hAnsi="Arial"/>
          <w:sz w:val="16"/>
          <w:szCs w:val="16"/>
          <w:color w:val="auto"/>
        </w:rPr>
        <w:t>.</w:t>
      </w:r>
    </w:p>
    <w:p>
      <w:pPr>
        <w:spacing w:after="0" w:line="124"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Research Support Payments</w:t>
      </w:r>
      <w:r>
        <w:rPr>
          <w:rFonts w:ascii="Arial" w:cs="Arial" w:eastAsia="Arial" w:hAnsi="Arial"/>
          <w:sz w:val="16"/>
          <w:szCs w:val="16"/>
          <w:color w:val="auto"/>
        </w:rPr>
        <w:t xml:space="preserve">. During the Research Term and in consideration of ACI’s commitment of FTEs under </w:t>
      </w:r>
      <w:r>
        <w:rPr>
          <w:rFonts w:ascii="Arial" w:cs="Arial" w:eastAsia="Arial" w:hAnsi="Arial"/>
          <w:sz w:val="16"/>
          <w:szCs w:val="16"/>
          <w:u w:val="single" w:color="auto"/>
          <w:color w:val="auto"/>
        </w:rPr>
        <w:t>Section 2.5.1</w:t>
      </w:r>
      <w:r>
        <w:rPr>
          <w:rFonts w:ascii="Arial" w:cs="Arial" w:eastAsia="Arial" w:hAnsi="Arial"/>
          <w:sz w:val="16"/>
          <w:szCs w:val="16"/>
          <w:color w:val="auto"/>
        </w:rPr>
        <w:t xml:space="preserve">, Genentech shall pay to ACI Research Support Payments. Genentech shall make such Research Support Payments on a calendar quarterly basis, within [*****] days after the beginning of the first calendar quarter during the Research Term and thereafter within [*****] days after receiving ACI’s RSP Report under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281" w:lineRule="auto"/>
        <w:rPr>
          <w:sz w:val="20"/>
          <w:szCs w:val="20"/>
          <w:color w:val="auto"/>
        </w:rPr>
      </w:pPr>
      <w:r>
        <w:rPr>
          <w:rFonts w:ascii="Arial" w:cs="Arial" w:eastAsia="Arial" w:hAnsi="Arial"/>
          <w:sz w:val="16"/>
          <w:szCs w:val="16"/>
          <w:color w:val="auto"/>
        </w:rPr>
        <w:t>The amount of research support attributed to FTEs is calculated each calendar quarter based on annual FTE rates of (i) [*****] per senior scientist/projects manager level FTE and (ii) [*****] per scientist/technician FTE committed to the Research Program in accordance with the Research Plan. The calendar quarterly amount will be adjusted (a) pro rata to reflect the actual number of days in the first and last (partial) calendar quarters during the Research Term, and</w:t>
      </w:r>
    </w:p>
    <w:p>
      <w:pPr>
        <w:spacing w:after="0" w:line="2" w:lineRule="exact"/>
        <w:rPr>
          <w:sz w:val="20"/>
          <w:szCs w:val="20"/>
          <w:color w:val="auto"/>
        </w:rPr>
      </w:pPr>
    </w:p>
    <w:p>
      <w:pPr>
        <w:ind w:right="40" w:firstLine="8"/>
        <w:spacing w:after="0" w:line="254" w:lineRule="auto"/>
        <w:tabs>
          <w:tab w:leader="none" w:pos="2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as necessary to reflect the actual number of FTEs committed during previous calendar quarters, as such actual FTE commitment is reflected in reports by ACI provided under </w:t>
      </w:r>
      <w:r>
        <w:rPr>
          <w:rFonts w:ascii="Arial" w:cs="Arial" w:eastAsia="Arial" w:hAnsi="Arial"/>
          <w:sz w:val="18"/>
          <w:szCs w:val="18"/>
          <w:u w:val="single" w:color="auto"/>
          <w:color w:val="auto"/>
        </w:rPr>
        <w:t>Section 6.1.1</w:t>
      </w:r>
      <w:r>
        <w:rPr>
          <w:rFonts w:ascii="Arial" w:cs="Arial" w:eastAsia="Arial" w:hAnsi="Arial"/>
          <w:sz w:val="18"/>
          <w:szCs w:val="18"/>
          <w:color w:val="auto"/>
        </w:rPr>
        <w:t>. The amount of [*****] attributed to CROs is determined by the [*****] paid by [*****] in the preceding calendar quarter. Research Support Payments provided hereunder are inclusive of infrastructure and supplies (including consumables), the cost of which is included in the FTE rate used for calculating the amount of the Research Support Payments.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Therapeutic Product Milestone Payments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5.3.1 With respect to the first Therapeutic Product to achieve the clinical development or Marketing Approval Filing milestones (each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below.</w:t>
      </w:r>
    </w:p>
    <w:p>
      <w:pPr>
        <w:spacing w:after="0" w:line="116" w:lineRule="exact"/>
        <w:rPr>
          <w:sz w:val="20"/>
          <w:szCs w:val="20"/>
          <w:color w:val="auto"/>
        </w:rPr>
      </w:pPr>
    </w:p>
    <w:p>
      <w:pPr>
        <w:ind w:left="1480" w:hanging="567"/>
        <w:spacing w:after="0"/>
        <w:tabs>
          <w:tab w:leader="none" w:pos="14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15 of 42</w:t>
            </w:r>
          </w:p>
        </w:tc>
      </w:tr>
    </w:tbl>
    <w:p>
      <w:pPr>
        <w:sectPr>
          <w:pgSz w:w="11900" w:h="16838" w:orient="portrait"/>
          <w:cols w:equalWidth="0" w:num="1">
            <w:col w:w="11420"/>
          </w:cols>
          <w:pgMar w:left="240" w:top="270" w:right="2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Milestones for Additional Indications</w:t>
      </w:r>
      <w:r>
        <w:rPr>
          <w:rFonts w:ascii="Arial" w:cs="Arial" w:eastAsia="Arial" w:hAnsi="Arial"/>
          <w:sz w:val="16"/>
          <w:szCs w:val="16"/>
          <w:color w:val="auto"/>
        </w:rPr>
        <w:t>. Genentech shall, within [*****] days of the occurrence of each Milestone described in clauses (ii) –</w:t>
      </w:r>
    </w:p>
    <w:p>
      <w:pPr>
        <w:spacing w:after="0" w:line="46" w:lineRule="exact"/>
        <w:rPr>
          <w:sz w:val="20"/>
          <w:szCs w:val="20"/>
          <w:color w:val="auto"/>
        </w:rPr>
      </w:pPr>
    </w:p>
    <w:p>
      <w:pPr>
        <w:ind w:right="40" w:firstLine="8"/>
        <w:spacing w:after="0" w:line="270" w:lineRule="auto"/>
        <w:tabs>
          <w:tab w:leader="none" w:pos="35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above by any Therapeutic Product in an Additional Indication, be obligated to make a Milestone payment in the amount equal to [*****] of the amount applicable in each of Milestones (ii) – (vii) above; provided, that each Milestone payment due under this Section 5.3.2 shall be payable no more than [*****] during the term of this Agreement, regardless of the number of Therapeutic Products developed or whether a Therapeutic Product is discontinued after a milestone payment has been made. By way of example, if Milestones [*****] are paid for a Therapeutic Product in a first Additional Indication (at which point the development is discontinued), and Milestones [*****] are paid for a Therapeutic Product in a second Additional Indication, then with respect to any Therapeutic Product in a subsequent Additional Indication, only Milestones [*****] will be payable.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the [*****], Genentech shall pay ACI [*****]</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Therapeutic Product Royalties</w:t>
      </w:r>
      <w:r>
        <w:rPr>
          <w:rFonts w:ascii="Arial" w:cs="Arial" w:eastAsia="Arial" w:hAnsi="Arial"/>
          <w:sz w:val="17"/>
          <w:szCs w:val="17"/>
          <w:color w:val="auto"/>
        </w:rPr>
        <w:t>. In consideration for the rights granted hereunder, in each calendar quarter during the Term of this Agreement in which Genentech records Net Sales of a Therapeutic Product, and subject to and in accordance with the terms and conditions of this Agreement, Genentech shall pay to ACI, on a Therapeutic Product-by-Therapeutic Product and country-by-country basis, an amount equal to:</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5.5.1 For Net Sales within North America where the sale of a Therapeutic Product is Covered by a Valid Patent Claim within the ACI IP Rights, as follows:</w:t>
      </w:r>
    </w:p>
    <w:p>
      <w:pPr>
        <w:spacing w:after="0" w:line="76" w:lineRule="exact"/>
        <w:rPr>
          <w:sz w:val="20"/>
          <w:szCs w:val="20"/>
          <w:color w:val="auto"/>
        </w:rPr>
      </w:pPr>
    </w:p>
    <w:p>
      <w:pPr>
        <w:ind w:left="1480" w:hanging="567"/>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of such annual Net Sales up to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of such annual Net Sales exceeding [*****] but less than or equal to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16 of 42</w:t>
            </w:r>
          </w:p>
        </w:tc>
      </w:tr>
    </w:tbl>
    <w:p>
      <w:pPr>
        <w:sectPr>
          <w:pgSz w:w="11900" w:h="16838" w:orient="portrait"/>
          <w:cols w:equalWidth="0" w:num="1">
            <w:col w:w="11420"/>
          </w:cols>
          <w:pgMar w:left="240" w:top="270"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4" w:lineRule="exact"/>
        <w:rPr>
          <w:sz w:val="20"/>
          <w:szCs w:val="20"/>
          <w:color w:val="auto"/>
        </w:rPr>
      </w:pPr>
    </w:p>
    <w:p>
      <w:pPr>
        <w:ind w:left="1480" w:hanging="567"/>
        <w:spacing w:after="0"/>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such annual Net Sales exceeding [*****]</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Each of the royalty tiers set forth in (i)- (iii) above shall be determined by the aggregate total across all North American countries of annual Net Sales of a Therapeutic Product Covered by a Valid Patent Claim in the country of sale.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5.5.2 For Net Sales in all countries outside of North America where sales of a Therapeutic Product is Covered by a Valid Patent Claim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 IP Rights, as follows:</w:t>
      </w:r>
    </w:p>
    <w:p>
      <w:pPr>
        <w:spacing w:after="0" w:line="116" w:lineRule="exact"/>
        <w:rPr>
          <w:sz w:val="20"/>
          <w:szCs w:val="20"/>
          <w:color w:val="auto"/>
        </w:rPr>
      </w:pPr>
    </w:p>
    <w:p>
      <w:pPr>
        <w:ind w:left="1480" w:hanging="567"/>
        <w:spacing w:after="0"/>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of such annual Net Sales up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of such annual Net Sales exceeding [*****] but less than or equal to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of such annual Net Sales exceeding [*****].</w:t>
      </w:r>
    </w:p>
    <w:p>
      <w:pPr>
        <w:spacing w:after="0" w:line="117"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Each of the royalty tiers set forth in (i)- (iii) above shall be determined by the aggregate total across all non-North American countries of annual Net Sales of a Therapeutic Product Covered by a Valid Patent Claim in the country of sale.</w:t>
      </w:r>
    </w:p>
    <w:p>
      <w:pPr>
        <w:spacing w:after="0" w:line="170" w:lineRule="exact"/>
        <w:rPr>
          <w:sz w:val="20"/>
          <w:szCs w:val="20"/>
          <w:color w:val="auto"/>
        </w:rPr>
      </w:pPr>
    </w:p>
    <w:p>
      <w:pPr>
        <w:ind w:right="320" w:firstLine="913"/>
        <w:spacing w:after="0" w:line="288" w:lineRule="auto"/>
        <w:rPr>
          <w:sz w:val="20"/>
          <w:szCs w:val="20"/>
          <w:color w:val="auto"/>
        </w:rPr>
      </w:pPr>
      <w:r>
        <w:rPr>
          <w:rFonts w:ascii="Arial" w:cs="Arial" w:eastAsia="Arial" w:hAnsi="Arial"/>
          <w:sz w:val="16"/>
          <w:szCs w:val="16"/>
          <w:color w:val="auto"/>
        </w:rPr>
        <w:t xml:space="preserve">5.5.3 For Net Sales of Therapeutic Products that contain as an active ingredient an [*****] that is (i) owned or Controlled by ACI or (ii) is generated by Genentech using proprietary screening technology within the ACI IP Rights and such Therapeutic Product is not Covered by a Valid Patent Claim within the ACI IP Rights in the country of sale, a royalty equal to [*****] of the applicable royalty that would otherwise be payable under </w:t>
      </w:r>
      <w:r>
        <w:rPr>
          <w:rFonts w:ascii="Arial" w:cs="Arial" w:eastAsia="Arial" w:hAnsi="Arial"/>
          <w:sz w:val="16"/>
          <w:szCs w:val="16"/>
          <w:u w:val="single" w:color="auto"/>
          <w:color w:val="auto"/>
        </w:rPr>
        <w:t>Sections</w:t>
      </w:r>
    </w:p>
    <w:p>
      <w:pPr>
        <w:spacing w:after="0" w:line="254" w:lineRule="auto"/>
        <w:rPr>
          <w:sz w:val="20"/>
          <w:szCs w:val="20"/>
          <w:color w:val="auto"/>
        </w:rPr>
      </w:pPr>
      <w:r>
        <w:rPr>
          <w:rFonts w:ascii="Arial" w:cs="Arial" w:eastAsia="Arial" w:hAnsi="Arial"/>
          <w:sz w:val="18"/>
          <w:szCs w:val="18"/>
          <w:u w:val="single" w:color="auto"/>
          <w:color w:val="auto"/>
        </w:rPr>
        <w:t>5.5.1 or 5.5.2</w:t>
      </w:r>
      <w:r>
        <w:rPr>
          <w:rFonts w:ascii="Arial" w:cs="Arial" w:eastAsia="Arial" w:hAnsi="Arial"/>
          <w:sz w:val="18"/>
          <w:szCs w:val="18"/>
          <w:color w:val="auto"/>
        </w:rPr>
        <w:t xml:space="preserve">, provided, however, that royalty payment obligations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shall terminate upon the date that is [*****] years from the date of First Commercial Sale of the applicable Therapeutic Product in a country. For the sake of clarity, royalties paid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shall be mutually exclusive of royalties to be paid under </w:t>
      </w:r>
      <w:r>
        <w:rPr>
          <w:rFonts w:ascii="Arial" w:cs="Arial" w:eastAsia="Arial" w:hAnsi="Arial"/>
          <w:sz w:val="18"/>
          <w:szCs w:val="18"/>
          <w:u w:val="single" w:color="auto"/>
          <w:color w:val="auto"/>
        </w:rPr>
        <w:t>Sections 5.5.1 and 5.5.2</w:t>
      </w:r>
      <w:r>
        <w:rPr>
          <w:rFonts w:ascii="Arial" w:cs="Arial" w:eastAsia="Arial" w:hAnsi="Arial"/>
          <w:sz w:val="18"/>
          <w:szCs w:val="18"/>
          <w:color w:val="auto"/>
        </w:rPr>
        <w:t xml:space="preserve">; in no event shall royalties be paid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on Net Sales of Therapeutic Products Covered by a Valid Patent Claim of the ACI IP Rights.</w:t>
      </w:r>
    </w:p>
    <w:p>
      <w:pPr>
        <w:spacing w:after="0" w:line="19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Diagnostic Product, and subject to and in accordance with the terms and conditions of this Agreement, Genentech shall pay to ACI, on a Diagnostic Product-by-Diagnostic Product and country-by-country basis,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5.6.1 For Net Sales of Diagnostic Products Covered by a Valid Patent Claim within the ACI IP Rights, an amount equal to [*****] of annual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1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5.6.2 For Net Sales of Diagnostic Products that contain an [*****] that is (i) owned or Controlled by ACI or (ii) is generated by Genentech using proprietary screening technology within the ACI IP Rights and such Diagnostic Product is not Covered by a Valid Patent Claim within the ACI IP Rights, a royalty equal to [*****] of the applicable royalty that would otherwise be payable under </w:t>
      </w:r>
      <w:r>
        <w:rPr>
          <w:rFonts w:ascii="Arial" w:cs="Arial" w:eastAsia="Arial" w:hAnsi="Arial"/>
          <w:sz w:val="17"/>
          <w:szCs w:val="17"/>
          <w:u w:val="single" w:color="auto"/>
          <w:color w:val="auto"/>
        </w:rPr>
        <w:t>Section 5.6.1</w:t>
      </w:r>
      <w:r>
        <w:rPr>
          <w:rFonts w:ascii="Arial" w:cs="Arial" w:eastAsia="Arial" w:hAnsi="Arial"/>
          <w:sz w:val="17"/>
          <w:szCs w:val="17"/>
          <w:color w:val="auto"/>
        </w:rPr>
        <w:t xml:space="preserve"> provided, however, that royalty payment obligations under this </w:t>
      </w:r>
      <w:r>
        <w:rPr>
          <w:rFonts w:ascii="Arial" w:cs="Arial" w:eastAsia="Arial" w:hAnsi="Arial"/>
          <w:sz w:val="17"/>
          <w:szCs w:val="17"/>
          <w:u w:val="single" w:color="auto"/>
          <w:color w:val="auto"/>
        </w:rPr>
        <w:t>Section 5.6.2</w:t>
      </w:r>
      <w:r>
        <w:rPr>
          <w:rFonts w:ascii="Arial" w:cs="Arial" w:eastAsia="Arial" w:hAnsi="Arial"/>
          <w:sz w:val="17"/>
          <w:szCs w:val="17"/>
          <w:color w:val="auto"/>
        </w:rPr>
        <w:t xml:space="preserve"> shall terminate upon the date that is [*****] years from the date of First Commercial Sale of the applicable Diagnostic Product in a country. For the sake of clarity, royalties paid under this </w:t>
      </w:r>
      <w:r>
        <w:rPr>
          <w:rFonts w:ascii="Arial" w:cs="Arial" w:eastAsia="Arial" w:hAnsi="Arial"/>
          <w:sz w:val="17"/>
          <w:szCs w:val="17"/>
          <w:u w:val="single" w:color="auto"/>
          <w:color w:val="auto"/>
        </w:rPr>
        <w:t>Section 5.6.2</w:t>
      </w:r>
      <w:r>
        <w:rPr>
          <w:rFonts w:ascii="Arial" w:cs="Arial" w:eastAsia="Arial" w:hAnsi="Arial"/>
          <w:sz w:val="17"/>
          <w:szCs w:val="17"/>
          <w:color w:val="auto"/>
        </w:rPr>
        <w:t xml:space="preserve"> shall be mutually exclusive of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17 of 42</w:t>
            </w:r>
          </w:p>
        </w:tc>
      </w:tr>
    </w:tbl>
    <w:p>
      <w:pPr>
        <w:sectPr>
          <w:pgSz w:w="11900" w:h="16838" w:orient="portrait"/>
          <w:cols w:equalWidth="0" w:num="1">
            <w:col w:w="11420"/>
          </w:cols>
          <w:pgMar w:left="240" w:top="27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to be paid under </w:t>
      </w:r>
      <w:r>
        <w:rPr>
          <w:rFonts w:ascii="Arial" w:cs="Arial" w:eastAsia="Arial" w:hAnsi="Arial"/>
          <w:sz w:val="18"/>
          <w:szCs w:val="18"/>
          <w:u w:val="single" w:color="auto"/>
          <w:color w:val="auto"/>
        </w:rPr>
        <w:t>Sections 5.6.1;</w:t>
      </w:r>
      <w:r>
        <w:rPr>
          <w:rFonts w:ascii="Arial" w:cs="Arial" w:eastAsia="Arial" w:hAnsi="Arial"/>
          <w:sz w:val="18"/>
          <w:szCs w:val="18"/>
          <w:color w:val="auto"/>
        </w:rPr>
        <w:t xml:space="preserve"> in no event shall royalties be paid under this </w:t>
      </w:r>
      <w:r>
        <w:rPr>
          <w:rFonts w:ascii="Arial" w:cs="Arial" w:eastAsia="Arial" w:hAnsi="Arial"/>
          <w:sz w:val="18"/>
          <w:szCs w:val="18"/>
          <w:u w:val="single" w:color="auto"/>
          <w:color w:val="auto"/>
        </w:rPr>
        <w:t>Section 5.6.2</w:t>
      </w:r>
      <w:r>
        <w:rPr>
          <w:rFonts w:ascii="Arial" w:cs="Arial" w:eastAsia="Arial" w:hAnsi="Arial"/>
          <w:sz w:val="18"/>
          <w:szCs w:val="18"/>
          <w:color w:val="auto"/>
        </w:rPr>
        <w:t xml:space="preserve"> on Net Sales of Diagnostic Products Covered by a Valid Patent Claim of the ACI IP Rights.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Timing of Payments</w:t>
      </w:r>
      <w:r>
        <w:rPr>
          <w:rFonts w:ascii="Arial" w:cs="Arial" w:eastAsia="Arial" w:hAnsi="Arial"/>
          <w:sz w:val="18"/>
          <w:szCs w:val="18"/>
          <w:color w:val="auto"/>
        </w:rPr>
        <w:t xml:space="preserve">. All payments due under </w:t>
      </w:r>
      <w:r>
        <w:rPr>
          <w:rFonts w:ascii="Arial" w:cs="Arial" w:eastAsia="Arial" w:hAnsi="Arial"/>
          <w:sz w:val="18"/>
          <w:szCs w:val="18"/>
          <w:u w:val="single" w:color="auto"/>
          <w:color w:val="auto"/>
        </w:rPr>
        <w:t>Sections 5.5 and 5.6</w:t>
      </w:r>
      <w:r>
        <w:rPr>
          <w:rFonts w:ascii="Arial" w:cs="Arial" w:eastAsia="Arial" w:hAnsi="Arial"/>
          <w:sz w:val="18"/>
          <w:szCs w:val="18"/>
          <w:color w:val="auto"/>
        </w:rPr>
        <w:t xml:space="preserve"> shall be paid in quarterly installments and be paid within [*****] days following the end of each calendar quarter.</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Sections 5.5 and 5.6 above; provided, that [*****]</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5.9.1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5.9.2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5.6</w:t>
      </w:r>
      <w:r>
        <w:rPr>
          <w:rFonts w:ascii="Arial" w:cs="Arial" w:eastAsia="Arial" w:hAnsi="Arial"/>
          <w:sz w:val="18"/>
          <w:szCs w:val="18"/>
          <w:color w:val="auto"/>
        </w:rPr>
        <w:t>,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RSP Reports for Research Support Payments</w:t>
      </w:r>
      <w:r>
        <w:rPr>
          <w:rFonts w:ascii="Arial" w:cs="Arial" w:eastAsia="Arial" w:hAnsi="Arial"/>
          <w:sz w:val="17"/>
          <w:szCs w:val="17"/>
          <w:color w:val="auto"/>
        </w:rPr>
        <w:t>. Within [*****], ACI shall provide to Genentech a RSP Report for the preceding calendar quarter, which RSP Report details (i) for FTEs: the FTEs committed to the Research Program during that calendar quarter, the identity of the individuals included within those FTEs, the percentage of an FTE that each individual represents, and a brief summary of the work performed; and for CROs: a list of the CROs performing activities during that calendar quarter, a brief summary of the work performed by each CRO and the amounts paid to each CRO by ACI during that calendar quarter. Information in those RSP Reports will be used to adjust quarterly Research Support Payments.</w:t>
      </w:r>
    </w:p>
    <w:p>
      <w:pPr>
        <w:spacing w:after="0" w:line="1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Royalty Reports</w:t>
      </w:r>
      <w:r>
        <w:rPr>
          <w:rFonts w:ascii="Arial" w:cs="Arial" w:eastAsia="Arial" w:hAnsi="Arial"/>
          <w:sz w:val="18"/>
          <w:szCs w:val="18"/>
          <w:color w:val="auto"/>
        </w:rPr>
        <w:t xml:space="preserve">. Within [*****] days after the end of each calendar quarter in which a royalty payment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is required to be made, Genentech shall send to ACI a report of Net Sales of the Licensed Products for which a royalty is due, which report sets forth for such calendar quarter the following information: (i) total Net Sales of all Licensed Products sold in the Territory during such calendar quarter, (ii) Net Sales on a country-by-country basis, (iii) the exchange rate used to convert Net Sales from the currency in which they are earned to United States dollars and (iv) the total royalty 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18 of 42</w:t>
            </w:r>
          </w:p>
        </w:tc>
      </w:tr>
    </w:tbl>
    <w:p>
      <w:pPr>
        <w:sectPr>
          <w:pgSz w:w="11900" w:h="16838" w:orient="portrait"/>
          <w:cols w:equalWidth="0" w:num="1">
            <w:col w:w="11420"/>
          </w:cols>
          <w:pgMar w:left="240" w:top="270"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Currency</w:t>
      </w:r>
      <w:r>
        <w:rPr>
          <w:rFonts w:ascii="Arial" w:cs="Arial" w:eastAsia="Arial" w:hAnsi="Arial"/>
          <w:sz w:val="16"/>
          <w:szCs w:val="16"/>
          <w:color w:val="auto"/>
        </w:rPr>
        <w:t>. All payments to be made under this Agreement shall be made in United States dollars. Upon ACI’s request Genentech shall pay royalties to ACI in an alternate currency corresponding to actual Net Sales provided that such payment does not impose any additional expense on Genentech. Amounts invoiced in a currency other than dollars must be expressed in the United States dollar equivalent as well as any local currency. Net Sales outside of the United States shall be first determined in the currency in which they are earned and shall then be converted into an amount in United States dollars. All currency conversions shall use the conversion rate reported by the last print edition of Reuters, Ltd. on [*****] for which such payment is being determined.</w:t>
      </w:r>
    </w:p>
    <w:p>
      <w:pPr>
        <w:spacing w:after="0" w:line="15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U.S. dollars, in immediately available funds, by means of wire transfer to an account identified by the payee.</w:t>
      </w:r>
    </w:p>
    <w:p>
      <w:pPr>
        <w:spacing w:after="0" w:line="170"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Withholding of Taxes</w:t>
      </w:r>
      <w:r>
        <w:rPr>
          <w:rFonts w:ascii="Arial" w:cs="Arial" w:eastAsia="Arial" w:hAnsi="Arial"/>
          <w:sz w:val="17"/>
          <w:szCs w:val="17"/>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 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and Research Support Payments for FTEs. Each Party shall keep such books of account and the supporting data and other records at its principal place of business. Such books and records must be maintained available for examination in accordance with this Section for [*****] calendar years after the end of the calendar year to which they pertain, and otherwise as reasonably required to comply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19 of 42</w:t>
            </w:r>
          </w:p>
        </w:tc>
      </w:tr>
    </w:tbl>
    <w:p>
      <w:pPr>
        <w:sectPr>
          <w:pgSz w:w="11900" w:h="16838" w:orient="portrait"/>
          <w:cols w:equalWidth="0" w:num="1">
            <w:col w:w="11420"/>
          </w:cols>
          <w:pgMar w:left="240" w:top="270"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6.3.4 </w:t>
      </w:r>
      <w:r>
        <w:rPr>
          <w:rFonts w:ascii="Arial" w:cs="Arial" w:eastAsia="Arial" w:hAnsi="Arial"/>
          <w:sz w:val="17"/>
          <w:szCs w:val="17"/>
          <w:u w:val="single" w:color="auto"/>
          <w:color w:val="auto"/>
        </w:rPr>
        <w:t>Audit Report</w:t>
      </w:r>
      <w:r>
        <w:rPr>
          <w:rFonts w:ascii="Arial" w:cs="Arial" w:eastAsia="Arial" w:hAnsi="Arial"/>
          <w:sz w:val="17"/>
          <w:szCs w:val="17"/>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 royalties or Research Support Payments prior to providing that audit report to the other Party. That audit report shall be deemed to be Confidential Information of the audited Party, and used only for purposes germane to this Section.</w:t>
      </w:r>
    </w:p>
    <w:p>
      <w:pPr>
        <w:spacing w:after="0" w:line="17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Rights Regarding Consolidation of ACI Financial Data</w:t>
      </w:r>
      <w:r>
        <w:rPr>
          <w:rFonts w:ascii="Arial" w:cs="Arial" w:eastAsia="Arial" w:hAnsi="Arial"/>
          <w:sz w:val="18"/>
          <w:szCs w:val="18"/>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United States Generally Accepted Accounting Principals (i.e., balance sheet, income statement and statement of cash flows) for each calendar quarter within [*****] days after the end of the calendar quarter, and (b) subject to the obligations under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 [*****] shall reimburse [*****] in complying with this Section 6.4, up to a maximum of [*****] calendar quarter for which financial statements are prepared by ACI in accordance with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20 of 42</w:t>
            </w:r>
          </w:p>
        </w:tc>
      </w:tr>
    </w:tbl>
    <w:p>
      <w:pPr>
        <w:sectPr>
          <w:pgSz w:w="11900" w:h="16838" w:orient="portrait"/>
          <w:cols w:equalWidth="0" w:num="1">
            <w:col w:w="11420"/>
          </w:cols>
          <w:pgMar w:left="240" w:top="270"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Generally Accepted Accounting Principals. Notwithstanding anything to the contrary, upon Genentech’s initial request to consolidate ACI financial data under this provision, ACI may provide the initial unaudited quarterly financial statements prepared in accordance with IFRS (and not United States Generally Accepted Accounting Principals) provided that ACI provide all reasonable assistance to Genentech in the restatement of such initial financial statements.</w:t>
      </w:r>
    </w:p>
    <w:p>
      <w:pPr>
        <w:spacing w:after="0" w:line="35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7.1.1 ACI shall promptly disclose to Genentech any inventions or other Know-How created, discovered, conceived or reduced to practice pursuant to the Research Program and the activities in the Research Plan. During the Research Term and the remainder of the Term of the Agreement, ACI shall disclose to Genentech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Genentech copies of all patent applications, amendments, correspondence with patent offices and information relating to Patents within the ACI IP Rights. ACI shall timely deliver to Genentech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93"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i w:val="1"/>
          <w:iCs w:val="1"/>
          <w:color w:val="auto"/>
        </w:rPr>
        <w:t>.</w:t>
      </w:r>
      <w:r>
        <w:rPr>
          <w:rFonts w:ascii="Arial" w:cs="Arial" w:eastAsia="Arial" w:hAnsi="Arial"/>
          <w:sz w:val="16"/>
          <w:szCs w:val="16"/>
          <w:color w:val="auto"/>
        </w:rPr>
        <w:t xml:space="preserve">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20" w:firstLine="8"/>
        <w:spacing w:after="0" w:line="268" w:lineRule="auto"/>
        <w:tabs>
          <w:tab w:leader="none" w:pos="31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103(c)(3) to develop [*****] for use in and outside the Genentech Field, provided that neither Party shall be required by this reference to have any Patent take advantage of or become subject to such § 103(c)(3)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21 of 42</w:t>
            </w:r>
          </w:p>
        </w:tc>
      </w:tr>
    </w:tbl>
    <w:p>
      <w:pPr>
        <w:sectPr>
          <w:pgSz w:w="11900" w:h="16838" w:orient="portrait"/>
          <w:cols w:equalWidth="0" w:num="1">
            <w:col w:w="11420"/>
          </w:cols>
          <w:pgMar w:left="240" w:top="270"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Genentech</w:t>
      </w:r>
      <w:r>
        <w:rPr>
          <w:rFonts w:ascii="Arial" w:cs="Arial" w:eastAsia="Arial" w:hAnsi="Arial"/>
          <w:sz w:val="18"/>
          <w:szCs w:val="18"/>
          <w:color w:val="auto"/>
        </w:rPr>
        <w:t>. Genentech shall require all of its employees, contractors and agents, and any Affiliates and Third Parties working on its behalf under this Agreement (and their respective employees, contractors and agents), to assign to Genentech any Program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 xml:space="preserve">7.4.2 </w:t>
      </w:r>
      <w:r>
        <w:rPr>
          <w:rFonts w:ascii="Arial" w:cs="Arial" w:eastAsia="Arial" w:hAnsi="Arial"/>
          <w:sz w:val="17"/>
          <w:szCs w:val="17"/>
          <w:u w:val="single" w:color="auto"/>
          <w:color w:val="auto"/>
        </w:rPr>
        <w:t>Genentech Controlled Prosecution and Maintenance</w:t>
      </w:r>
      <w:r>
        <w:rPr>
          <w:rFonts w:ascii="Arial" w:cs="Arial" w:eastAsia="Arial" w:hAnsi="Arial"/>
          <w:sz w:val="17"/>
          <w:szCs w:val="17"/>
          <w:color w:val="auto"/>
        </w:rPr>
        <w:t>. As between the Parties, Genentech shall, at its sole discretion and expense, have the right (but not the obligation) to Prosecute and Maintain Patents within the Genentech IP Rights, but excluding [*****] and [*****].</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80" w:firstLine="1492"/>
        <w:spacing w:after="0" w:line="259" w:lineRule="auto"/>
        <w:tabs>
          <w:tab w:leader="none" w:pos="172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22 of 42</w:t>
            </w:r>
          </w:p>
        </w:tc>
      </w:tr>
    </w:tbl>
    <w:p>
      <w:pPr>
        <w:sectPr>
          <w:pgSz w:w="11900" w:h="16838" w:orient="portrait"/>
          <w:cols w:equalWidth="0" w:num="1">
            <w:col w:w="11420"/>
          </w:cols>
          <w:pgMar w:left="240" w:top="270" w:right="2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73" w:lineRule="exact"/>
        <w:rPr>
          <w:sz w:val="20"/>
          <w:szCs w:val="20"/>
          <w:color w:val="auto"/>
        </w:rPr>
      </w:pPr>
    </w:p>
    <w:p>
      <w:pPr>
        <w:ind w:right="180" w:firstLine="1492"/>
        <w:spacing w:after="0" w:line="279" w:lineRule="auto"/>
        <w:tabs>
          <w:tab w:leader="none" w:pos="173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Outside Patent Counsel shall be instructed to advise and consult with each Party promptly after receiving any substantial action or development in the prosecution of any patent application it is responsible for prosecuting pursuant to Section 7.4.3(a)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7.44 </w:t>
      </w:r>
      <w:r>
        <w:rPr>
          <w:rFonts w:ascii="Arial" w:cs="Arial" w:eastAsia="Arial" w:hAnsi="Arial"/>
          <w:sz w:val="17"/>
          <w:szCs w:val="17"/>
          <w:u w:val="single" w:color="auto"/>
          <w:color w:val="auto"/>
        </w:rPr>
        <w:t>Consultation and Cooperation</w:t>
      </w:r>
      <w:r>
        <w:rPr>
          <w:rFonts w:ascii="Arial" w:cs="Arial" w:eastAsia="Arial" w:hAnsi="Arial"/>
          <w:sz w:val="17"/>
          <w:szCs w:val="17"/>
          <w:color w:val="auto"/>
        </w:rPr>
        <w:t>. Generally, the Parties shall cooperate with and assist each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173" w:lineRule="exact"/>
        <w:rPr>
          <w:sz w:val="20"/>
          <w:szCs w:val="20"/>
          <w:color w:val="auto"/>
        </w:rPr>
      </w:pPr>
    </w:p>
    <w:p>
      <w:pPr>
        <w:ind w:right="20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7.4.7 </w:t>
      </w:r>
      <w:r>
        <w:rPr>
          <w:rFonts w:ascii="Arial" w:cs="Arial" w:eastAsia="Arial" w:hAnsi="Arial"/>
          <w:sz w:val="18"/>
          <w:szCs w:val="18"/>
          <w:u w:val="single" w:color="auto"/>
          <w:color w:val="auto"/>
        </w:rPr>
        <w:t>Good Faith</w:t>
      </w:r>
      <w:r>
        <w:rPr>
          <w:rFonts w:ascii="Arial" w:cs="Arial" w:eastAsia="Arial" w:hAnsi="Arial"/>
          <w:sz w:val="18"/>
          <w:szCs w:val="18"/>
          <w:color w:val="auto"/>
        </w:rPr>
        <w:t xml:space="preserve">. Without in any way limiting the foregoing, including </w:t>
      </w:r>
      <w:r>
        <w:rPr>
          <w:rFonts w:ascii="Arial" w:cs="Arial" w:eastAsia="Arial" w:hAnsi="Arial"/>
          <w:sz w:val="18"/>
          <w:szCs w:val="18"/>
          <w:u w:val="single" w:color="auto"/>
          <w:color w:val="auto"/>
        </w:rPr>
        <w:t>Section 7.4.3(a)</w:t>
      </w:r>
      <w:r>
        <w:rPr>
          <w:rFonts w:ascii="Arial" w:cs="Arial" w:eastAsia="Arial" w:hAnsi="Arial"/>
          <w:sz w:val="18"/>
          <w:szCs w:val="18"/>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with the Parties goal being in each instance to try, where appropriate, to obtain the broadest Patent protection that is reasonably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23 of 42</w:t>
            </w:r>
          </w:p>
        </w:tc>
      </w:tr>
    </w:tbl>
    <w:p>
      <w:pPr>
        <w:sectPr>
          <w:pgSz w:w="11900" w:h="16838" w:orient="portrait"/>
          <w:cols w:equalWidth="0" w:num="1">
            <w:col w:w="11420"/>
          </w:cols>
          <w:pgMar w:left="240" w:top="270" w:right="2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 of [*****]</w:t>
      </w:r>
    </w:p>
    <w:p>
      <w:pPr>
        <w:spacing w:after="0" w:line="11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(i) initiates or requests an [*****], (ii) makes, files or maintains any [*****] of, or [*****] (each such action a “</w:t>
      </w:r>
      <w:r>
        <w:rPr>
          <w:rFonts w:ascii="Arial" w:cs="Arial" w:eastAsia="Arial" w:hAnsi="Arial"/>
          <w:sz w:val="17"/>
          <w:szCs w:val="17"/>
          <w:u w:val="single" w:color="auto"/>
          <w:color w:val="auto"/>
        </w:rPr>
        <w:t>[*****]</w:t>
      </w:r>
      <w:r>
        <w:rPr>
          <w:rFonts w:ascii="Arial" w:cs="Arial" w:eastAsia="Arial" w:hAnsi="Arial"/>
          <w:sz w:val="17"/>
          <w:szCs w:val="17"/>
          <w:color w:val="auto"/>
        </w:rPr>
        <w:t>”). Prior to exercising such right, ACI shall first provide Genentech with written notice regarding the occurrence of any [*****] (“</w:t>
      </w:r>
      <w:r>
        <w:rPr>
          <w:rFonts w:ascii="Arial" w:cs="Arial" w:eastAsia="Arial" w:hAnsi="Arial"/>
          <w:sz w:val="17"/>
          <w:szCs w:val="17"/>
          <w:u w:val="single" w:color="auto"/>
          <w:color w:val="auto"/>
        </w:rPr>
        <w:t>Notice of [*****]</w:t>
      </w:r>
      <w:r>
        <w:rPr>
          <w:rFonts w:ascii="Arial" w:cs="Arial" w:eastAsia="Arial" w:hAnsi="Arial"/>
          <w:sz w:val="17"/>
          <w:szCs w:val="17"/>
          <w:color w:val="auto"/>
        </w:rPr>
        <w:t xml:space="preserve">”). Provided that (i) the [*****] is reversible, and (ii) Genentech is able to obtain a full and complete [*****] of the [*****] within [*****] days following Genentech’s receipt of the Notice of [*****], and (iii) no substantial [*****] to the [*****] has been caused by the [*****] prior to such withdrawal, then ACI may not terminate this Agreement pursuant to this </w:t>
      </w:r>
      <w:r>
        <w:rPr>
          <w:rFonts w:ascii="Arial" w:cs="Arial" w:eastAsia="Arial" w:hAnsi="Arial"/>
          <w:sz w:val="17"/>
          <w:szCs w:val="17"/>
          <w:u w:val="single" w:color="auto"/>
          <w:color w:val="auto"/>
        </w:rPr>
        <w:t>Section 7.7.1</w:t>
      </w:r>
      <w:r>
        <w:rPr>
          <w:rFonts w:ascii="Arial" w:cs="Arial" w:eastAsia="Arial" w:hAnsi="Arial"/>
          <w:sz w:val="17"/>
          <w:szCs w:val="17"/>
          <w:color w:val="auto"/>
        </w:rPr>
        <w:t xml:space="preserve">. For the avoidance of doubt, [*****] does not include, and termination by ACI under this </w:t>
      </w:r>
      <w:r>
        <w:rPr>
          <w:rFonts w:ascii="Arial" w:cs="Arial" w:eastAsia="Arial" w:hAnsi="Arial"/>
          <w:sz w:val="17"/>
          <w:szCs w:val="17"/>
          <w:u w:val="single" w:color="auto"/>
          <w:color w:val="auto"/>
        </w:rPr>
        <w:t>Section 7.7.1</w:t>
      </w:r>
      <w:r>
        <w:rPr>
          <w:rFonts w:ascii="Arial" w:cs="Arial" w:eastAsia="Arial" w:hAnsi="Arial"/>
          <w:sz w:val="17"/>
          <w:szCs w:val="17"/>
          <w:color w:val="auto"/>
        </w:rPr>
        <w:t xml:space="preserve"> is not permitted for, (i) any action undertaken by Genentech or its Affiliates in any [*****] if such [*****] was provoked, requested or otherwise commenced by a third party without material assistance knowingly granted by Genentech or its Affiliates; (ii) any [*****] by Genentech or its Affiliates as [*****] or other action made, filed or maintained by ACl, ACI’s Affiliate(s) and/or ACI Licensee(s), including where such [*****] of or by any Genentech activity with respect to ACI IP Rights, including without limitation any [*****] by Genentech or its Affiliates that the making, using, selling, offering for sale and importation of any [*****] and/or Licensed Product(s) do not [*****] ACI IP Rights.</w:t>
      </w:r>
    </w:p>
    <w:p>
      <w:pPr>
        <w:spacing w:after="0" w:line="18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7.7.2 </w:t>
      </w:r>
      <w:r>
        <w:rPr>
          <w:rFonts w:ascii="Arial" w:cs="Arial" w:eastAsia="Arial" w:hAnsi="Arial"/>
          <w:sz w:val="18"/>
          <w:szCs w:val="18"/>
          <w:u w:val="single" w:color="auto"/>
          <w:color w:val="auto"/>
        </w:rPr>
        <w:t>Sublicensees</w:t>
      </w:r>
      <w:r>
        <w:rPr>
          <w:rFonts w:ascii="Arial" w:cs="Arial" w:eastAsia="Arial" w:hAnsi="Arial"/>
          <w:sz w:val="18"/>
          <w:szCs w:val="18"/>
          <w:color w:val="auto"/>
        </w:rPr>
        <w:t>. Genentech will include in all agreements granting sublicenses of Genentech’s rights hereunder a provision that if the sublicensee or its Affiliates undertake a [*****] with respect to any Patents within the ACI IP Rights under which the sublicensee is sublicensed, Genentech will be permitted to terminate such sublicense agreement. If a sublicensee of Genentech (or an Affiliate of such sublicensee) undertakes a [*****] of any such Patent under which such sublicensee is sublicensed, then Genentech within [*****] days of receipt of written notice from ACI providing sufficient details regarding such [*****] will terminate the applicable sublicense agreement, to the extent permitted by applicable law and regulation, provided that Genentech may delay such termination for a reasonable period of time if necessary to secure an alternate Genentech Licensee. If Genentech fails to so terminate such sublicense agreement, ACI will give Genentech written notice of such breach, and if Genentech does not cure the breach within [*****] days, ACI may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24 of 42</w:t>
            </w:r>
          </w:p>
        </w:tc>
      </w:tr>
    </w:tbl>
    <w:p>
      <w:pPr>
        <w:sectPr>
          <w:pgSz w:w="11900" w:h="16838" w:orient="portrait"/>
          <w:cols w:equalWidth="0" w:num="1">
            <w:col w:w="11420"/>
          </w:cols>
          <w:pgMar w:left="240" w:top="269" w:right="2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ARTICLE 8; ENFORCEMENT OF IP RIGHTS; DEFENSE OF THIRD PARTY INFRINGEMENT CLAIMS</w:t>
      </w:r>
    </w:p>
    <w:p>
      <w:pPr>
        <w:spacing w:after="0" w:line="22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at least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patent rights would have a material adverse effect on the development, commercialization, or commercial value of Licensed Products pursuant to this Agreement.</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 may not settle or consent to an adverse judgment in any action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including any judgment which affects the scope, validity or enforcement of any ACI IP Rights or ACI Program IP Rights, without the [*****] (such [*****]), except that [*****] may settle or consent to an adverse judgment to any action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without [*****] to the extent such settlement or consent judgment does not (i) impose a financial obligation on [*****] or (ii) affect the scope, validity or enforcement of any [*****] or [*****] or (iii) result in a reduction of the royalty income for [*****], except to the extent otherwise provided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8"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Third Party Suits</w:t>
      </w:r>
      <w:r>
        <w:rPr>
          <w:rFonts w:ascii="Arial" w:cs="Arial" w:eastAsia="Arial" w:hAnsi="Arial"/>
          <w:sz w:val="18"/>
          <w:szCs w:val="18"/>
          <w:color w:val="auto"/>
        </w:rPr>
        <w:t>. In the event that a Third Party shall make any claim or bring any suit or other proceeding against Genentech, or any of its Affiliates, Genentech Licensees or customers, for infringement or misappropriation of any intellectual property rights with respect to the research,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25 of 42</w:t>
            </w:r>
          </w:p>
        </w:tc>
      </w:tr>
    </w:tbl>
    <w:p>
      <w:pPr>
        <w:sectPr>
          <w:pgSz w:w="11900" w:h="16838" w:orient="portrait"/>
          <w:cols w:equalWidth="0" w:num="1">
            <w:col w:w="11420"/>
          </w:cols>
          <w:pgMar w:left="240" w:top="269" w:right="2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making, using selling, offering for sale, import or export of any [*****]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8.3 and 8.4</w:t>
      </w:r>
      <w:r>
        <w:rPr>
          <w:rFonts w:ascii="Arial" w:cs="Arial" w:eastAsia="Arial" w:hAnsi="Arial"/>
          <w:sz w:val="17"/>
          <w:szCs w:val="17"/>
          <w:color w:val="auto"/>
        </w:rPr>
        <w:t xml:space="preserve"> shall apply to any proceeding covered by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except that the negotiation of any license from the Third Party shall be subject to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three (3)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w:t>
      </w:r>
      <w:r>
        <w:rPr>
          <w:rFonts w:ascii="Arial" w:cs="Arial" w:eastAsia="Arial" w:hAnsi="Arial"/>
          <w:sz w:val="18"/>
          <w:szCs w:val="18"/>
          <w:color w:val="auto"/>
        </w:rPr>
        <w:t xml:space="preserve">l. Genentech may terminate this Agreement in accordance with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 and 5.3 -5.6</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Licensed Products (each a “</w:t>
      </w:r>
      <w:r>
        <w:rPr>
          <w:rFonts w:ascii="Arial" w:cs="Arial" w:eastAsia="Arial" w:hAnsi="Arial"/>
          <w:sz w:val="16"/>
          <w:szCs w:val="16"/>
          <w:u w:val="single" w:color="auto"/>
          <w:color w:val="auto"/>
        </w:rPr>
        <w:t>Termination Product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26 of 42</w:t>
            </w:r>
          </w:p>
        </w:tc>
      </w:tr>
    </w:tbl>
    <w:p>
      <w:pPr>
        <w:sectPr>
          <w:pgSz w:w="11900" w:h="16838" w:orient="portrait"/>
          <w:cols w:equalWidth="0" w:num="1">
            <w:col w:w="11420"/>
          </w:cols>
          <w:pgMar w:left="240" w:top="270" w:right="2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Genentech Licensee outside the United States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w:t>
      </w:r>
    </w:p>
    <w:p>
      <w:pPr>
        <w:spacing w:after="0" w:line="46" w:lineRule="exact"/>
        <w:rPr>
          <w:sz w:val="20"/>
          <w:szCs w:val="20"/>
          <w:color w:val="auto"/>
        </w:rPr>
      </w:pPr>
    </w:p>
    <w:p>
      <w:pPr>
        <w:ind w:right="60" w:firstLine="8"/>
        <w:spacing w:after="0" w:line="253" w:lineRule="auto"/>
        <w:tabs>
          <w:tab w:leader="none" w:pos="21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is not, on the effective date of such termination, in breach of any provisions of its sublicense agreement that materially affect ACI; (ii) agrees, in a subsequent writing, to perform and deliver directly to ACI all obligations and payments that would be due to ACI under this Agreement with respect to matters within the scope of such sublicense; and (iii) agrees, in a subsequent writing, that, regardless of Genentech’s rights and obligations to such Genentech Licensee under such sublicense, ACI’s rights and obligations to such Genentech Licensee shall be no different than ACI’s rights and obligations to Genentech under this Agreement</w:t>
      </w:r>
    </w:p>
    <w:p>
      <w:pPr>
        <w:spacing w:after="0" w:line="191"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 xml:space="preserve">9.3.2 Upon termination by Genentech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ACI, </w:t>
      </w:r>
      <w:r>
        <w:rPr>
          <w:rFonts w:ascii="Arial" w:cs="Arial" w:eastAsia="Arial" w:hAnsi="Arial"/>
          <w:sz w:val="16"/>
          <w:szCs w:val="16"/>
          <w:u w:val="single" w:color="auto"/>
          <w:color w:val="auto"/>
        </w:rPr>
        <w:t>Section 9.2.2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9.2.4</w:t>
      </w:r>
      <w:r>
        <w:rPr>
          <w:rFonts w:ascii="Arial" w:cs="Arial" w:eastAsia="Arial" w:hAnsi="Arial"/>
          <w:sz w:val="16"/>
          <w:szCs w:val="16"/>
          <w:color w:val="auto"/>
        </w:rPr>
        <w:t xml:space="preserve">, Genentech may elect, in its sole discretion, to terminate this Agreement in its entirety or to partially terminate this Agreement in accordance with the terms of </w:t>
      </w:r>
      <w:r>
        <w:rPr>
          <w:rFonts w:ascii="Arial" w:cs="Arial" w:eastAsia="Arial" w:hAnsi="Arial"/>
          <w:sz w:val="16"/>
          <w:szCs w:val="16"/>
          <w:u w:val="single" w:color="auto"/>
          <w:color w:val="auto"/>
        </w:rPr>
        <w:t>Section 9.3.2 (a)</w:t>
      </w:r>
      <w:r>
        <w:rPr>
          <w:rFonts w:ascii="Arial" w:cs="Arial" w:eastAsia="Arial" w:hAnsi="Arial"/>
          <w:sz w:val="16"/>
          <w:szCs w:val="16"/>
          <w:color w:val="auto"/>
        </w:rPr>
        <w:t>.</w:t>
      </w:r>
    </w:p>
    <w:p>
      <w:pPr>
        <w:spacing w:after="0" w:line="124" w:lineRule="exact"/>
        <w:rPr>
          <w:sz w:val="20"/>
          <w:szCs w:val="20"/>
          <w:color w:val="auto"/>
        </w:rPr>
      </w:pPr>
    </w:p>
    <w:p>
      <w:pPr>
        <w:ind w:right="80" w:firstLine="1492"/>
        <w:spacing w:after="0" w:line="297" w:lineRule="auto"/>
        <w:tabs>
          <w:tab w:leader="none" w:pos="1728"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Partial Termination</w:t>
      </w:r>
      <w:r>
        <w:rPr>
          <w:rFonts w:ascii="Arial" w:cs="Arial" w:eastAsia="Arial" w:hAnsi="Arial"/>
          <w:sz w:val="16"/>
          <w:szCs w:val="16"/>
          <w:color w:val="auto"/>
        </w:rPr>
        <w:t xml:space="preserve">. Upon Genentech’s election to partially terminate this Agreement, (i) all rights and licenses granted to ACI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the rights and obligations of the Parties under the following sections of this Agreement shall survive such termination: </w:t>
      </w:r>
      <w:r>
        <w:rPr>
          <w:rFonts w:ascii="Arial" w:cs="Arial" w:eastAsia="Arial" w:hAnsi="Arial"/>
          <w:sz w:val="16"/>
          <w:szCs w:val="16"/>
          <w:u w:val="single" w:color="auto"/>
          <w:color w:val="auto"/>
        </w:rPr>
        <w:t>Articles 3</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7, 8, 9, 10 11, 12</w:t>
      </w:r>
      <w:r>
        <w:rPr>
          <w:rFonts w:ascii="Arial" w:cs="Arial" w:eastAsia="Arial" w:hAnsi="Arial"/>
          <w:sz w:val="16"/>
          <w:szCs w:val="16"/>
          <w:color w:val="auto"/>
        </w:rPr>
        <w:t>, 13, and 14,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58" w:lineRule="exact"/>
        <w:rPr>
          <w:rFonts w:ascii="Arial" w:cs="Arial" w:eastAsia="Arial" w:hAnsi="Arial"/>
          <w:sz w:val="16"/>
          <w:szCs w:val="16"/>
          <w:color w:val="auto"/>
        </w:rPr>
      </w:pPr>
    </w:p>
    <w:p>
      <w:pPr>
        <w:ind w:right="80" w:firstLine="1492"/>
        <w:spacing w:after="0" w:line="284" w:lineRule="auto"/>
        <w:tabs>
          <w:tab w:leader="none" w:pos="1738"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Partial Termination Upon Specific Breach Events</w:t>
      </w:r>
      <w:r>
        <w:rPr>
          <w:rFonts w:ascii="Arial" w:cs="Arial" w:eastAsia="Arial" w:hAnsi="Arial"/>
          <w:sz w:val="16"/>
          <w:szCs w:val="16"/>
          <w:color w:val="auto"/>
        </w:rPr>
        <w:t xml:space="preserve">. In the case that the ACI breach that gave rise to a partial termination of this Agreement in accordance with </w:t>
      </w:r>
      <w:r>
        <w:rPr>
          <w:rFonts w:ascii="Arial" w:cs="Arial" w:eastAsia="Arial" w:hAnsi="Arial"/>
          <w:sz w:val="16"/>
          <w:szCs w:val="16"/>
          <w:u w:val="single" w:color="auto"/>
          <w:color w:val="auto"/>
        </w:rPr>
        <w:t>Section 9.3.2(a</w:t>
      </w:r>
      <w:r>
        <w:rPr>
          <w:rFonts w:ascii="Arial" w:cs="Arial" w:eastAsia="Arial" w:hAnsi="Arial"/>
          <w:sz w:val="16"/>
          <w:szCs w:val="16"/>
          <w:color w:val="auto"/>
        </w:rPr>
        <w:t xml:space="preserve">) was a breach of any of the following provisions: </w:t>
      </w:r>
      <w:r>
        <w:rPr>
          <w:rFonts w:ascii="Arial" w:cs="Arial" w:eastAsia="Arial" w:hAnsi="Arial"/>
          <w:sz w:val="16"/>
          <w:szCs w:val="16"/>
          <w:u w:val="single" w:color="auto"/>
          <w:color w:val="auto"/>
        </w:rPr>
        <w:t>Sections 2.3.2</w:t>
      </w:r>
      <w:r>
        <w:rPr>
          <w:rFonts w:ascii="Arial" w:cs="Arial" w:eastAsia="Arial" w:hAnsi="Arial"/>
          <w:sz w:val="16"/>
          <w:szCs w:val="16"/>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4.3.1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 (except Section 10.1.1(e))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then, (i) the surviving provision set forth in </w:t>
      </w:r>
      <w:r>
        <w:rPr>
          <w:rFonts w:ascii="Arial" w:cs="Arial" w:eastAsia="Arial" w:hAnsi="Arial"/>
          <w:sz w:val="16"/>
          <w:szCs w:val="16"/>
          <w:u w:val="single" w:color="auto"/>
          <w:color w:val="auto"/>
        </w:rPr>
        <w:t>Section 9.3.2(a)</w:t>
      </w:r>
      <w:r>
        <w:rPr>
          <w:rFonts w:ascii="Arial" w:cs="Arial" w:eastAsia="Arial" w:hAnsi="Arial"/>
          <w:sz w:val="16"/>
          <w:szCs w:val="16"/>
          <w:color w:val="auto"/>
        </w:rPr>
        <w:t xml:space="preserve"> shall be modified to provide that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not survive such partial termination; (ii) upon the First Commercial Sale of a Licensed Product by Genentech, the payments made by Genentech under </w:t>
      </w:r>
      <w:r>
        <w:rPr>
          <w:rFonts w:ascii="Arial" w:cs="Arial" w:eastAsia="Arial" w:hAnsi="Arial"/>
          <w:sz w:val="16"/>
          <w:szCs w:val="16"/>
          <w:u w:val="single" w:color="auto"/>
          <w:color w:val="auto"/>
        </w:rPr>
        <w:t>Sections 5.3 and 5.4</w:t>
      </w:r>
      <w:r>
        <w:rPr>
          <w:rFonts w:ascii="Arial" w:cs="Arial" w:eastAsia="Arial" w:hAnsi="Arial"/>
          <w:sz w:val="16"/>
          <w:szCs w:val="16"/>
          <w:color w:val="auto"/>
        </w:rPr>
        <w:t xml:space="preserve"> shall be creditable against royalty payments due to ACI under </w:t>
      </w:r>
      <w:r>
        <w:rPr>
          <w:rFonts w:ascii="Arial" w:cs="Arial" w:eastAsia="Arial" w:hAnsi="Arial"/>
          <w:sz w:val="16"/>
          <w:szCs w:val="16"/>
          <w:u w:val="single" w:color="auto"/>
          <w:color w:val="auto"/>
        </w:rPr>
        <w:t>Sections</w:t>
      </w:r>
    </w:p>
    <w:p>
      <w:pPr>
        <w:spacing w:after="0" w:line="4"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5.5.3 or 5.6.2</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right="220" w:firstLine="1492"/>
        <w:spacing w:after="0" w:line="277" w:lineRule="auto"/>
        <w:tabs>
          <w:tab w:leader="none" w:pos="172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5.3 and 5.4</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5.5 and 5.6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5.5.3 or 5.6.2</w:t>
      </w:r>
      <w:r>
        <w:rPr>
          <w:rFonts w:ascii="Arial" w:cs="Arial" w:eastAsia="Arial" w:hAnsi="Arial"/>
          <w:sz w:val="18"/>
          <w:szCs w:val="18"/>
          <w:color w:val="auto"/>
        </w:rPr>
        <w:t xml:space="preserve"> shall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-3190240</wp:posOffset>
            </wp:positionV>
            <wp:extent cx="5080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27 of 42</w:t>
            </w:r>
          </w:p>
        </w:tc>
      </w:tr>
    </w:tbl>
    <w:p>
      <w:pPr>
        <w:sectPr>
          <w:pgSz w:w="11900" w:h="16838" w:orient="portrait"/>
          <w:cols w:equalWidth="0" w:num="1">
            <w:col w:w="11420"/>
          </w:cols>
          <w:pgMar w:left="240" w:top="270" w:right="2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Royalties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in each calendar quarter in which ACI records Net Sales of a Termination Product, ACI shall pay to Genentech, on a Termination Product-by-Termination Product and country-by-country basis, an amount equal 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9.4.1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9.4.5 [*****] of annual Net Sales of Termination Products that are [*****]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9.4.6 [*****] of annual Net Sales of Termination Products that are [*****]</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28 of 42</w:t>
            </w:r>
          </w:p>
        </w:tc>
      </w:tr>
    </w:tbl>
    <w:p>
      <w:pPr>
        <w:sectPr>
          <w:pgSz w:w="11900" w:h="16838" w:orient="portrait"/>
          <w:cols w:equalWidth="0" w:num="1">
            <w:col w:w="11420"/>
          </w:cols>
          <w:pgMar w:left="240" w:top="270" w:right="2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ARTICLE 10: REPRESENTATIVE AMD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right="60" w:firstLine="1492"/>
        <w:spacing w:after="0" w:line="308" w:lineRule="auto"/>
        <w:tabs>
          <w:tab w:leader="none" w:pos="173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 claims of infringement, misappropriation or other conflict with any intellectual property rights or other rights owned or controlled by any Third Party have been made or, to ACI’s knowledge, threatened with respect to the ACI IP Rights existing as of the Effective Date.</w:t>
      </w:r>
    </w:p>
    <w:p>
      <w:pPr>
        <w:spacing w:after="0" w:line="146" w:lineRule="exact"/>
        <w:rPr>
          <w:rFonts w:ascii="Arial" w:cs="Arial" w:eastAsia="Arial" w:hAnsi="Arial"/>
          <w:sz w:val="17"/>
          <w:szCs w:val="17"/>
          <w:color w:val="auto"/>
        </w:rPr>
      </w:pPr>
    </w:p>
    <w:p>
      <w:pPr>
        <w:ind w:firstLine="1492"/>
        <w:spacing w:after="0" w:line="276" w:lineRule="auto"/>
        <w:tabs>
          <w:tab w:leader="none" w:pos="172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July 27, 2006,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ACI is the sole and exclusive owner of the ACE IP Rights existing as of the Effective Date free and clear of any liens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286" w:lineRule="auto"/>
        <w:tabs>
          <w:tab w:leader="none" w:pos="172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 or (ii) are conceived, reduced to practice or otherwise created by ACI during the conduct of or in connection with activities under the Research Program.</w:t>
      </w:r>
    </w:p>
    <w:p>
      <w:pPr>
        <w:spacing w:after="0" w:line="165" w:lineRule="exact"/>
        <w:rPr>
          <w:rFonts w:ascii="Arial" w:cs="Arial" w:eastAsia="Arial" w:hAnsi="Arial"/>
          <w:sz w:val="17"/>
          <w:szCs w:val="17"/>
          <w:color w:val="auto"/>
        </w:rPr>
      </w:pPr>
    </w:p>
    <w:p>
      <w:pPr>
        <w:ind w:right="600" w:firstLine="1492"/>
        <w:spacing w:after="0" w:line="264" w:lineRule="auto"/>
        <w:tabs>
          <w:tab w:leader="none" w:pos="173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29 of 42</w:t>
            </w:r>
          </w:p>
        </w:tc>
      </w:tr>
    </w:tbl>
    <w:p>
      <w:pPr>
        <w:sectPr>
          <w:pgSz w:w="11900" w:h="16838" w:orient="portrait"/>
          <w:cols w:equalWidth="0" w:num="1">
            <w:col w:w="11420"/>
          </w:cols>
          <w:pgMar w:left="240" w:top="269" w:right="2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25"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Indemnification by ACI</w:t>
      </w:r>
      <w:r>
        <w:rPr>
          <w:rFonts w:ascii="Arial" w:cs="Arial" w:eastAsia="Arial" w:hAnsi="Arial"/>
          <w:sz w:val="18"/>
          <w:szCs w:val="18"/>
          <w:color w:val="auto"/>
        </w:rPr>
        <w:t>. ACI shalt defend, indemnify and hold harmless Genentech and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Section 11.1.</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30 of 42</w:t>
            </w:r>
          </w:p>
        </w:tc>
      </w:tr>
    </w:tbl>
    <w:p>
      <w:pPr>
        <w:sectPr>
          <w:pgSz w:w="11900" w:h="16838" w:orient="portrait"/>
          <w:cols w:equalWidth="0" w:num="1">
            <w:col w:w="11420"/>
          </w:cols>
          <w:pgMar w:left="240" w:top="269" w:right="2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31 of 42</w:t>
            </w:r>
          </w:p>
        </w:tc>
      </w:tr>
    </w:tbl>
    <w:p>
      <w:pPr>
        <w:sectPr>
          <w:pgSz w:w="11900" w:h="16838" w:orient="portrait"/>
          <w:cols w:equalWidth="0" w:num="1">
            <w:col w:w="11420"/>
          </w:cols>
          <w:pgMar w:left="240" w:top="270" w:right="2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32 of 42</w:t>
            </w:r>
          </w:p>
        </w:tc>
      </w:tr>
    </w:tbl>
    <w:p>
      <w:pPr>
        <w:sectPr>
          <w:pgSz w:w="11900" w:h="16838" w:orient="portrait"/>
          <w:cols w:equalWidth="0" w:num="1">
            <w:col w:w="11420"/>
          </w:cols>
          <w:pgMar w:left="240" w:top="269"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 outline.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33 of 42</w:t>
            </w:r>
          </w:p>
        </w:tc>
      </w:tr>
    </w:tbl>
    <w:p>
      <w:pPr>
        <w:sectPr>
          <w:pgSz w:w="11900" w:h="16838" w:orient="portrait"/>
          <w:cols w:equalWidth="0" w:num="1">
            <w:col w:w="11420"/>
          </w:cols>
          <w:pgMar w:left="240" w:top="270"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ind w:right="140" w:firstLine="8"/>
        <w:spacing w:after="0" w:line="255" w:lineRule="auto"/>
        <w:tabs>
          <w:tab w:leader="none" w:pos="21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any antitrust, anti-monopoly or competition law or regulation, whether or not statutory; or (ii) the determination of validity of claims or claim interpretation relating to a Party’s patents, trademarks or copyright. Notwithstanding anything to the contrary in the foregoing provision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any Dispute relating to Genentech and/or its Affiliate(s)’s assertion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34 of 42</w:t>
            </w:r>
          </w:p>
        </w:tc>
      </w:tr>
    </w:tbl>
    <w:p>
      <w:pPr>
        <w:sectPr>
          <w:pgSz w:w="11900" w:h="16838" w:orient="portrait"/>
          <w:cols w:equalWidth="0" w:num="1">
            <w:col w:w="11420"/>
          </w:cols>
          <w:pgMar w:left="240" w:top="269" w:right="2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non-infringement of or by any of its activities with respect to ACI IP Rights, including without limitation any assertion by Genentech or its Affiliates that the making, using, selling, offering for sale and importation of any [*****] and/or Licensed Product(s) do not infringe ACI IP Rights (“</w:t>
      </w:r>
      <w:r>
        <w:rPr>
          <w:rFonts w:ascii="Arial" w:cs="Arial" w:eastAsia="Arial" w:hAnsi="Arial"/>
          <w:sz w:val="17"/>
          <w:szCs w:val="17"/>
          <w:u w:val="single" w:color="auto"/>
          <w:color w:val="auto"/>
        </w:rPr>
        <w:t>Patent Infringement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shall be subject to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provided that at least [*****] of the [*****] arbitrators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73"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Assignment and Delegation</w:t>
      </w:r>
      <w:r>
        <w:rPr>
          <w:rFonts w:ascii="Arial" w:cs="Arial" w:eastAsia="Arial" w:hAnsi="Arial"/>
          <w:sz w:val="18"/>
          <w:szCs w:val="18"/>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whether by sale, merger, operation of law or otherwise. If during the term of the Research Program, ACI makes a permitted assignment to a successor in accordance with the foregoing sentence, Genentech may terminate the Research Program upon notice without terminating this Agreement. Upon such termination of the Research Program, all Research Support Payments provided by Genentech under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cease.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shall be null and void.</w:t>
      </w:r>
    </w:p>
    <w:p>
      <w:pPr>
        <w:spacing w:after="0" w:line="19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w:t>
      </w:r>
      <w:r>
        <w:rPr>
          <w:rFonts w:ascii="Arial" w:cs="Arial" w:eastAsia="Arial" w:hAnsi="Arial"/>
          <w:sz w:val="18"/>
          <w:szCs w:val="18"/>
          <w:u w:val="single" w:color="auto"/>
          <w:color w:val="auto"/>
        </w:rPr>
        <w:t>Competitor</w:t>
      </w:r>
      <w:r>
        <w:rPr>
          <w:rFonts w:ascii="Arial" w:cs="Arial" w:eastAsia="Arial" w:hAnsi="Arial"/>
          <w:sz w:val="18"/>
          <w:szCs w:val="18"/>
          <w:color w:val="auto"/>
        </w:rPr>
        <w:t>” means any Person that conducts any research and/or development, activities, or that manufactures, promotes, markets, distributes and/or sells any products, in the biotechnology or pharmaceutical industry.</w:t>
      </w:r>
    </w:p>
    <w:p>
      <w:pPr>
        <w:spacing w:after="0" w:line="19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July 27, 2006,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35 of 42</w:t>
            </w:r>
          </w:p>
        </w:tc>
      </w:tr>
    </w:tbl>
    <w:p>
      <w:pPr>
        <w:sectPr>
          <w:pgSz w:w="11900" w:h="16838" w:orient="portrait"/>
          <w:cols w:equalWidth="0" w:num="1">
            <w:col w:w="11420"/>
          </w:cols>
          <w:pgMar w:left="240" w:top="269"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color w:val="auto"/>
              </w:rPr>
              <w:t>Notices to Genentech:</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with a required copy to:</w:t>
            </w:r>
          </w:p>
        </w:tc>
      </w:tr>
      <w:tr>
        <w:trPr>
          <w:trHeight w:val="20"/>
        </w:trPr>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1540" w:type="dxa"/>
            <w:vAlign w:val="bottom"/>
            <w:gridSpan w:val="2"/>
          </w:tcPr>
          <w:p>
            <w:pPr>
              <w:spacing w:after="0"/>
              <w:rPr>
                <w:sz w:val="20"/>
                <w:szCs w:val="20"/>
                <w:color w:val="auto"/>
              </w:rPr>
            </w:pPr>
            <w:r>
              <w:rPr>
                <w:rFonts w:ascii="Arial" w:cs="Arial" w:eastAsia="Arial" w:hAnsi="Arial"/>
                <w:sz w:val="18"/>
                <w:szCs w:val="18"/>
                <w:color w:val="auto"/>
              </w:rPr>
              <w:t>Genentech Inc.</w:t>
            </w:r>
          </w:p>
        </w:tc>
        <w:tc>
          <w:tcPr>
            <w:tcW w:w="2680" w:type="dxa"/>
            <w:vAlign w:val="bottom"/>
          </w:tcPr>
          <w:p>
            <w:pPr>
              <w:spacing w:after="0"/>
              <w:rPr>
                <w:sz w:val="24"/>
                <w:szCs w:val="24"/>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Genentech Inc.</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1 DNA Way</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1 DNA Way</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South San Francisco, CA 94080, USA</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w w:val="90"/>
              </w:rPr>
              <w:t>South San Francisco, CA 94080, USA</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Attention: Corporate Secretary</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Attention: Vice President, Alliance</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Telephone: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Management</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Facsimile: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Telephone: [*****]</w:t>
            </w:r>
          </w:p>
        </w:tc>
      </w:tr>
      <w:tr>
        <w:trPr>
          <w:trHeight w:val="230"/>
        </w:trPr>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Facsimile: [*****]</w:t>
            </w:r>
          </w:p>
        </w:tc>
      </w:tr>
      <w:tr>
        <w:trPr>
          <w:trHeight w:val="405"/>
        </w:trPr>
        <w:tc>
          <w:tcPr>
            <w:tcW w:w="4220" w:type="dxa"/>
            <w:vAlign w:val="bottom"/>
            <w:gridSpan w:val="3"/>
          </w:tcPr>
          <w:p>
            <w:pPr>
              <w:spacing w:after="0"/>
              <w:rPr>
                <w:sz w:val="20"/>
                <w:szCs w:val="20"/>
                <w:color w:val="auto"/>
              </w:rPr>
            </w:pPr>
            <w:r>
              <w:rPr>
                <w:rFonts w:ascii="Arial" w:cs="Arial" w:eastAsia="Arial" w:hAnsi="Arial"/>
                <w:sz w:val="18"/>
                <w:szCs w:val="18"/>
                <w:color w:val="auto"/>
              </w:rPr>
              <w:t>Notices to ACI:</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with a required copy to:</w:t>
            </w:r>
          </w:p>
        </w:tc>
      </w:tr>
      <w:tr>
        <w:trPr>
          <w:trHeight w:val="20"/>
        </w:trPr>
        <w:tc>
          <w:tcPr>
            <w:tcW w:w="1080" w:type="dxa"/>
            <w:vAlign w:val="bottom"/>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AC Immune</w:t>
            </w:r>
          </w:p>
        </w:tc>
        <w:tc>
          <w:tcPr>
            <w:tcW w:w="3140" w:type="dxa"/>
            <w:vAlign w:val="bottom"/>
            <w:gridSpan w:val="2"/>
          </w:tcPr>
          <w:p>
            <w:pPr>
              <w:spacing w:after="0"/>
              <w:rPr>
                <w:sz w:val="24"/>
                <w:szCs w:val="24"/>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VISCHER Attorneys at law</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Parc scientifique EPFL, PSE-B,</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Aeschenvorstadt 4</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CH-1015 Lausanne, Switzerland</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CH-4051 Basel, Switzerland</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Attention: CEO</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Telephone: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Telephone: [*****]</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Facsimile: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36 of 42</w:t>
            </w:r>
          </w:p>
        </w:tc>
      </w:tr>
    </w:tbl>
    <w:p>
      <w:pPr>
        <w:sectPr>
          <w:pgSz w:w="11900" w:h="16838" w:orient="portrait"/>
          <w:cols w:equalWidth="0" w:num="1">
            <w:col w:w="11420"/>
          </w:cols>
          <w:pgMar w:left="240" w:top="270" w:right="2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18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37 of 42</w:t>
            </w:r>
          </w:p>
        </w:tc>
      </w:tr>
    </w:tbl>
    <w:p>
      <w:pPr>
        <w:sectPr>
          <w:pgSz w:w="11900" w:h="16838" w:orient="portrait"/>
          <w:cols w:equalWidth="0" w:num="1">
            <w:col w:w="11420"/>
          </w:cols>
          <w:pgMar w:left="240" w:top="269" w:right="2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6060" w:type="dxa"/>
            <w:vAlign w:val="bottom"/>
            <w:gridSpan w:val="3"/>
          </w:tcPr>
          <w:p>
            <w:pPr>
              <w:ind w:left="66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spacing w:after="0"/>
              <w:rPr>
                <w:sz w:val="20"/>
                <w:szCs w:val="20"/>
                <w:color w:val="auto"/>
              </w:rPr>
            </w:pPr>
            <w:r>
              <w:rPr>
                <w:rFonts w:ascii="Arial" w:cs="Arial" w:eastAsia="Arial" w:hAnsi="Arial"/>
                <w:sz w:val="18"/>
                <w:szCs w:val="18"/>
                <w:color w:val="auto"/>
              </w:rPr>
              <w:t>/s/ Arthur D. Levinson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D. Levinson</w:t>
            </w: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Mader</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 Mader</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38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18"/>
                <w:szCs w:val="18"/>
                <w:color w:val="auto"/>
              </w:rPr>
              <w:t>Research Collaboration and License Agreement</w:t>
            </w:r>
          </w:p>
        </w:tc>
        <w:tc>
          <w:tcPr>
            <w:tcW w:w="1260" w:type="dxa"/>
            <w:vAlign w:val="bottom"/>
          </w:tcPr>
          <w:p>
            <w:pPr>
              <w:spacing w:after="0"/>
              <w:rPr>
                <w:sz w:val="21"/>
                <w:szCs w:val="21"/>
                <w:color w:val="auto"/>
              </w:rPr>
            </w:pPr>
          </w:p>
        </w:tc>
        <w:tc>
          <w:tcPr>
            <w:tcW w:w="4800" w:type="dxa"/>
            <w:vAlign w:val="bottom"/>
            <w:gridSpan w:val="2"/>
          </w:tcPr>
          <w:p>
            <w:pPr>
              <w:ind w:left="4180"/>
              <w:spacing w:after="0"/>
              <w:rPr>
                <w:sz w:val="20"/>
                <w:szCs w:val="20"/>
                <w:color w:val="auto"/>
              </w:rPr>
            </w:pPr>
            <w:r>
              <w:rPr>
                <w:rFonts w:ascii="Arial" w:cs="Arial" w:eastAsia="Arial" w:hAnsi="Arial"/>
                <w:sz w:val="18"/>
                <w:szCs w:val="18"/>
                <w:color w:val="auto"/>
                <w:w w:val="92"/>
              </w:rPr>
              <w:t>38 of 42</w:t>
            </w:r>
          </w:p>
        </w:tc>
      </w:tr>
    </w:tbl>
    <w:p>
      <w:pPr>
        <w:sectPr>
          <w:pgSz w:w="11900" w:h="16838" w:orient="portrait"/>
          <w:cols w:equalWidth="0" w:num="1">
            <w:col w:w="11420"/>
          </w:cols>
          <w:pgMar w:left="240" w:top="270" w:right="2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ind w:left="660"/>
              <w:spacing w:after="0"/>
              <w:rPr>
                <w:sz w:val="20"/>
                <w:szCs w:val="20"/>
                <w:color w:val="auto"/>
              </w:rPr>
            </w:pPr>
            <w:r>
              <w:rPr>
                <w:rFonts w:ascii="Arial" w:cs="Arial" w:eastAsia="Arial" w:hAnsi="Arial"/>
                <w:sz w:val="14"/>
                <w:szCs w:val="14"/>
                <w:b w:val="1"/>
                <w:bCs w:val="1"/>
                <w:color w:val="auto"/>
              </w:rPr>
              <w:t>Applicant</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Application No</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Application date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lapsed</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230"/>
        </w:trPr>
        <w:tc>
          <w:tcPr>
            <w:tcW w:w="1880" w:type="dxa"/>
            <w:vAlign w:val="bottom"/>
          </w:tcPr>
          <w:p>
            <w:pPr>
              <w:ind w:left="68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79"/>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76"/>
              <w:spacing w:after="0"/>
              <w:rPr>
                <w:sz w:val="20"/>
                <w:szCs w:val="20"/>
                <w:color w:val="auto"/>
              </w:rPr>
            </w:pPr>
            <w:r>
              <w:rPr>
                <w:rFonts w:ascii="Arial" w:cs="Arial" w:eastAsia="Arial" w:hAnsi="Arial"/>
                <w:sz w:val="18"/>
                <w:szCs w:val="18"/>
                <w:color w:val="auto"/>
              </w:rPr>
              <w:t>[*****]</w:t>
            </w:r>
          </w:p>
        </w:tc>
      </w:tr>
      <w:tr>
        <w:trPr>
          <w:trHeight w:val="203"/>
        </w:trPr>
        <w:tc>
          <w:tcPr>
            <w:tcW w:w="4000" w:type="dxa"/>
            <w:vAlign w:val="bottom"/>
            <w:tcBorders>
              <w:bottom w:val="single" w:sz="8" w:color="auto"/>
            </w:tcBorders>
            <w:gridSpan w:val="2"/>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Research Collaboration and License Agreement</w:t>
            </w:r>
          </w:p>
        </w:tc>
        <w:tc>
          <w:tcPr>
            <w:tcW w:w="16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ind w:left="1180"/>
              <w:spacing w:after="0"/>
              <w:rPr>
                <w:sz w:val="20"/>
                <w:szCs w:val="20"/>
                <w:color w:val="auto"/>
              </w:rPr>
            </w:pPr>
            <w:r>
              <w:rPr>
                <w:rFonts w:ascii="Arial" w:cs="Arial" w:eastAsia="Arial" w:hAnsi="Arial"/>
                <w:sz w:val="18"/>
                <w:szCs w:val="18"/>
                <w:color w:val="auto"/>
                <w:w w:val="89"/>
              </w:rPr>
              <w:t>39 of 42</w:t>
            </w:r>
          </w:p>
        </w:tc>
      </w:tr>
    </w:tbl>
    <w:p>
      <w:pPr>
        <w:sectPr>
          <w:pgSz w:w="11900" w:h="16838" w:orient="portrait"/>
          <w:cols w:equalWidth="0" w:num="1">
            <w:col w:w="11420"/>
          </w:cols>
          <w:pgMar w:left="240" w:top="270"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Plan (Draft 30.10.2006)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R&amp;D Detail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40 of 42</w:t>
            </w:r>
          </w:p>
        </w:tc>
      </w:tr>
    </w:tbl>
    <w:p>
      <w:pPr>
        <w:sectPr>
          <w:pgSz w:w="11900" w:h="16838" w:orient="portrait"/>
          <w:cols w:equalWidth="0" w:num="1">
            <w:col w:w="11420"/>
          </w:cols>
          <w:pgMar w:left="240" w:top="270" w:right="2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Budget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41 of 42</w:t>
            </w:r>
          </w:p>
        </w:tc>
      </w:tr>
    </w:tbl>
    <w:p>
      <w:pPr>
        <w:sectPr>
          <w:pgSz w:w="11900" w:h="16838" w:orient="portrait"/>
          <w:cols w:equalWidth="0" w:num="1">
            <w:col w:w="11420"/>
          </w:cols>
          <w:pgMar w:left="240" w:top="270"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Budget by Subproject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42 of 42</w:t>
            </w:r>
          </w:p>
        </w:tc>
      </w:tr>
    </w:tbl>
    <w:p>
      <w:pPr>
        <w:sectPr>
          <w:pgSz w:w="11900" w:h="16838" w:orient="portrait"/>
          <w:cols w:equalWidth="0" w:num="1">
            <w:col w:w="11420"/>
          </w:cols>
          <w:pgMar w:left="240" w:top="269"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5" w:lineRule="exact"/>
        <w:rPr>
          <w:sz w:val="20"/>
          <w:szCs w:val="20"/>
          <w:color w:val="auto"/>
        </w:rPr>
      </w:pPr>
    </w:p>
    <w:p>
      <w:pPr>
        <w:jc w:val="both"/>
        <w:ind w:right="180" w:firstLine="456"/>
        <w:spacing w:after="0" w:line="289" w:lineRule="auto"/>
        <w:rPr>
          <w:sz w:val="20"/>
          <w:szCs w:val="20"/>
          <w:color w:val="auto"/>
        </w:rPr>
      </w:pPr>
      <w:r>
        <w:rPr>
          <w:rFonts w:ascii="Arial" w:cs="Arial" w:eastAsia="Arial" w:hAnsi="Arial"/>
          <w:sz w:val="16"/>
          <w:szCs w:val="16"/>
          <w:color w:val="auto"/>
        </w:rPr>
        <w:t>This Research Collaboration and License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the 15th day of June 2012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AC Immune SA Corporation, a Swiss corporation with a principal place of business at Parc scientifique EPFL, PSE-B, CH-1015 Lausanne, Switzerland (“</w:t>
      </w:r>
      <w:r>
        <w:rPr>
          <w:rFonts w:ascii="Arial" w:cs="Arial" w:eastAsia="Arial" w:hAnsi="Arial"/>
          <w:sz w:val="16"/>
          <w:szCs w:val="16"/>
          <w:b w:val="1"/>
          <w:bCs w:val="1"/>
          <w:color w:val="auto"/>
        </w:rPr>
        <w:t>ACI</w:t>
      </w:r>
      <w:r>
        <w:rPr>
          <w:rFonts w:ascii="Arial" w:cs="Arial" w:eastAsia="Arial" w:hAnsi="Arial"/>
          <w:sz w:val="16"/>
          <w:szCs w:val="16"/>
          <w:color w:val="auto"/>
        </w:rPr>
        <w:t>”) and Genentech, Inc., a Delaware corporation, with offices located at 1 DNA Way, South San Francisco, CA 94080 (“</w:t>
      </w:r>
      <w:r>
        <w:rPr>
          <w:rFonts w:ascii="Arial" w:cs="Arial" w:eastAsia="Arial" w:hAnsi="Arial"/>
          <w:sz w:val="16"/>
          <w:szCs w:val="16"/>
          <w:b w:val="1"/>
          <w:bCs w:val="1"/>
          <w:color w:val="auto"/>
        </w:rPr>
        <w:t>GNE</w:t>
      </w:r>
      <w:r>
        <w:rPr>
          <w:rFonts w:ascii="Arial" w:cs="Arial" w:eastAsia="Arial" w:hAnsi="Arial"/>
          <w:sz w:val="16"/>
          <w:szCs w:val="16"/>
          <w:color w:val="auto"/>
        </w:rPr>
        <w:t>”) and 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Hoffmann-La Roche Ltd, a Swiss corporation with its principal place of business at Grenzacherstrasse 124, CH 4070 Basel, Switzerland (“</w:t>
      </w:r>
      <w:r>
        <w:rPr>
          <w:rFonts w:ascii="Arial" w:cs="Arial" w:eastAsia="Arial" w:hAnsi="Arial"/>
          <w:sz w:val="17"/>
          <w:szCs w:val="17"/>
          <w:b w:val="1"/>
          <w:bCs w:val="1"/>
          <w:color w:val="auto"/>
        </w:rPr>
        <w:t>Roche</w:t>
      </w:r>
      <w:r>
        <w:rPr>
          <w:rFonts w:ascii="Arial" w:cs="Arial" w:eastAsia="Arial" w:hAnsi="Arial"/>
          <w:sz w:val="17"/>
          <w:szCs w:val="17"/>
          <w:color w:val="auto"/>
        </w:rPr>
        <w:t>”) (GNE and Roche, collectively, “</w:t>
      </w:r>
      <w:r>
        <w:rPr>
          <w:rFonts w:ascii="Arial" w:cs="Arial" w:eastAsia="Arial" w:hAnsi="Arial"/>
          <w:sz w:val="17"/>
          <w:szCs w:val="17"/>
          <w:b w:val="1"/>
          <w:bCs w:val="1"/>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ACI possesses certain expertise and proprietary technologies related to antibody products that interact with tau protein and its derivatives.</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tau protein and its derivatives for the diagnosis, prevention and treatment of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research, develop and commercialize antibody products that interact with tau protein derivatives for the selection and evaluation of patients and the treatment of Alzheimer’s disease and other indications in exchange for upfront,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Tau-Active Antibodies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ACI IP Rights</w:t>
      </w:r>
      <w:r>
        <w:rPr>
          <w:rFonts w:ascii="Arial" w:cs="Arial" w:eastAsia="Arial" w:hAnsi="Arial"/>
          <w:sz w:val="18"/>
          <w:szCs w:val="18"/>
          <w:color w:val="auto"/>
        </w:rPr>
        <w:t xml:space="preserve">” means (i) all Patents which claim Tau-Active Antibodies (including assays, and methods of immunization to generate, methods of making or methods of using any of the foregoing) or methods of screening or detecting Tau interaction, binding or modulation activity, which Patents include but are not limited to those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and (ii) all other intellectual property rights in and to Know-How related to Licensed Products and Tau-Active Antibodies (including assays, and methods of immunization to generate, methods of making or methods of using any of the foregoing) or methods of screening or detecting Tau interaction, binding or modulation activity; in each case (a) owned or Controlled by ACI or its Affiliates as of the Effective Date or during the Term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1" w:right="2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Agreement, which shall include (A) those antibodies that have been generated as of the Effective Date utilizing the antigens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but have not yet been sequenced or characterized and (B) those antibodies that will be generated by ACI through the use of the antigens listed on Exhibit C (each in clauses (A) and (B), a “</w:t>
      </w:r>
      <w:r>
        <w:rPr>
          <w:rFonts w:ascii="Arial" w:cs="Arial" w:eastAsia="Arial" w:hAnsi="Arial"/>
          <w:sz w:val="17"/>
          <w:szCs w:val="17"/>
          <w:u w:val="single" w:color="auto"/>
          <w:color w:val="auto"/>
        </w:rPr>
        <w:t>Discovery Antibody</w:t>
      </w:r>
      <w:r>
        <w:rPr>
          <w:rFonts w:ascii="Arial" w:cs="Arial" w:eastAsia="Arial" w:hAnsi="Arial"/>
          <w:sz w:val="17"/>
          <w:szCs w:val="17"/>
          <w:color w:val="auto"/>
        </w:rPr>
        <w:t>” or collectively the “</w:t>
      </w:r>
      <w:r>
        <w:rPr>
          <w:rFonts w:ascii="Arial" w:cs="Arial" w:eastAsia="Arial" w:hAnsi="Arial"/>
          <w:sz w:val="17"/>
          <w:szCs w:val="17"/>
          <w:u w:val="single" w:color="auto"/>
          <w:color w:val="auto"/>
        </w:rPr>
        <w:t>Discovery Antibodies</w:t>
      </w:r>
      <w:r>
        <w:rPr>
          <w:rFonts w:ascii="Arial" w:cs="Arial" w:eastAsia="Arial" w:hAnsi="Arial"/>
          <w:sz w:val="17"/>
          <w:szCs w:val="17"/>
          <w:color w:val="auto"/>
        </w:rPr>
        <w:t>”) (b) excluding (1) any [*****], (2) any claims which are specific to [*****], but in each case except to the extent rights to and under such claims which are specific to a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Tau-Active Antibodies [*****] Tau.</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 Tau-Active Antibody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disease condition, [*****].</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1.9</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For purposes of this Agreement, with respect to Genentech, 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not include [*****] and its successors, or any entity that controls, is controlled by or is under common control with [*****], in each case that is not controlled by Genentech unless and until GNE [*****] provides written notice to ACI specifying [*****] as an Affiliate of Genentech.</w:t>
      </w:r>
    </w:p>
    <w:p>
      <w:pPr>
        <w:spacing w:after="0" w:line="193"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Blocking Third Party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5.7.2</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14.3.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0"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March 18, 2010, as amended) and whether provided orally, electronically, visually, or in writing; (ii) all copies of the information and materials described in (i) above; and (iii) 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 (c) 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6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with respect to Know How or Patent rights either (i) physical possession or the right to such physical possession of those items, with the right to provide them to Third Parties; or</w:t>
      </w:r>
    </w:p>
    <w:p>
      <w:pPr>
        <w:ind w:right="320" w:firstLine="8"/>
        <w:spacing w:after="0" w:line="261" w:lineRule="auto"/>
        <w:tabs>
          <w:tab w:leader="none" w:pos="26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rights sufficient to grant the applicable license or sublicense under this Agreement, in each case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Diagnostic Field</w:t>
      </w:r>
      <w:r>
        <w:rPr>
          <w:rFonts w:ascii="Arial" w:cs="Arial" w:eastAsia="Arial" w:hAnsi="Arial"/>
          <w:sz w:val="17"/>
          <w:szCs w:val="17"/>
          <w:color w:val="auto"/>
        </w:rPr>
        <w:t>” means the detection and/or quantification of the presence or amount of an analyte in body fluids or tissue that affects the pathogenesis of any disease or a biological marker or a set of biological markers shown to indicate a predisposition to any disease.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Diagnostic Net Sales</w:t>
      </w:r>
      <w:r>
        <w:rPr>
          <w:rFonts w:ascii="Arial" w:cs="Arial" w:eastAsia="Arial" w:hAnsi="Arial"/>
          <w:sz w:val="18"/>
          <w:szCs w:val="18"/>
          <w:color w:val="auto"/>
        </w:rPr>
        <w:t>” mean, with respect to sales or other dispositions of a Diagnostic Product, [*****]</w:t>
      </w:r>
    </w:p>
    <w:p>
      <w:pPr>
        <w:spacing w:after="0" w:line="131"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70"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product, method or technologies in the form of a device, compound, kit or service that contains a Tau Active Antibody for use in the Diagnostic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Discovery Antibody IP Rights</w:t>
      </w:r>
      <w:r>
        <w:rPr>
          <w:rFonts w:ascii="Arial" w:cs="Arial" w:eastAsia="Arial" w:hAnsi="Arial"/>
          <w:sz w:val="18"/>
          <w:szCs w:val="18"/>
          <w:color w:val="auto"/>
        </w:rPr>
        <w:t>” means a Valid Patent Claim within the ACI IP Rights that Covers a Discovery Antibody.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Discovery Antibody(ies)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ED-Go Decision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means, with respect to an application for Marketing Approval that such application has been filed with and accepted for review by the appropriate Regulatory Authority.</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0"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 Tau-Active Antibody (including a method of making or using a Tau-Active Antibody) or assays, methods of screening or detecting Tau interaction and (ii) all other intellectual property rights, or rights in confidential or proprietary information, relating to a Tau-Active Antibody; in each case owned or Controlled by GNE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Licensee(s)</w:t>
      </w:r>
      <w:r>
        <w:rPr>
          <w:rFonts w:ascii="Arial" w:cs="Arial" w:eastAsia="Arial" w:hAnsi="Arial"/>
          <w:sz w:val="18"/>
          <w:szCs w:val="18"/>
          <w:color w:val="auto"/>
        </w:rPr>
        <w:t>” means any Third Party which enters into an agreement with Genentech or an Affiliate of Genentech involving the grant to such Third Party of a right to make, use, sell, offer for sale or import a Tau-Active Antibody or Licensed Product or a sublicense under any of the licenses granted to Genentech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IFRS</w:t>
      </w:r>
      <w:r>
        <w:rPr>
          <w:rFonts w:ascii="Arial" w:cs="Arial" w:eastAsia="Arial" w:hAnsi="Arial"/>
          <w:sz w:val="18"/>
          <w:szCs w:val="18"/>
          <w:color w:val="auto"/>
        </w:rPr>
        <w:t>” shall mean the International Financial Reporting Standards (IFRS), consistently applied.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u w:val="single" w:color="auto"/>
          <w:color w:val="auto"/>
        </w:rPr>
        <w:t>Know-How</w:t>
      </w:r>
      <w:r>
        <w:rPr>
          <w:rFonts w:ascii="Arial" w:cs="Arial" w:eastAsia="Arial" w:hAnsi="Arial"/>
          <w:sz w:val="16"/>
          <w:szCs w:val="16"/>
          <w:color w:val="auto"/>
        </w:rPr>
        <w:t>” means all compositions of matter, techniques and data and other know-how and technical information, including inventions (whether or not patentable), improvements and developments, practices, methods, concepts, know-how, trade secrets, documents, computer data, computer code, apparatus, clinical and regulatory strategies, test data, analytical and quality control data, formulation, manufacturing, patent data or descriptions, development information, drawings, specifications, designs, plans, proposals and technical data and manuals and all other proprietary information.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1.46 “</w:t>
      </w:r>
      <w:r>
        <w:rPr>
          <w:rFonts w:ascii="Arial" w:cs="Arial" w:eastAsia="Arial" w:hAnsi="Arial"/>
          <w:sz w:val="17"/>
          <w:szCs w:val="17"/>
          <w:u w:val="single" w:color="auto"/>
          <w:color w:val="auto"/>
        </w:rPr>
        <w:t>Licensed Product(s)</w:t>
      </w:r>
      <w:r>
        <w:rPr>
          <w:rFonts w:ascii="Arial" w:cs="Arial" w:eastAsia="Arial" w:hAnsi="Arial"/>
          <w:sz w:val="17"/>
          <w:szCs w:val="17"/>
          <w:color w:val="auto"/>
        </w:rPr>
        <w:t>” means (i) any product containing a Tau-Active Antibody for use in the Therapeutics Field or (ii) a Diagnostic Product.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69"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Net Sales</w:t>
      </w:r>
      <w:r>
        <w:rPr>
          <w:rFonts w:ascii="Arial" w:cs="Arial" w:eastAsia="Arial" w:hAnsi="Arial"/>
          <w:sz w:val="18"/>
          <w:szCs w:val="18"/>
          <w:color w:val="auto"/>
        </w:rPr>
        <w:t>” of a Licensed Product in a particular period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69"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Therapeutic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Therapeutic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Therapeutic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70"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Tau-Active Antibody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u w:val="single" w:color="auto"/>
          <w:color w:val="auto"/>
        </w:rPr>
        <w:t>Program IP Rights</w:t>
      </w:r>
      <w:r>
        <w:rPr>
          <w:rFonts w:ascii="Arial" w:cs="Arial" w:eastAsia="Arial" w:hAnsi="Arial"/>
          <w:sz w:val="17"/>
          <w:szCs w:val="17"/>
          <w:color w:val="auto"/>
        </w:rPr>
        <w:t>” means (i) all Patents which claim a (including a method of making or using) Know 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xml:space="preserve">” or “Prosecute and Maintain,”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70"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1.63 “</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means any national (</w:t>
      </w:r>
      <w:r>
        <w:rPr>
          <w:rFonts w:ascii="Arial" w:cs="Arial" w:eastAsia="Arial" w:hAnsi="Arial"/>
          <w:sz w:val="17"/>
          <w:szCs w:val="17"/>
          <w:i w:val="1"/>
          <w:iCs w:val="1"/>
          <w:color w:val="auto"/>
        </w:rPr>
        <w:t>e.g</w:t>
      </w:r>
      <w:r>
        <w:rPr>
          <w:rFonts w:ascii="Arial" w:cs="Arial" w:eastAsia="Arial" w:hAnsi="Arial"/>
          <w:sz w:val="17"/>
          <w:szCs w:val="17"/>
          <w:color w:val="auto"/>
        </w:rPr>
        <w:t>., the FDA), supra-national (</w:t>
      </w:r>
      <w:r>
        <w:rPr>
          <w:rFonts w:ascii="Arial" w:cs="Arial" w:eastAsia="Arial" w:hAnsi="Arial"/>
          <w:sz w:val="17"/>
          <w:szCs w:val="17"/>
          <w:i w:val="1"/>
          <w:iCs w:val="1"/>
          <w:color w:val="auto"/>
        </w:rPr>
        <w:t>e.g</w:t>
      </w:r>
      <w:r>
        <w:rPr>
          <w:rFonts w:ascii="Arial" w:cs="Arial" w:eastAsia="Arial" w:hAnsi="Arial"/>
          <w:sz w:val="17"/>
          <w:szCs w:val="17"/>
          <w:color w:val="auto"/>
        </w:rPr>
        <w:t>., the EMA), regional, state or local regulatory agency, department, bureau, commission, council or other governmental entity, in any jurisdiction of the world, involved in the granting of Marketing Approval.</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Research Program</w:t>
      </w:r>
      <w:r>
        <w:rPr>
          <w:rFonts w:ascii="Arial" w:cs="Arial" w:eastAsia="Arial" w:hAnsi="Arial"/>
          <w:sz w:val="18"/>
          <w:szCs w:val="18"/>
          <w:color w:val="auto"/>
        </w:rPr>
        <w:t>” means the program of research and preclinical development the Parties engage in under this Agreement, which program is set forth on the Research Plan.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Tau</w:t>
      </w:r>
      <w:r>
        <w:rPr>
          <w:rFonts w:ascii="Arial" w:cs="Arial" w:eastAsia="Arial" w:hAnsi="Arial"/>
          <w:sz w:val="18"/>
          <w:szCs w:val="18"/>
          <w:color w:val="auto"/>
        </w:rPr>
        <w:t>” means the microtubule-associated protein known as tau and all isoforms thereof.</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Tau-Active Antibody</w:t>
      </w:r>
      <w:r>
        <w:rPr>
          <w:rFonts w:ascii="Arial" w:cs="Arial" w:eastAsia="Arial" w:hAnsi="Arial"/>
          <w:sz w:val="18"/>
          <w:szCs w:val="18"/>
          <w:color w:val="auto"/>
        </w:rPr>
        <w:t>” means any antibody protein, including variants, modifications, fragments or derivatives thereof, that binds to and interacts with or modulates Tau or variants, modifications, derivatives or fragments of Tau.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1.71 “</w:t>
      </w:r>
      <w:r>
        <w:rPr>
          <w:rFonts w:ascii="Arial" w:cs="Arial" w:eastAsia="Arial" w:hAnsi="Arial"/>
          <w:sz w:val="17"/>
          <w:szCs w:val="17"/>
          <w:u w:val="single" w:color="auto"/>
          <w:color w:val="auto"/>
        </w:rPr>
        <w:t>Termination Product</w:t>
      </w:r>
      <w:r>
        <w:rPr>
          <w:rFonts w:ascii="Arial" w:cs="Arial" w:eastAsia="Arial" w:hAnsi="Arial"/>
          <w:sz w:val="17"/>
          <w:szCs w:val="17"/>
          <w:color w:val="auto"/>
        </w:rPr>
        <w:t>” means a Therapeutic Product that (a) exists as of the date of termination (but not expiration) of this Agreement and</w:t>
      </w:r>
    </w:p>
    <w:p>
      <w:pPr>
        <w:spacing w:after="0" w:line="35" w:lineRule="exact"/>
        <w:rPr>
          <w:sz w:val="20"/>
          <w:szCs w:val="20"/>
          <w:color w:val="auto"/>
        </w:rPr>
      </w:pPr>
    </w:p>
    <w:p>
      <w:pPr>
        <w:ind w:left="460" w:right="8060" w:hanging="452"/>
        <w:spacing w:after="0" w:line="554" w:lineRule="auto"/>
        <w:tabs>
          <w:tab w:leader="none" w:pos="25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contains [*****] as an active ingredient. 1.72 “</w:t>
      </w:r>
      <w:r>
        <w:rPr>
          <w:rFonts w:ascii="Arial" w:cs="Arial" w:eastAsia="Arial" w:hAnsi="Arial"/>
          <w:sz w:val="16"/>
          <w:szCs w:val="16"/>
          <w:u w:val="single" w:color="auto"/>
          <w:color w:val="auto"/>
        </w:rPr>
        <w:t>Territory</w:t>
      </w:r>
      <w:r>
        <w:rPr>
          <w:rFonts w:ascii="Arial" w:cs="Arial" w:eastAsia="Arial" w:hAnsi="Arial"/>
          <w:sz w:val="16"/>
          <w:szCs w:val="16"/>
          <w:color w:val="auto"/>
        </w:rPr>
        <w:t>” means the entire world.</w:t>
      </w:r>
    </w:p>
    <w:p>
      <w:pPr>
        <w:spacing w:after="0" w:line="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1.74 “</w:t>
      </w:r>
      <w:r>
        <w:rPr>
          <w:rFonts w:ascii="Arial" w:cs="Arial" w:eastAsia="Arial" w:hAnsi="Arial"/>
          <w:sz w:val="16"/>
          <w:szCs w:val="16"/>
          <w:u w:val="single" w:color="auto"/>
          <w:color w:val="auto"/>
        </w:rPr>
        <w:t>Therapeutic Product</w:t>
      </w:r>
      <w:r>
        <w:rPr>
          <w:rFonts w:ascii="Arial" w:cs="Arial" w:eastAsia="Arial" w:hAnsi="Arial"/>
          <w:sz w:val="16"/>
          <w:szCs w:val="16"/>
          <w:color w:val="auto"/>
        </w:rPr>
        <w:t>” means any Licensed Product developed and/or marketed for use in the Therapeutic Field, but expressly excluding [*****].</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Tau or any variant, derivative, modification, or fragment of Tau for use as a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70" w:right="2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Research Program Overview and Responsibilities</w:t>
      </w:r>
      <w:r>
        <w:rPr>
          <w:rFonts w:ascii="Arial" w:cs="Arial" w:eastAsia="Arial" w:hAnsi="Arial"/>
          <w:sz w:val="16"/>
          <w:szCs w:val="16"/>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The JRC</w:t>
      </w:r>
      <w:r>
        <w:rPr>
          <w:rFonts w:ascii="Arial" w:cs="Arial" w:eastAsia="Arial" w:hAnsi="Arial"/>
          <w:sz w:val="17"/>
          <w:szCs w:val="17"/>
          <w:color w:val="auto"/>
        </w:rPr>
        <w:t>. Within [*****] days after the Effective Date, the Parties shall establish a committee to oversee the Research Program, and to plan and coordinate the activities under the Research Plan (“</w:t>
      </w:r>
      <w:r>
        <w:rPr>
          <w:rFonts w:ascii="Arial" w:cs="Arial" w:eastAsia="Arial" w:hAnsi="Arial"/>
          <w:sz w:val="17"/>
          <w:szCs w:val="17"/>
          <w:u w:val="single" w:color="auto"/>
          <w:color w:val="auto"/>
        </w:rPr>
        <w:t>Joint Research Committee</w:t>
      </w:r>
      <w:r>
        <w:rPr>
          <w:rFonts w:ascii="Arial" w:cs="Arial" w:eastAsia="Arial" w:hAnsi="Arial"/>
          <w:sz w:val="17"/>
          <w:szCs w:val="17"/>
          <w:color w:val="auto"/>
        </w:rPr>
        <w:t>” or “</w:t>
      </w:r>
      <w:r>
        <w:rPr>
          <w:rFonts w:ascii="Arial" w:cs="Arial" w:eastAsia="Arial" w:hAnsi="Arial"/>
          <w:sz w:val="17"/>
          <w:szCs w:val="17"/>
          <w:u w:val="single" w:color="auto"/>
          <w:color w:val="auto"/>
        </w:rPr>
        <w:t>JRC</w:t>
      </w:r>
      <w:r>
        <w:rPr>
          <w:rFonts w:ascii="Arial" w:cs="Arial" w:eastAsia="Arial" w:hAnsi="Arial"/>
          <w:sz w:val="17"/>
          <w:szCs w:val="17"/>
          <w:color w:val="auto"/>
        </w:rPr>
        <w:t>”). The JRC will be composed of three (3) representatives designated by each Party (or such other number as the Parties may agree, provided that each of the Parties shall have the same number of JRC members). Representatives must be appropriate for the tasks then being undertaken and the stage of research or pre-clinical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Meetings</w:t>
      </w:r>
      <w:r>
        <w:rPr>
          <w:rFonts w:ascii="Arial" w:cs="Arial" w:eastAsia="Arial" w:hAnsi="Arial"/>
          <w:sz w:val="17"/>
          <w:szCs w:val="17"/>
          <w:color w:val="auto"/>
        </w:rPr>
        <w:t xml:space="preserve">. The JRC shall meet at such times as are unanimously agreed to by the JRC members, but no less than once each calendar quarter. Such meetings may be in-person, via videoconference, 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he JRC shall record all decisions made, and otherwise take minutes as appropriate. Genentech shall have the responsibility for keeping minutes.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17" w:lineRule="exact"/>
        <w:rPr>
          <w:sz w:val="20"/>
          <w:szCs w:val="20"/>
          <w:color w:val="auto"/>
        </w:rPr>
      </w:pPr>
    </w:p>
    <w:p>
      <w:pPr>
        <w:ind w:left="1120" w:hanging="217"/>
        <w:spacing w:after="0"/>
        <w:tabs>
          <w:tab w:leader="none" w:pos="11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review the allocation of resources and efforts for the Research Program;</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69" w:right="2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right="220" w:firstLine="443"/>
        <w:spacing w:after="0" w:line="277" w:lineRule="auto"/>
        <w:tabs>
          <w:tab w:leader="none" w:pos="12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jc w:val="both"/>
        <w:ind w:firstLine="8"/>
        <w:spacing w:after="0" w:line="302" w:lineRule="auto"/>
        <w:tabs>
          <w:tab w:leader="none" w:pos="24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 reasonable amount of research materials [*****] and (b) other Know-How related to the rights granted to Genentech by this Agreement in ACI’s control as of the Effective Date. On an ongoing basis during the Term, ACI shall, as determined by the JRC, deliver to Genentech: (i) a reasonable amount of research materials [*****] and (ii) other Know-How created under the Research Plan or otherwise obtained by ACI and not already in Genentech’s possession.</w:t>
      </w:r>
    </w:p>
    <w:p>
      <w:pPr>
        <w:spacing w:after="0" w:line="15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Written Reports</w:t>
      </w:r>
      <w:r>
        <w:rPr>
          <w:rFonts w:ascii="Arial" w:cs="Arial" w:eastAsia="Arial" w:hAnsi="Arial"/>
          <w:sz w:val="16"/>
          <w:szCs w:val="16"/>
          <w:color w:val="auto"/>
        </w:rPr>
        <w:t>. At least once every calendar quarter during the Research Term and within [*****] following the end of the Research Term,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antibodies made or discovered, the results of in vitro and in vivo studies, any inventions conceived or reduced to practice, on at least a calendar quarter basis; (c) raw data for research undertaken under the Research Program, upon request of Genentech; and (d) a list of the CROs performing activities during that calendar quarter and a brief summary of the work performed by each CRO.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Subcontracting</w:t>
      </w:r>
      <w:r>
        <w:rPr>
          <w:rFonts w:ascii="Arial" w:cs="Arial" w:eastAsia="Arial" w:hAnsi="Arial"/>
          <w:sz w:val="18"/>
          <w:szCs w:val="18"/>
          <w:color w:val="auto"/>
        </w:rPr>
        <w:t>. ACI may use CROs or research institutions to outsource some of its activities under the Research Plan provided that ACI shall delegate such responsibilities to CROs or research institutions in writing. All individual contractors or consultants performing any of ACI’s activities under a Research Plan must have entered into a written agreement with ACI that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in conducting such activities. ACI is responsible for compliance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69"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CROs, research institutions and Third Party FTEs with the terms and conditions of this Agreement as if those CROs, research institutions and Third Party FTEs were ACI’s employees.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Research Costs</w:t>
      </w:r>
      <w:r>
        <w:rPr>
          <w:rFonts w:ascii="Arial" w:cs="Arial" w:eastAsia="Arial" w:hAnsi="Arial"/>
          <w:sz w:val="18"/>
          <w:szCs w:val="18"/>
          <w:color w:val="auto"/>
        </w:rPr>
        <w:t>. During the Research Term, each Party shall perform, at its expense, those activities to be undertaken by such Party as set forth in the Research Plan.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Research Term</w:t>
      </w:r>
      <w:r>
        <w:rPr>
          <w:rFonts w:ascii="Arial" w:cs="Arial" w:eastAsia="Arial" w:hAnsi="Arial"/>
          <w:sz w:val="17"/>
          <w:szCs w:val="17"/>
          <w:color w:val="auto"/>
        </w:rPr>
        <w:t>. The Research Term commences as of the Effective Date and, unless the Agreement is earlier terminated under Article 9, or the Research Program is earlier terminated under Section 14.1, shall continue until either (a) Genentech notifies ACI of termination of the Research Term at any time following the [*****] of the Effective Date or (b) ACI notifies Genentech of termination of the Research Term at any time following the earlier of (i) the date on which the first Therapeutic Product is administered to the first human subject in a Phase I Clinical Trial, or (ii) [*****] years after the Effective Date. After [*****] months following the end of the Research Term, the JRC is no longer required to meet.</w:t>
      </w:r>
    </w:p>
    <w:p>
      <w:pPr>
        <w:spacing w:after="0" w:line="38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 excluding costs incurred by [*****] in performance of its activities under the Research Plan.</w:t>
      </w:r>
    </w:p>
    <w:p>
      <w:pPr>
        <w:spacing w:after="0" w:line="18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for any [*****] reasonably incurred by [*****] in connection with such cooperation and support provided that such [*****] are approved in advance by [*****].</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Development Updates</w:t>
      </w:r>
      <w:r>
        <w:rPr>
          <w:rFonts w:ascii="Arial" w:cs="Arial" w:eastAsia="Arial" w:hAnsi="Arial"/>
          <w:sz w:val="16"/>
          <w:szCs w:val="16"/>
          <w:color w:val="auto"/>
        </w:rPr>
        <w:t xml:space="preserve">. Throughout the Term, Genentech shall provide to ACI periodic updates on the plan for development of Licensed Products containing ACI Antibody(ies) or Program Antibody(ies) under this Agreement on at least a [*****] basis. Such updates to include a summary of any significant progress or advances along with a general description of Genentech’s then-current plan of development. It is understood and agreed that the development plan summaries provided under this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are non-binding and provided to ACI for informational purposes only.</w:t>
      </w:r>
    </w:p>
    <w:p>
      <w:pPr>
        <w:spacing w:after="0" w:line="15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Genentech Diligence</w:t>
      </w:r>
      <w:r>
        <w:rPr>
          <w:rFonts w:ascii="Arial" w:cs="Arial" w:eastAsia="Arial" w:hAnsi="Arial"/>
          <w:sz w:val="17"/>
          <w:szCs w:val="17"/>
          <w:color w:val="auto"/>
        </w:rPr>
        <w:t xml:space="preserve">. Genentech shall use Commercially Reasonable Efforts to develop and commercialize at least one Licensed Product (other than a Diagnostic Product) for Alzheimer’s disease [*****] as indicated by compelling biologic rationale and commercial viability, and one Diagnostic Product for Alzheimer’s disease (whereby the failure to use Commercially Reasonable Efforts to develop a Diagnostic Product only entitles ACI to pursuant to </w:t>
      </w:r>
      <w:r>
        <w:rPr>
          <w:rFonts w:ascii="Arial" w:cs="Arial" w:eastAsia="Arial" w:hAnsi="Arial"/>
          <w:sz w:val="17"/>
          <w:szCs w:val="17"/>
          <w:u w:val="single" w:color="auto"/>
          <w:color w:val="auto"/>
        </w:rPr>
        <w:t>Section 9.2.1</w:t>
      </w:r>
      <w:r>
        <w:rPr>
          <w:rFonts w:ascii="Arial" w:cs="Arial" w:eastAsia="Arial" w:hAnsi="Arial"/>
          <w:sz w:val="17"/>
          <w:szCs w:val="17"/>
          <w:color w:val="auto"/>
        </w:rPr>
        <w:t xml:space="preserve"> partially terminate the license for Diagnostic Products). Activities by Genentech Licensees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70"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for any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and supplying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License Grants to Genentech</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Therapeutic License</w:t>
      </w:r>
      <w:r>
        <w:rPr>
          <w:rFonts w:ascii="Arial" w:cs="Arial" w:eastAsia="Arial" w:hAnsi="Arial"/>
          <w:sz w:val="16"/>
          <w:szCs w:val="16"/>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Tau-Active Antibodies and Licensed Products in each case for use in the Therapeutic Field in the Territory. The license granted to Genentech in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include the right to sublicense to multiple tiers of Third Parties in accordance with the terms of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Diagnostic License</w:t>
      </w:r>
      <w:r>
        <w:rPr>
          <w:rFonts w:ascii="Arial" w:cs="Arial" w:eastAsia="Arial" w:hAnsi="Arial"/>
          <w:sz w:val="17"/>
          <w:szCs w:val="17"/>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Tau-Active Antibodies and Licensed Products for use in the Diagnostic Field in the Territory. The license granted to Genentech in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shall include the right to sublicense to multiple tiers of Third Parties in accordance with the terms of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70"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4.1.3 For the avoidance of doubt, no license is granted to Genentech to make, use, sell, offer for sale or import [*****], provided however that nothing in this Section 4.1.3 shall limit Genentech’s right to make any biological materials for use in the research and development of Licensed Products.</w:t>
      </w:r>
    </w:p>
    <w:p>
      <w:pPr>
        <w:spacing w:after="0" w:line="1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License Grant to ACI for Conduct of the Research Program</w:t>
      </w:r>
      <w:r>
        <w:rPr>
          <w:rFonts w:ascii="Arial" w:cs="Arial" w:eastAsia="Arial" w:hAnsi="Arial"/>
          <w:sz w:val="18"/>
          <w:szCs w:val="18"/>
          <w:color w:val="auto"/>
        </w:rPr>
        <w:t>. Subject to the terms of this Agreement, Genentech hereby grants to ACI a non-exclusive, non-transferable, non-sublicenseable (except as expressly provided in Section 2.4),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Tau-Active Antibodies solely to the extent necessary for ACI to conduct those activities specified in the Research Plan or to otherwise generate and develop Discovery Antibodies for use or inclusion in the Research Program.</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4.3.1 ACI shall not (i) provide any Tau-Active Antibodies or Licensed Products to any Third Party; or (ii) provide to any Third Party any methods of screening for, identifying or making any Tau-Active Antibodies or Licensed Products, except as expressly provided in, and in strict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For clarity, the foregoing restriction will not apply to limit ACI’s use or transfer of Tau-Active Antibodies and related methods of screening, identification or manufacture, with respect to ACI’s activities outside the Genentech Field, including without limitation the research, development and commercialization of Vaccine Products.</w:t>
      </w:r>
    </w:p>
    <w:p>
      <w:pPr>
        <w:spacing w:after="0" w:line="18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4.3.2 During the Term, the Parties agree that Genentech shall have the sole right to develop and commercialize Tau-Active Antibodies and ACI shall not have any rights to develop or commercialize products containing Tau-Active Antibodies for any purpose.</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Academic Research</w:t>
      </w:r>
      <w:r>
        <w:rPr>
          <w:rFonts w:ascii="Arial" w:cs="Arial" w:eastAsia="Arial" w:hAnsi="Arial"/>
          <w:sz w:val="18"/>
          <w:szCs w:val="18"/>
          <w:color w:val="auto"/>
        </w:rPr>
        <w:t>. ACI may provide Tau-Active Antibody material existing prior the Effective Date to Katholieke Universiteit Leuven (“</w:t>
      </w:r>
      <w:r>
        <w:rPr>
          <w:rFonts w:ascii="Arial" w:cs="Arial" w:eastAsia="Arial" w:hAnsi="Arial"/>
          <w:sz w:val="18"/>
          <w:szCs w:val="18"/>
          <w:u w:val="single" w:color="auto"/>
          <w:color w:val="auto"/>
        </w:rPr>
        <w:t>K.U. Leuven</w:t>
      </w:r>
      <w:r>
        <w:rPr>
          <w:rFonts w:ascii="Arial" w:cs="Arial" w:eastAsia="Arial" w:hAnsi="Arial"/>
          <w:sz w:val="18"/>
          <w:szCs w:val="18"/>
          <w:color w:val="auto"/>
        </w:rPr>
        <w:t>”) solely for use in the academic research performed under the agreement entered into between ACI and K.U. Leuven effective as of July 1, 2008 (the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provided, however, that (i) use of such Tau-Active Antibodies shall not conflict with Genentech’s exclusive rights under this Agreement; and (ii) all intellectual property rights (including but not limited to Patents and Know-How) made pursuant to the K.U. Leuven Agreement shall be included within the ACI IP Rights to the extent necessary or useful to Genentech in exercising its rights under the licenses granted in this Agreement.</w:t>
      </w:r>
    </w:p>
    <w:p>
      <w:pPr>
        <w:spacing w:after="0" w:line="19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Leuven License</w:t>
      </w:r>
      <w:r>
        <w:rPr>
          <w:rFonts w:ascii="Arial" w:cs="Arial" w:eastAsia="Arial" w:hAnsi="Arial"/>
          <w:sz w:val="17"/>
          <w:szCs w:val="17"/>
          <w:color w:val="auto"/>
        </w:rPr>
        <w:t>. ACI has provided to Genentech a true and correct copy (except for redactions of financial terms) of that certain License Agreement between ACI and K. U. Leuven dated September 22, 2010 (the “</w:t>
      </w:r>
      <w:r>
        <w:rPr>
          <w:rFonts w:ascii="Arial" w:cs="Arial" w:eastAsia="Arial" w:hAnsi="Arial"/>
          <w:sz w:val="17"/>
          <w:szCs w:val="17"/>
          <w:u w:val="single" w:color="auto"/>
          <w:color w:val="auto"/>
        </w:rPr>
        <w:t>Leuven License</w:t>
      </w:r>
      <w:r>
        <w:rPr>
          <w:rFonts w:ascii="Arial" w:cs="Arial" w:eastAsia="Arial" w:hAnsi="Arial"/>
          <w:sz w:val="17"/>
          <w:szCs w:val="17"/>
          <w:color w:val="auto"/>
        </w:rPr>
        <w:t>”). Genentech acknowledges that Leuven retained certain rights as set forth in the License Agreement and ACT has certain obligations owed to Leuven and that the rights granted under this Agreement are subject to those retained rights and obligations. ACI shall not commit any acts or omissions that could cause a material breach of the Leuven License, such that K. U. Leuven would be entitled to terminate the Leuven License or amend it in any way that would adversely affect a license or other rights granted to GNE under this Agreement. In addition, (i) without the prior written consent of GNE, ACI shall not exercise any rights it may have with respect to the Leuven License or amend, terminate, or waive any of its rights under, the Leuven License in any way that would adversely affect a license or other rights granted to GNE under this Agreement and (ii) ACI agrees to promptly notify GNE in the event that ACI receives notice of any alleged breach of the Leuven License or otherwise has reason to believe such an allegation is likely. ACI agrees that GNE may take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70" w:right="2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necessary to remedy any actual or alleged breach of the Leuven License where such action does not relieve ACI from any obligation hereunder.</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Each Party acknowledges that the licenses granted under this Article 4 are limited to the scope expressly granted, and all other rights under a Party’s Patents and other intellectual property rights are expressly reserved to the granting Party.</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Promptly following the Effective Date, ACI shall provide to Genentech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7"/>
          <w:szCs w:val="17"/>
          <w:u w:val="single" w:color="auto"/>
          <w:color w:val="auto"/>
        </w:rPr>
        <w:t>ROFN Period</w:t>
      </w:r>
      <w:r>
        <w:rPr>
          <w:rFonts w:ascii="Arial" w:cs="Arial" w:eastAsia="Arial" w:hAnsi="Arial"/>
          <w:sz w:val="17"/>
          <w:szCs w:val="17"/>
          <w:color w:val="auto"/>
        </w:rPr>
        <w:t>”). If the Parties are unable to agree on substantive terms within the ROFN Period, Genentech shall promptly reduce to writing its last offer to ACI and provide such writing to ACI, and ACI shall be free to enter into an agreement with a Third Party for the sale or licensing of the ACI Vaccine Rights provided that the terms of such agreement when taken as a whole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Sublicenses</w:t>
      </w:r>
      <w:r>
        <w:rPr>
          <w:rFonts w:ascii="Arial" w:cs="Arial" w:eastAsia="Arial" w:hAnsi="Arial"/>
          <w:sz w:val="18"/>
          <w:szCs w:val="18"/>
          <w:color w:val="auto"/>
        </w:rPr>
        <w:t xml:space="preserve">. Genentech may sublicense its rights under the license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provided that any such sublicense agreement is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Up-Front Payment</w:t>
      </w:r>
      <w:r>
        <w:rPr>
          <w:rFonts w:ascii="Arial" w:cs="Arial" w:eastAsia="Arial" w:hAnsi="Arial"/>
          <w:sz w:val="18"/>
          <w:szCs w:val="18"/>
          <w:color w:val="auto"/>
        </w:rPr>
        <w:t xml:space="preserve">. In consideration for the rights granted and promises made hereunder, including the license granted to Genentech under the ACI IP Rights, Genentech shall, within thirty (30) days of the Effective Date, pay to ACI a one-time payment of </w:t>
      </w:r>
      <w:r>
        <w:rPr>
          <w:rFonts w:ascii="Arial" w:cs="Arial" w:eastAsia="Arial" w:hAnsi="Arial"/>
          <w:sz w:val="18"/>
          <w:szCs w:val="18"/>
          <w:b w:val="1"/>
          <w:bCs w:val="1"/>
          <w:color w:val="auto"/>
        </w:rPr>
        <w:t>seventeen million Swiss Francs (CHF</w:t>
      </w:r>
      <w:r>
        <w:rPr>
          <w:rFonts w:ascii="Arial" w:cs="Arial" w:eastAsia="Arial" w:hAnsi="Arial"/>
          <w:sz w:val="18"/>
          <w:szCs w:val="18"/>
          <w:color w:val="auto"/>
        </w:rPr>
        <w:t xml:space="preserve"> </w:t>
      </w:r>
      <w:r>
        <w:rPr>
          <w:rFonts w:ascii="Arial" w:cs="Arial" w:eastAsia="Arial" w:hAnsi="Arial"/>
          <w:sz w:val="18"/>
          <w:szCs w:val="18"/>
          <w:b w:val="1"/>
          <w:bCs w:val="1"/>
          <w:color w:val="auto"/>
        </w:rPr>
        <w:t>17,000,000).</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 Therapeutic Product Milestone Payments.</w:t>
      </w:r>
    </w:p>
    <w:p>
      <w:pPr>
        <w:spacing w:after="0" w:line="11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5.2.1 With respect to the first Therapeutic Product containing an ACI Antibody (including a Discovery Antibody) or a Program Antibody (each a “</w:t>
      </w:r>
      <w:r>
        <w:rPr>
          <w:rFonts w:ascii="Arial" w:cs="Arial" w:eastAsia="Arial" w:hAnsi="Arial"/>
          <w:sz w:val="16"/>
          <w:szCs w:val="16"/>
          <w:u w:val="single" w:color="auto"/>
          <w:color w:val="auto"/>
        </w:rPr>
        <w:t>Milestone Product</w:t>
      </w:r>
      <w:r>
        <w:rPr>
          <w:rFonts w:ascii="Arial" w:cs="Arial" w:eastAsia="Arial" w:hAnsi="Arial"/>
          <w:sz w:val="16"/>
          <w:szCs w:val="16"/>
          <w:color w:val="auto"/>
        </w:rPr>
        <w:t>”) to achieve the clinical development, Marketing Approval Filing, or First Commercial Sale milestones (each a “</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 herein below.</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69" w:right="239"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ectPr>
          <w:pgSz w:w="11900" w:h="16838" w:orient="portrait"/>
          <w:cols w:equalWidth="0" w:num="1">
            <w:col w:w="11420"/>
          </w:cols>
          <w:pgMar w:left="240" w:top="269" w:right="239" w:bottom="1440" w:gutter="0" w:footer="0" w:header="0"/>
        </w:sect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CONFIDENTIAL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FINAL EXECUTION VERSION</w:t>
      </w:r>
    </w:p>
    <w:p>
      <w:pPr>
        <w:spacing w:after="0" w:line="493" w:lineRule="exact"/>
        <w:rPr>
          <w:sz w:val="20"/>
          <w:szCs w:val="20"/>
          <w:color w:val="auto"/>
        </w:rPr>
      </w:pPr>
    </w:p>
    <w:p>
      <w:pPr>
        <w:sectPr>
          <w:pgSz w:w="11900" w:h="16838" w:orient="portrait"/>
          <w:cols w:equalWidth="0" w:num="2">
            <w:col w:w="6140" w:space="720"/>
            <w:col w:w="4560"/>
          </w:cols>
          <w:pgMar w:left="240" w:top="269" w:right="239" w:bottom="1440" w:gutter="0" w:footer="0" w:header="0"/>
          <w:type w:val="continuous"/>
        </w:sectPr>
      </w:pPr>
    </w:p>
    <w:p>
      <w:pPr>
        <w:ind w:left="1740" w:hanging="248"/>
        <w:spacing w:after="0"/>
        <w:tabs>
          <w:tab w:leader="none" w:pos="17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upon commencement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With respect to Alzheimer’s disease indication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upon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With respect to each of the first [*****] to achieve the applicable Milestone</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69" w:right="239" w:bottom="1440" w:gutter="0" w:footer="0" w:header="0"/>
          <w:type w:val="continuous"/>
        </w:sectPr>
      </w:pPr>
    </w:p>
    <w:bookmarkStart w:id="339" w:name="page340"/>
    <w:bookmarkEnd w:id="3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 Genentech shall pay ACI [*****]. Within [*****] days following the end of the first calendar year in which Diagnostic Net Sales for such calendar year equal or exceed [*****] Genentech shall pay ACI [*****].</w:t>
      </w:r>
    </w:p>
    <w:p>
      <w:pPr>
        <w:spacing w:after="0" w:line="170" w:lineRule="exact"/>
        <w:rPr>
          <w:sz w:val="20"/>
          <w:szCs w:val="20"/>
          <w:color w:val="auto"/>
        </w:rPr>
      </w:pPr>
    </w:p>
    <w:p>
      <w:pPr>
        <w:jc w:val="both"/>
        <w:ind w:right="38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Therapeutic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Therapeutic Product, royalties as follows:</w:t>
      </w:r>
    </w:p>
    <w:p>
      <w:pPr>
        <w:spacing w:after="0" w:line="170"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5.4.1 For Net Sales of a Therapeutic Product Covered by a Valid Patent Claim within the ACI IP Rights in the country of sale other than the Discovery Antibody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5.4.2 For Net Sales of a Therapeutic Product Covered by the Discovery Antibody IP Rights in the country of sale and not Covered by any other Valid Patent Claim within the ACI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5.4.3 For Net Sales of a Therapeutic Product Covered by a Valid Patent Claim within the ACI Program IP Rights or ACI’s interest in the Joint Program IP Rights in the country of sale (and not covered by a Valid Patent Claim within the ACI IP Rights), and subject to and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0" w:right="2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terms and conditions of this Agreement, Genentech shall pay to ACI, on a Therapeutic Product-by- Therapeutic Product and country-by-country basis, an amount equal to [*****] of such annual Net Sales.</w:t>
      </w:r>
    </w:p>
    <w:p>
      <w:pPr>
        <w:spacing w:after="0" w:line="170"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5.4.4 For Net Sales of Therapeutic Products that contain as an active ingredient a Tau-Active Antibody that is (i) an ACI Antibody or (ii) is generated by Genentech using proprietary screening technology within the ACI IP Rights and such Therapeutic Product is not Covered by a Valid Patent Claim within the ACI IP Rights (including the Discovery Antibody IP Rights), the ACI Program IP Rights or the Joint Program IP Rights in the country of sale, a royalty equal to [*****] of annual Net Sales, provided, however, that royalty payment obligations under this Section 5.4.4 shall terminate, on a country-by-country basis, upon the date that is [*****] years from the date of First Commercial Sale of the applicable Therapeutic Product in a country. For the sake of clarity, royalties paid under this Section 5.4.4 shall be mutually exclusive of royalties to be paid under </w:t>
      </w:r>
      <w:r>
        <w:rPr>
          <w:rFonts w:ascii="Arial" w:cs="Arial" w:eastAsia="Arial" w:hAnsi="Arial"/>
          <w:sz w:val="16"/>
          <w:szCs w:val="16"/>
          <w:u w:val="single" w:color="auto"/>
          <w:color w:val="auto"/>
        </w:rPr>
        <w:t>Sections 5.4.1-5.4.3</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5.4.4</w:t>
      </w:r>
      <w:r>
        <w:rPr>
          <w:rFonts w:ascii="Arial" w:cs="Arial" w:eastAsia="Arial" w:hAnsi="Arial"/>
          <w:sz w:val="16"/>
          <w:szCs w:val="16"/>
          <w:color w:val="auto"/>
        </w:rPr>
        <w:t xml:space="preserve"> on Net Sales of Therapeutic Products Covered by a Valid Patent Claim of the ACI IP Rights for which the royalty is paid under </w:t>
      </w:r>
      <w:r>
        <w:rPr>
          <w:rFonts w:ascii="Arial" w:cs="Arial" w:eastAsia="Arial" w:hAnsi="Arial"/>
          <w:sz w:val="16"/>
          <w:szCs w:val="16"/>
          <w:u w:val="single" w:color="auto"/>
          <w:color w:val="auto"/>
        </w:rPr>
        <w:t>Section 5.4.1 or 5.4.2</w:t>
      </w:r>
      <w:r>
        <w:rPr>
          <w:rFonts w:ascii="Arial" w:cs="Arial" w:eastAsia="Arial" w:hAnsi="Arial"/>
          <w:sz w:val="16"/>
          <w:szCs w:val="16"/>
          <w:color w:val="auto"/>
        </w:rPr>
        <w:t xml:space="preserve"> or of the ACI Program IP Rights or Joint Program IP Rights for which a royalty is paid under </w:t>
      </w:r>
      <w:r>
        <w:rPr>
          <w:rFonts w:ascii="Arial" w:cs="Arial" w:eastAsia="Arial" w:hAnsi="Arial"/>
          <w:sz w:val="16"/>
          <w:szCs w:val="16"/>
          <w:u w:val="single" w:color="auto"/>
          <w:color w:val="auto"/>
        </w:rPr>
        <w:t>5.4.3</w:t>
      </w:r>
      <w:r>
        <w:rPr>
          <w:rFonts w:ascii="Arial" w:cs="Arial" w:eastAsia="Arial" w:hAnsi="Arial"/>
          <w:sz w:val="16"/>
          <w:szCs w:val="16"/>
          <w:color w:val="auto"/>
        </w:rPr>
        <w:t>.</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Diagnostic Net Sales of a Diagnostic Product Covered by a Valid Patent Claim within the ACI IP Rights, the ACI Program IP Rights or the Joint Program IP Rights in the country of sale, and subject to and in accordance with the terms and conditions of this Agreement, Genentech shall pay to ACI, on a Diagnostic Product-by- Diagnostic Product and country-by-country basis, an amount equal to [*****] of such annual Diagnostic Net Sales.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Timing of Payments</w:t>
      </w:r>
      <w:r>
        <w:rPr>
          <w:rFonts w:ascii="Arial" w:cs="Arial" w:eastAsia="Arial" w:hAnsi="Arial"/>
          <w:sz w:val="18"/>
          <w:szCs w:val="18"/>
          <w:color w:val="auto"/>
        </w:rPr>
        <w:t>. All payments due under Sections 5.4 and 5.5 shall be paid in quarterly installments and be paid within [*****] days following the end of each calendar quarter.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5.7.1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w:t>
      </w:r>
      <w:r>
        <w:rPr>
          <w:rFonts w:ascii="Arial" w:cs="Arial" w:eastAsia="Arial" w:hAnsi="Arial"/>
          <w:sz w:val="18"/>
          <w:szCs w:val="18"/>
          <w:u w:val="single" w:color="auto"/>
          <w:color w:val="auto"/>
        </w:rPr>
        <w:t>Section 5.4.1 – 5.4.3</w:t>
      </w:r>
      <w:r>
        <w:rPr>
          <w:rFonts w:ascii="Arial" w:cs="Arial" w:eastAsia="Arial" w:hAnsi="Arial"/>
          <w:sz w:val="18"/>
          <w:szCs w:val="18"/>
          <w:color w:val="auto"/>
        </w:rPr>
        <w:t xml:space="preserve"> above; provided, that [*****].</w:t>
      </w:r>
    </w:p>
    <w:p>
      <w:pPr>
        <w:spacing w:after="0" w:line="181"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 xml:space="preserve">5.7.2 If in Genentech’s reasonable business judgment it is necessary to obtain a license under any Blocking Third Party Intellectual Property in connection with the research, development, manufacture, distribution, use, sale, import or export of a Diagnostic Product, [*****], including fee, royalty or other payment, against the royalties payable pursuant to Section 5.5 above; [*****] shall be in addition to, and not in lieu of, any other rights or claims Genentech may have under this Agreement or otherwise. For the purposes of this </w:t>
      </w:r>
      <w:r>
        <w:rPr>
          <w:rFonts w:ascii="Arial" w:cs="Arial" w:eastAsia="Arial" w:hAnsi="Arial"/>
          <w:sz w:val="17"/>
          <w:szCs w:val="17"/>
          <w:u w:val="single" w:color="auto"/>
          <w:color w:val="auto"/>
        </w:rPr>
        <w:t>Section 5.7.2</w:t>
      </w:r>
      <w:r>
        <w:rPr>
          <w:rFonts w:ascii="Arial" w:cs="Arial" w:eastAsia="Arial" w:hAnsi="Arial"/>
          <w:sz w:val="17"/>
          <w:szCs w:val="17"/>
          <w:color w:val="auto"/>
        </w:rPr>
        <w:t>, “Blocking Third Party Intellectual Property” means, with respect to any country in the Territory, Patent rights in such country owned or controlled by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0" w:right="2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Party that cover specific reagents, assays and/or platform or any other technology required for use or sale of a Diagnostic Product, if the manufacture, use or sale of such Diagnostic Product would in the absence of a license granted by such Third Party, infringe such Patent rights.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5.7.3 For clarity, in no event will royalties payable on Therapeutic Products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 reduced below a rate of [*****] of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5.8.2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Section 5.4 and Section 5.5,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Genentech shall send to ACI a report of Net Sales of the Licensed Products for which a royalty is due, which report sets forth for such calendar quarter the following information: (i) total Net Sales of all Licensed Products sold in the Territory during such calendar quarter, (ii) the exchange rate used to convert Net Sales from the currency in which they are earned to Swiss Francs (CHF), (iii) Net Sales on a country-by-country basis for each of [*****] and (iv) the total royalty payments due.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to be made under this Agreement shall be made in Swiss Francs (CHF). Amounts invoiced in a currency other than Swiss Francs must be expressed in the Swiss Francs (CHF) equivalent as well as any local currency. Net Sales shall be first determined in the currency in which they are earned and shall then be converted into an amount in Swiss Francs (CHF). All currency conversions shall use the conversion rate used by Roche for its then-current external reporting requirements, consistently applied.</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Swiss Francs (CHF), in immediately available funds, by means of wire transfer to an account identified by the payee.</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70" w:right="2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 or Switzerland.</w:t>
      </w:r>
    </w:p>
    <w:p>
      <w:pPr>
        <w:spacing w:after="0" w:line="18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Each Party shall keep such books of account and the supporting data and other records. Such books and records must be maintained available for examination in accordance with this Section for [*****] calendar years after the end of the calendar year to which they pertain, and otherwise as reasonably required to comply with IFRS.</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Audit Report</w:t>
      </w:r>
      <w:r>
        <w:rPr>
          <w:rFonts w:ascii="Arial" w:cs="Arial" w:eastAsia="Arial" w:hAnsi="Arial"/>
          <w:sz w:val="18"/>
          <w:szCs w:val="18"/>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69" w:right="2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royalties prior to providing that audit report to the other Party. That audit report shall be deemed to be Confidential Information of the audited Party, and used only for purposes germane to this Section.</w:t>
      </w:r>
    </w:p>
    <w:p>
      <w:pPr>
        <w:spacing w:after="0" w:line="17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Rights Regarding Consolidation of ACI Financial Data</w:t>
      </w:r>
      <w:r>
        <w:rPr>
          <w:rFonts w:ascii="Arial" w:cs="Arial" w:eastAsia="Arial" w:hAnsi="Arial"/>
          <w:sz w:val="17"/>
          <w:szCs w:val="17"/>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IFRS (i.e., balance sheet, income statement and statement of cash flows) for each calendar quarter within [*****] days after the end of the calendar quarter, and (b) subject to the obligations under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w:t>
      </w:r>
    </w:p>
    <w:p>
      <w:pPr>
        <w:spacing w:after="0" w:line="39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7.1.1 ACI shall promptly disclose to GNE any inventions or other Know-How created, discovered, conceived or reduced to practice pursuant to the Research Program and the activities in the Research Plan. During the Research Term and the remainder of the Term of the Agreement, ACI shall disclose to GNE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GNE copies of all patent applications, amendments, correspondence with patent offices and information relating to Patents within the ACI IP Rights. ACI shall timely deliver to GNE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69" w:right="23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8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color w:val="auto"/>
        </w:rPr>
        <w:t>.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60" w:firstLine="8"/>
        <w:spacing w:after="0" w:line="268" w:lineRule="auto"/>
        <w:tabs>
          <w:tab w:leader="none" w:pos="31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 to develop Tau-Active Antibodies for use in and outside the Genentech Field, provided that neither Party shall be required by this reference to have any Patent take advantage of or become subject to such § 103(c)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require all of its employees, contractors and agents, and any Affiliates and Third Parties working on its behalf under this Agreement (and their respective employees, contractors and agents), to assign to Genentech any Program IP Rights and Genentech IP Rights, created, discovered, conceived or reduced to practice by such employees, contractors or agents or Affiliates or Third Parties.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Genentech Controlled Prosecution and Maintenance</w:t>
      </w:r>
      <w:r>
        <w:rPr>
          <w:rFonts w:ascii="Arial" w:cs="Arial" w:eastAsia="Arial" w:hAnsi="Arial"/>
          <w:sz w:val="18"/>
          <w:szCs w:val="18"/>
          <w:color w:val="auto"/>
        </w:rPr>
        <w:t>. As between the Parties, Genentech shall, at its sole discretion and expense, have the right (but not the obligation) to Prosecute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70" w:right="2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Maintain Patents within the Genentech IP Rights, but excluding [*****] and [*****].</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20" w:firstLine="1492"/>
        <w:spacing w:after="0" w:line="290" w:lineRule="auto"/>
        <w:tabs>
          <w:tab w:leader="none" w:pos="172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66" w:lineRule="exact"/>
        <w:rPr>
          <w:rFonts w:ascii="Arial" w:cs="Arial" w:eastAsia="Arial" w:hAnsi="Arial"/>
          <w:sz w:val="16"/>
          <w:szCs w:val="16"/>
          <w:color w:val="auto"/>
        </w:rPr>
      </w:pPr>
    </w:p>
    <w:p>
      <w:pPr>
        <w:ind w:right="180" w:firstLine="1492"/>
        <w:spacing w:after="0" w:line="279" w:lineRule="auto"/>
        <w:tabs>
          <w:tab w:leader="none" w:pos="173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The Outside Patent Counsel shall be instructed to advise and consult with each Party promptly after receiving any substantial action or development in the prosecution of any patent application it is responsible for prosecuting pursuant to </w:t>
      </w:r>
      <w:r>
        <w:rPr>
          <w:rFonts w:ascii="Arial" w:cs="Arial" w:eastAsia="Arial" w:hAnsi="Arial"/>
          <w:sz w:val="17"/>
          <w:szCs w:val="17"/>
          <w:u w:val="single" w:color="auto"/>
          <w:color w:val="auto"/>
        </w:rPr>
        <w:t>Section 7.4.3(a)</w:t>
      </w:r>
      <w:r>
        <w:rPr>
          <w:rFonts w:ascii="Arial" w:cs="Arial" w:eastAsia="Arial" w:hAnsi="Arial"/>
          <w:sz w:val="17"/>
          <w:szCs w:val="17"/>
          <w:color w:val="auto"/>
        </w:rPr>
        <w:t xml:space="preserve">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7.4.4 </w:t>
      </w:r>
      <w:r>
        <w:rPr>
          <w:rFonts w:ascii="Arial" w:cs="Arial" w:eastAsia="Arial" w:hAnsi="Arial"/>
          <w:sz w:val="16"/>
          <w:szCs w:val="16"/>
          <w:u w:val="single" w:color="auto"/>
          <w:color w:val="auto"/>
        </w:rPr>
        <w:t>Consultation and Cooperation</w:t>
      </w:r>
      <w:r>
        <w:rPr>
          <w:rFonts w:ascii="Arial" w:cs="Arial" w:eastAsia="Arial" w:hAnsi="Arial"/>
          <w:sz w:val="16"/>
          <w:szCs w:val="16"/>
          <w:color w:val="auto"/>
        </w:rPr>
        <w:t>. Generally, the Parties shall cooperate with and assist each other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in connection with such Prosecution and Maintenance,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270" w:right="2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8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 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 xml:space="preserve">7.4.7 </w:t>
      </w: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Without in any way limiting the foregoing, including </w:t>
      </w:r>
      <w:r>
        <w:rPr>
          <w:rFonts w:ascii="Arial" w:cs="Arial" w:eastAsia="Arial" w:hAnsi="Arial"/>
          <w:sz w:val="17"/>
          <w:szCs w:val="17"/>
          <w:u w:val="single" w:color="auto"/>
          <w:color w:val="auto"/>
        </w:rPr>
        <w:t>Section 7.4.3(a)</w:t>
      </w:r>
      <w:r>
        <w:rPr>
          <w:rFonts w:ascii="Arial" w:cs="Arial" w:eastAsia="Arial" w:hAnsi="Arial"/>
          <w:sz w:val="17"/>
          <w:szCs w:val="17"/>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Tau-Active Antibody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 of [*****]</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makes, files or maintains any claim, demand, lawsuit or cause of action to [*****] of, or [*****], in each case with respect to any [*****] (each such action a “</w:t>
      </w:r>
      <w:r>
        <w:rPr>
          <w:rFonts w:ascii="Arial" w:cs="Arial" w:eastAsia="Arial" w:hAnsi="Arial"/>
          <w:sz w:val="17"/>
          <w:szCs w:val="17"/>
          <w:u w:val="single" w:color="auto"/>
          <w:color w:val="auto"/>
        </w:rPr>
        <w:t>[*****]</w:t>
      </w:r>
      <w:r>
        <w:rPr>
          <w:rFonts w:ascii="Arial" w:cs="Arial" w:eastAsia="Arial" w:hAnsi="Arial"/>
          <w:sz w:val="17"/>
          <w:szCs w:val="17"/>
          <w:color w:val="auto"/>
        </w:rPr>
        <w:t>”). Prior to exercising such right, ACI shall first provide Genentech with written notice regarding the occurrence of any [*****] (“</w:t>
      </w:r>
      <w:r>
        <w:rPr>
          <w:rFonts w:ascii="Arial" w:cs="Arial" w:eastAsia="Arial" w:hAnsi="Arial"/>
          <w:sz w:val="17"/>
          <w:szCs w:val="17"/>
          <w:u w:val="single" w:color="auto"/>
          <w:color w:val="auto"/>
        </w:rPr>
        <w:t>Notice of [*****]</w:t>
      </w:r>
      <w:r>
        <w:rPr>
          <w:rFonts w:ascii="Arial" w:cs="Arial" w:eastAsia="Arial" w:hAnsi="Arial"/>
          <w:sz w:val="17"/>
          <w:szCs w:val="17"/>
          <w:color w:val="auto"/>
        </w:rPr>
        <w:t>”). Provided that (i) the [*****] is reversible, and (ii) Genentech is able to obtain a 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270" w:right="2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complete withdrawal of the [*****] within [*****] days following Genentech’s receipt of the Notice of [*****], and (iii) no substantial [*****] to the [*****] has been caused by the [*****] prior to such withdrawal, then ACT may not terminate this Agreement pursuant to this </w:t>
      </w:r>
      <w:r>
        <w:rPr>
          <w:rFonts w:ascii="Arial" w:cs="Arial" w:eastAsia="Arial" w:hAnsi="Arial"/>
          <w:sz w:val="18"/>
          <w:szCs w:val="18"/>
          <w:u w:val="single" w:color="auto"/>
          <w:color w:val="auto"/>
        </w:rPr>
        <w:t>Section 7.7.1</w:t>
      </w:r>
      <w:r>
        <w:rPr>
          <w:rFonts w:ascii="Arial" w:cs="Arial" w:eastAsia="Arial" w:hAnsi="Arial"/>
          <w:sz w:val="18"/>
          <w:szCs w:val="18"/>
          <w:color w:val="auto"/>
        </w:rPr>
        <w:t xml:space="preserve">. For the avoidance of doubt, [*****] does not include, and termination by ACI under this </w:t>
      </w:r>
      <w:r>
        <w:rPr>
          <w:rFonts w:ascii="Arial" w:cs="Arial" w:eastAsia="Arial" w:hAnsi="Arial"/>
          <w:sz w:val="18"/>
          <w:szCs w:val="18"/>
          <w:u w:val="single" w:color="auto"/>
          <w:color w:val="auto"/>
        </w:rPr>
        <w:t>Section 7.7.1</w:t>
      </w:r>
      <w:r>
        <w:rPr>
          <w:rFonts w:ascii="Arial" w:cs="Arial" w:eastAsia="Arial" w:hAnsi="Arial"/>
          <w:sz w:val="18"/>
          <w:szCs w:val="18"/>
          <w:color w:val="auto"/>
        </w:rPr>
        <w:t xml:space="preserve"> is not permitted for, (i) any action undertaken by Genentech or its Affiliates in any [*****] if such [*****] was provoked, requested or otherwise commenced by a Third Party without material assistance knowingly granted by Genentech or its Affiliates; (ii) any [*****] by Genentech or its Affiliates [*****] or other action made, filed or maintained by ACI, ACI’s Affiliate(s) and/or ACT Licensee(s), including where such [*****] of or by any Genentech activity with respect to [*****], including without limitation any [*****] by Genentech or its Affiliates that the making, using, selling, offering for sale and importation of any Tau-Active Antibody(ies) and/or Licensed Product(s) do not [*****] ACI IP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ENFORCEMENT OF IP RIGHTS; DEFENSE OF THIRD PARTY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INFRINGEMENT CLAIMS</w:t>
      </w:r>
    </w:p>
    <w:p>
      <w:pPr>
        <w:spacing w:after="0" w:line="21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or otherwise seek to abate the infringement (which may include without limitation entering into a sublicense agreement with the infringer) by the earlier of (a) [*****] months after ACI provides to Genentech written notice of such infringement or (b)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ACI IP Rights, ACI Program IP Rights or ACI’s interest in the Joint Program IP Rights would have a material adverse effect on the development, commercialization, or commercial value of Licensed Products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69" w:right="2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w:t>
      </w:r>
    </w:p>
    <w:p>
      <w:pPr>
        <w:spacing w:after="0" w:line="117"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8.5 Third Party Suits. In the event that a Third Party shall make any claim or bring any suit or other proceeding against [*****], or any of its Affiliates, [*****] or customers, for infringement or misappropriation of any intellectual property rights with respect to the research, development, making, using selling, offering for sale, import or export of any Tau-Active Antibody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Sections 8.3 and 8.4</w:t>
      </w:r>
      <w:r>
        <w:rPr>
          <w:rFonts w:ascii="Arial" w:cs="Arial" w:eastAsia="Arial" w:hAnsi="Arial"/>
          <w:sz w:val="16"/>
          <w:szCs w:val="16"/>
          <w:color w:val="auto"/>
        </w:rPr>
        <w:t xml:space="preserve"> shall apply to any proceeding covered by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except that the negotiation of any license from the Third Party shall be subject to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16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8.6 Genentech shall have the sole right, but not the obligation, to obtain and control, at its own expense and discretion, any data/marketing exclusivity rights with respect to regulatory filings (including clinical, safety and efficacy data) with respect to Licensed Products including defense and enforcement of rights against Third Parties seeking marketing authorization approval from a regulatory agency (including the FDA, EMA or equivalent) based on such filings. Such rights shall specifically include the right to take action in connection with Third Party applications for marketing authorization for biosimilar products or generic products that reference any Licensed Product pursuant to Title VII of the United States Patient Protection and Affordable Care Act, Biologics Price Competition and Innovation Act, the Hatch-Waxman Act, EU Directive 2004/27/EC and any successor legislation or regulations relating thereto, and all similar foreign legislation with regard to the foregoing.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70"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three (3)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Genentech may terminate this Agreement in accordance with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5.1-5.5</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within the first [*****] months following the effective date of termination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Termination Products and shall grant and hereby grants (effective only upon ACI’s request received within the [*****] months following the effective date of termination in accordance with this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to ACI the license grant set forth in clause, (vi) of the Product Reversion Package definition;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 a Genentech Licensee [*****]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 (i) is not, on the effective date of such termination, in [*****]; (ii) agrees, in a subsequent writing, to perform and deliver directly to [*****]; and (iii) agrees, in a subsequent writing, that, [*****].</w:t>
      </w:r>
    </w:p>
    <w:p>
      <w:pPr>
        <w:spacing w:after="0" w:line="17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9.3.2 Upon termination by Genentech pursuant to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for material breach by ACI,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or Section 9.2.4, Genentech may elect, in its sole discretion, to terminate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70"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in its entirety or to partially terminate this Agreement in accordance with the terms of </w:t>
      </w:r>
      <w:r>
        <w:rPr>
          <w:rFonts w:ascii="Arial" w:cs="Arial" w:eastAsia="Arial" w:hAnsi="Arial"/>
          <w:sz w:val="18"/>
          <w:szCs w:val="18"/>
          <w:u w:val="single" w:color="auto"/>
          <w:color w:val="auto"/>
        </w:rPr>
        <w:t>Section 9.3.2 (a)</w:t>
      </w:r>
      <w:r>
        <w:rPr>
          <w:rFonts w:ascii="Arial" w:cs="Arial" w:eastAsia="Arial" w:hAnsi="Arial"/>
          <w:sz w:val="18"/>
          <w:szCs w:val="18"/>
          <w:color w:val="auto"/>
        </w:rPr>
        <w:t>.</w:t>
      </w:r>
    </w:p>
    <w:p>
      <w:pPr>
        <w:spacing w:after="0" w:line="225" w:lineRule="exact"/>
        <w:rPr>
          <w:sz w:val="20"/>
          <w:szCs w:val="20"/>
          <w:color w:val="auto"/>
        </w:rPr>
      </w:pPr>
    </w:p>
    <w:p>
      <w:pPr>
        <w:ind w:right="100" w:firstLine="1492"/>
        <w:spacing w:after="0" w:line="276" w:lineRule="auto"/>
        <w:tabs>
          <w:tab w:leader="none" w:pos="1728"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Partial Termination</w:t>
      </w:r>
      <w:r>
        <w:rPr>
          <w:rFonts w:ascii="Arial" w:cs="Arial" w:eastAsia="Arial" w:hAnsi="Arial"/>
          <w:sz w:val="17"/>
          <w:szCs w:val="17"/>
          <w:color w:val="auto"/>
        </w:rPr>
        <w:t xml:space="preserve">. Upon Genentech’s election to partially terminate this Agreement, (i) all rights and licenses granted to ACI under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immediately terminate, (ii) the rights and obligations of the Parties under the following sections of this Agreement shall survive such termination: </w:t>
      </w:r>
      <w:r>
        <w:rPr>
          <w:rFonts w:ascii="Arial" w:cs="Arial" w:eastAsia="Arial" w:hAnsi="Arial"/>
          <w:sz w:val="17"/>
          <w:szCs w:val="17"/>
          <w:u w:val="single" w:color="auto"/>
          <w:color w:val="auto"/>
        </w:rPr>
        <w:t>Articles 3</w:t>
      </w:r>
      <w:r>
        <w:rPr>
          <w:rFonts w:ascii="Arial" w:cs="Arial" w:eastAsia="Arial" w:hAnsi="Arial"/>
          <w:sz w:val="17"/>
          <w:szCs w:val="17"/>
          <w:color w:val="auto"/>
        </w:rPr>
        <w:t xml:space="preserve"> (except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4 (except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5 , 6 (except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7, 8, 9, 10, 11, 12, 13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72" w:lineRule="exact"/>
        <w:rPr>
          <w:rFonts w:ascii="Arial" w:cs="Arial" w:eastAsia="Arial" w:hAnsi="Arial"/>
          <w:sz w:val="17"/>
          <w:szCs w:val="17"/>
          <w:color w:val="auto"/>
        </w:rPr>
      </w:pPr>
    </w:p>
    <w:p>
      <w:pPr>
        <w:ind w:right="20" w:firstLine="1492"/>
        <w:spacing w:after="0" w:line="253" w:lineRule="auto"/>
        <w:tabs>
          <w:tab w:leader="none" w:pos="1738"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Partial Termination Upon Specific Breach Events</w:t>
      </w:r>
      <w:r>
        <w:rPr>
          <w:rFonts w:ascii="Arial" w:cs="Arial" w:eastAsia="Arial" w:hAnsi="Arial"/>
          <w:sz w:val="18"/>
          <w:szCs w:val="18"/>
          <w:color w:val="auto"/>
        </w:rPr>
        <w:t xml:space="preserve">. In the case that the ACI breach that gave rise to a partial termination of this Agreement in accordance with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was a breach of any of the following provisions: </w:t>
      </w:r>
      <w:r>
        <w:rPr>
          <w:rFonts w:ascii="Arial" w:cs="Arial" w:eastAsia="Arial" w:hAnsi="Arial"/>
          <w:sz w:val="18"/>
          <w:szCs w:val="18"/>
          <w:u w:val="single" w:color="auto"/>
          <w:color w:val="auto"/>
        </w:rPr>
        <w:t>Sections 2.3.2</w:t>
      </w:r>
      <w:r>
        <w:rPr>
          <w:rFonts w:ascii="Arial" w:cs="Arial" w:eastAsia="Arial" w:hAnsi="Arial"/>
          <w:sz w:val="18"/>
          <w:szCs w:val="18"/>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and provided the breach is the consequence of gross negligence or willful misconduct of ACI,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4.3.1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 Section 10.1.1(e)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then, (i) the surviving provision set forth in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shall be modified to provide that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not survive such partial termination; (ii) upon the First Commercial Sale of a Licensed Product by Genentech, the payments made by Genentech under </w:t>
      </w:r>
      <w:r>
        <w:rPr>
          <w:rFonts w:ascii="Arial" w:cs="Arial" w:eastAsia="Arial" w:hAnsi="Arial"/>
          <w:sz w:val="18"/>
          <w:szCs w:val="18"/>
          <w:u w:val="single" w:color="auto"/>
          <w:color w:val="auto"/>
        </w:rPr>
        <w:t>Sections 5.2 and 5.3</w:t>
      </w:r>
      <w:r>
        <w:rPr>
          <w:rFonts w:ascii="Arial" w:cs="Arial" w:eastAsia="Arial" w:hAnsi="Arial"/>
          <w:sz w:val="18"/>
          <w:szCs w:val="18"/>
          <w:color w:val="auto"/>
        </w:rPr>
        <w:t xml:space="preserve"> shall be creditable against royalty payments due to ACI under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220" w:firstLine="1492"/>
        <w:spacing w:after="0" w:line="277" w:lineRule="auto"/>
        <w:tabs>
          <w:tab w:leader="none" w:pos="172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5.2 and 5.3</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5.4 and 5.5</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shall continue.</w:t>
      </w:r>
    </w:p>
    <w:p>
      <w:pPr>
        <w:spacing w:after="0" w:line="18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Financials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the financial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apply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70" w:right="2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9.4.1 In each calendar quarter in which ACI records Net Sales of a Termination Product, ACI shall pay to Genentech, on a Termination Product-by-Termination Product and country-by-country basis, an amount equal to the amounts set forth in </w:t>
      </w:r>
      <w:r>
        <w:rPr>
          <w:rFonts w:ascii="Arial" w:cs="Arial" w:eastAsia="Arial" w:hAnsi="Arial"/>
          <w:sz w:val="17"/>
          <w:szCs w:val="17"/>
          <w:u w:val="single" w:color="auto"/>
          <w:color w:val="auto"/>
        </w:rPr>
        <w:t>Sections 9.4.2-9.4.6</w:t>
      </w:r>
      <w:r>
        <w:rPr>
          <w:rFonts w:ascii="Arial" w:cs="Arial" w:eastAsia="Arial" w:hAnsi="Arial"/>
          <w:sz w:val="17"/>
          <w:szCs w:val="17"/>
          <w:color w:val="auto"/>
        </w:rPr>
        <w:t xml:space="preserve"> as follows: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9.4.5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9.4.6 [*****] of annual Net Sales of Termination Products that are [*****] and</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 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claims of infringement, misappropriation or other conflict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0" w:right="2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intellectual property rights or other rights owned or controlled by any Third Party have been made or, to ACI’s knowledge, threatened with respect to the ACI IP Rights existing as of the Effective Date.</w:t>
      </w:r>
    </w:p>
    <w:p>
      <w:pPr>
        <w:spacing w:after="0" w:line="170" w:lineRule="exact"/>
        <w:rPr>
          <w:sz w:val="20"/>
          <w:szCs w:val="20"/>
          <w:color w:val="auto"/>
        </w:rPr>
      </w:pPr>
    </w:p>
    <w:p>
      <w:pPr>
        <w:ind w:firstLine="1492"/>
        <w:spacing w:after="0" w:line="276" w:lineRule="auto"/>
        <w:tabs>
          <w:tab w:leader="none" w:pos="172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2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March 18, 2010,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ACI is the sole and exclusive owner of or Controls the ACI IP Rights existing as of the Effective Date free and clear of any liens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312" w:lineRule="auto"/>
        <w:tabs>
          <w:tab w:leader="none" w:pos="172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Tau-Active Antibodies or (ii) are conceived, reduced to practice or otherwise created by ACI during the conduct of or in connection with activities under the Research Program.</w:t>
      </w:r>
    </w:p>
    <w:p>
      <w:pPr>
        <w:spacing w:after="0" w:line="146" w:lineRule="exact"/>
        <w:rPr>
          <w:rFonts w:ascii="Arial" w:cs="Arial" w:eastAsia="Arial" w:hAnsi="Arial"/>
          <w:sz w:val="16"/>
          <w:szCs w:val="16"/>
          <w:color w:val="auto"/>
        </w:rPr>
      </w:pPr>
    </w:p>
    <w:p>
      <w:pPr>
        <w:ind w:right="40" w:firstLine="1492"/>
        <w:spacing w:after="0" w:line="257" w:lineRule="auto"/>
        <w:tabs>
          <w:tab w:leader="none" w:pos="173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92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269" w:right="23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ACI</w:t>
      </w:r>
      <w:r>
        <w:rPr>
          <w:rFonts w:ascii="Arial" w:cs="Arial" w:eastAsia="Arial" w:hAnsi="Arial"/>
          <w:sz w:val="16"/>
          <w:szCs w:val="16"/>
          <w:color w:val="auto"/>
        </w:rPr>
        <w:t>. ACI shall defend, indemnify and hold harmless Genentech,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5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xml:space="preserve">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70" w:right="2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years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70" w:right="23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Program Confidential 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69" w:right="2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270" w:right="2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outline.</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270" w:right="2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 Notwithstanding anything to the contrary in the foregoing provision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any Dispute relating to Genentech and/or its Affiliate(s)’s assertion of non-infringement of or by any of its activities with respect to ACI IP Rights, including without limitation any assertion by Genentech or its Affiliates that the making, using, selling, offering for sale and importation of any Tau-Active Antibody(ies) and/or Licensed Product(s) do not infringe ACI IP Rights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Sections 13.1 and 13.2</w:t>
      </w:r>
      <w:r>
        <w:rPr>
          <w:rFonts w:ascii="Arial" w:cs="Arial" w:eastAsia="Arial" w:hAnsi="Arial"/>
          <w:sz w:val="18"/>
          <w:szCs w:val="18"/>
          <w:color w:val="auto"/>
        </w:rPr>
        <w:t xml:space="preserve">, provided that at least [*****] of the [*****] arbitrators provided in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Assignment and Delegation</w:t>
      </w:r>
      <w:r>
        <w:rPr>
          <w:rFonts w:ascii="Arial" w:cs="Arial" w:eastAsia="Arial" w:hAnsi="Arial"/>
          <w:sz w:val="17"/>
          <w:szCs w:val="17"/>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related to this Agreement whether by sale, merger, operation of law or otherwise. If during the term of the Research Program, ACI makes a permitted assignment to a successor in accordance with the foregoing sentence, Genentech may terminate the Research Program upon notice without terminating this Agreement.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shall be null and void.</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Relationship of GNE and Roche</w:t>
      </w:r>
      <w:r>
        <w:rPr>
          <w:rFonts w:ascii="Arial" w:cs="Arial" w:eastAsia="Arial" w:hAnsi="Arial"/>
          <w:sz w:val="18"/>
          <w:szCs w:val="18"/>
          <w:color w:val="auto"/>
        </w:rPr>
        <w:t>. GNE and Roche are jointly referred to in this Agreement as Genentech. Except where either GNE or Roche are expressly referred to herein, (a) each of GNE and Roche shall be entitled to exercise any rights or perform any obligation attributed in this Agreement to Genentech, and each of GNE and Roche shall be jointly liable for any obligation attributed in this Agreement to Genentech. Any communication or act by GNE shall be deemed to have been consented by Roche and any act or communication by Roche shall be deemed to have consented by GNE. Except where either GNE or Roche are expressly referred to herein, ACI shall be entitled to meet its obligation to Genentech by delivering a notice or perform its obligations to either GNE or Roche.</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7"/>
          <w:szCs w:val="17"/>
          <w:u w:val="single" w:color="auto"/>
          <w:color w:val="auto"/>
        </w:rPr>
        <w:t>Section 9.3.2</w:t>
      </w:r>
      <w:r>
        <w:rPr>
          <w:rFonts w:ascii="Arial" w:cs="Arial" w:eastAsia="Arial" w:hAnsi="Arial"/>
          <w:sz w:val="17"/>
          <w:szCs w:val="17"/>
          <w:color w:val="auto"/>
        </w:rPr>
        <w:t xml:space="preserve">.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Competitor</w:t>
      </w:r>
      <w:r>
        <w:rPr>
          <w:rFonts w:ascii="Arial" w:cs="Arial" w:eastAsia="Arial" w:hAnsi="Arial"/>
          <w:sz w:val="17"/>
          <w:szCs w:val="17"/>
          <w:color w:val="auto"/>
        </w:rPr>
        <w:t>” means any Person that conducts any research and/or development, activities, or that manufactures, promotes,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70" w:right="2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markets, distributes and/or sells any products for [*****], in the biotechnology or pharmaceutical industry.</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March 18, 2010,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70" w:right="2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CONFIDENTIAL</w:t>
            </w:r>
          </w:p>
        </w:tc>
        <w:tc>
          <w:tcPr>
            <w:tcW w:w="1680" w:type="dxa"/>
            <w:vAlign w:val="bottom"/>
          </w:tcPr>
          <w:p>
            <w:pPr>
              <w:spacing w:after="0"/>
              <w:rPr>
                <w:sz w:val="20"/>
                <w:szCs w:val="20"/>
                <w:color w:val="auto"/>
              </w:rPr>
            </w:pPr>
          </w:p>
        </w:tc>
        <w:tc>
          <w:tcPr>
            <w:tcW w:w="2820" w:type="dxa"/>
            <w:vAlign w:val="bottom"/>
          </w:tcPr>
          <w:p>
            <w:pPr>
              <w:ind w:left="380"/>
              <w:spacing w:after="0"/>
              <w:rPr>
                <w:sz w:val="20"/>
                <w:szCs w:val="20"/>
                <w:color w:val="auto"/>
              </w:rPr>
            </w:pPr>
            <w:r>
              <w:rPr>
                <w:rFonts w:ascii="Arial" w:cs="Arial" w:eastAsia="Arial" w:hAnsi="Arial"/>
                <w:sz w:val="18"/>
                <w:szCs w:val="18"/>
                <w:color w:val="auto"/>
                <w:w w:val="97"/>
              </w:rPr>
              <w:t>FINAL EXECUTION VERSION</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Genentech:</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438"/>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3240" w:type="dxa"/>
            <w:vAlign w:val="bottom"/>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2820" w:type="dxa"/>
            <w:vAlign w:val="bottom"/>
          </w:tcPr>
          <w:p>
            <w:pPr>
              <w:spacing w:after="0"/>
              <w:rPr>
                <w:sz w:val="24"/>
                <w:szCs w:val="24"/>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1 DNA Way</w:t>
            </w:r>
          </w:p>
        </w:tc>
        <w:tc>
          <w:tcPr>
            <w:tcW w:w="4500" w:type="dxa"/>
            <w:vAlign w:val="bottom"/>
            <w:gridSpan w:val="2"/>
          </w:tcPr>
          <w:p>
            <w:pPr>
              <w:spacing w:after="0"/>
              <w:rPr>
                <w:sz w:val="20"/>
                <w:szCs w:val="20"/>
                <w:color w:val="auto"/>
              </w:rPr>
            </w:pPr>
            <w:r>
              <w:rPr>
                <w:rFonts w:ascii="Arial" w:cs="Arial" w:eastAsia="Arial" w:hAnsi="Arial"/>
                <w:sz w:val="18"/>
                <w:szCs w:val="18"/>
                <w:color w:val="auto"/>
              </w:rPr>
              <w:t>1 DNA Way</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c>
          <w:tcPr>
            <w:tcW w:w="45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Corporate Secretary</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Vice President, Genentech Partnering</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46"/>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and</w:t>
            </w:r>
          </w:p>
        </w:tc>
      </w:tr>
      <w:tr>
        <w:trPr>
          <w:trHeight w:val="418"/>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 Hoffmann-La Roche Ltd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Grenzacherstrasse 124</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4070 Basel</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Attn: Corporate Legal Department</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1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05"/>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ACI:</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20"/>
        </w:trPr>
        <w:tc>
          <w:tcPr>
            <w:tcW w:w="480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38"/>
        </w:trPr>
        <w:tc>
          <w:tcPr>
            <w:tcW w:w="4800" w:type="dxa"/>
            <w:vAlign w:val="bottom"/>
            <w:gridSpan w:val="2"/>
          </w:tcPr>
          <w:p>
            <w:pPr>
              <w:spacing w:after="0"/>
              <w:rPr>
                <w:sz w:val="20"/>
                <w:szCs w:val="20"/>
                <w:color w:val="auto"/>
              </w:rPr>
            </w:pPr>
            <w:r>
              <w:rPr>
                <w:rFonts w:ascii="Arial" w:cs="Arial" w:eastAsia="Arial" w:hAnsi="Arial"/>
                <w:sz w:val="18"/>
                <w:szCs w:val="18"/>
                <w:color w:val="auto"/>
              </w:rPr>
              <w:t>AC Immune</w:t>
            </w:r>
          </w:p>
        </w:tc>
        <w:tc>
          <w:tcPr>
            <w:tcW w:w="4500" w:type="dxa"/>
            <w:vAlign w:val="bottom"/>
            <w:gridSpan w:val="2"/>
          </w:tcPr>
          <w:p>
            <w:pPr>
              <w:spacing w:after="0"/>
              <w:rPr>
                <w:sz w:val="20"/>
                <w:szCs w:val="20"/>
                <w:color w:val="auto"/>
              </w:rPr>
            </w:pPr>
            <w:r>
              <w:rPr>
                <w:rFonts w:ascii="Arial" w:cs="Arial" w:eastAsia="Arial" w:hAnsi="Arial"/>
                <w:sz w:val="18"/>
                <w:szCs w:val="18"/>
                <w:color w:val="auto"/>
              </w:rPr>
              <w:t>VISCHER Ltd. Attorneys at law</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Pare scientifique EPFL, PSE-B,</w:t>
            </w:r>
          </w:p>
        </w:tc>
        <w:tc>
          <w:tcPr>
            <w:tcW w:w="4500" w:type="dxa"/>
            <w:vAlign w:val="bottom"/>
            <w:gridSpan w:val="2"/>
          </w:tcPr>
          <w:p>
            <w:pPr>
              <w:spacing w:after="0"/>
              <w:rPr>
                <w:sz w:val="20"/>
                <w:szCs w:val="20"/>
                <w:color w:val="auto"/>
              </w:rPr>
            </w:pPr>
            <w:r>
              <w:rPr>
                <w:rFonts w:ascii="Arial" w:cs="Arial" w:eastAsia="Arial" w:hAnsi="Arial"/>
                <w:sz w:val="18"/>
                <w:szCs w:val="18"/>
                <w:color w:val="auto"/>
              </w:rPr>
              <w:t>Aeschenvorstadt 4</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CH-1015 Lausanne, Switzerland</w:t>
            </w:r>
          </w:p>
        </w:tc>
        <w:tc>
          <w:tcPr>
            <w:tcW w:w="4500" w:type="dxa"/>
            <w:vAlign w:val="bottom"/>
            <w:gridSpan w:val="2"/>
          </w:tcPr>
          <w:p>
            <w:pPr>
              <w:spacing w:after="0"/>
              <w:rPr>
                <w:sz w:val="20"/>
                <w:szCs w:val="20"/>
                <w:color w:val="auto"/>
              </w:rPr>
            </w:pPr>
            <w:r>
              <w:rPr>
                <w:rFonts w:ascii="Arial" w:cs="Arial" w:eastAsia="Arial" w:hAnsi="Arial"/>
                <w:sz w:val="18"/>
                <w:szCs w:val="18"/>
                <w:color w:val="auto"/>
              </w:rPr>
              <w:t>CH-4051 Basel, Switzerland</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CEO</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269" w:right="2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270" w:right="2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Krognes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Pr>
          <w:p>
            <w:pPr>
              <w:spacing w:after="0"/>
              <w:rPr>
                <w:sz w:val="20"/>
                <w:szCs w:val="20"/>
                <w:color w:val="auto"/>
              </w:rPr>
            </w:pPr>
            <w:r>
              <w:rPr>
                <w:rFonts w:ascii="Arial" w:cs="Arial" w:eastAsia="Arial" w:hAnsi="Arial"/>
                <w:sz w:val="18"/>
                <w:szCs w:val="18"/>
                <w:color w:val="auto"/>
              </w:rPr>
              <w:t>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Steve Krognes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CEO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F. Hoffmann-La Roche Ltd</w:t>
            </w:r>
          </w:p>
        </w:tc>
      </w:tr>
      <w:tr>
        <w:trPr>
          <w:trHeight w:val="432"/>
        </w:trPr>
        <w:tc>
          <w:tcPr>
            <w:tcW w:w="60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Sophie Kornowski-Bonne</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Sophie Kornowski-Bonne</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CSO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Global Head Roche Partnering</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Arnold</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Stefan Arnold</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Head Legal Pharma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1420"/>
          </w:cols>
          <w:pgMar w:left="240" w:top="270" w:right="2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Applicant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Application No</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Patent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Application date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lapsed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189"/>
        </w:trPr>
        <w:tc>
          <w:tcPr>
            <w:tcW w:w="6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bl>
    <w:p>
      <w:pPr>
        <w:ind w:left="10120"/>
        <w:spacing w:after="0"/>
        <w:rPr>
          <w:sz w:val="20"/>
          <w:szCs w:val="20"/>
          <w:color w:val="auto"/>
        </w:rPr>
      </w:pPr>
      <w:r>
        <w:rPr>
          <w:rFonts w:ascii="Arial" w:cs="Arial" w:eastAsia="Arial" w:hAnsi="Arial"/>
          <w:sz w:val="18"/>
          <w:szCs w:val="18"/>
          <w:color w:val="auto"/>
        </w:rPr>
        <w:t>Tau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1420"/>
          </w:cols>
          <w:pgMar w:left="240" w:top="270" w:right="239" w:bottom="1440" w:gutter="0" w:footer="0" w:header="0"/>
        </w:sectPr>
      </w:pPr>
    </w:p>
    <w:bookmarkStart w:id="364" w:name="page365"/>
    <w:bookmarkEnd w:id="36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Research Plan</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 Immune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pTau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Tau [*****] Tau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0219"/>
          </w:cols>
          <w:pgMar w:left="240" w:top="270" w:right="1440" w:bottom="1440" w:gutter="0" w:footer="0" w:header="0"/>
        </w:sectPr>
      </w:pPr>
    </w:p>
    <w:bookmarkStart w:id="365" w:name="page366"/>
    <w:bookmarkEnd w:id="36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pTau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ptau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tau [*****]</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0219"/>
          </w:cols>
          <w:pgMar w:left="240" w:top="269" w:right="1440"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Antigens for Discovery Antibodies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5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Vaccine</w:t>
            </w:r>
          </w:p>
        </w:tc>
        <w:tc>
          <w:tcPr>
            <w:tcW w:w="394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Antigens*: Sequence*’*, length (n), sequence ID number</w:t>
            </w:r>
          </w:p>
        </w:tc>
        <w:tc>
          <w:tcPr>
            <w:tcW w:w="1360" w:type="dxa"/>
            <w:vAlign w:val="bottom"/>
          </w:tcPr>
          <w:p>
            <w:pPr>
              <w:spacing w:after="0"/>
              <w:rPr>
                <w:sz w:val="14"/>
                <w:szCs w:val="14"/>
                <w:color w:val="auto"/>
              </w:rPr>
            </w:pPr>
          </w:p>
        </w:tc>
      </w:tr>
      <w:tr>
        <w:trPr>
          <w:trHeight w:val="195"/>
        </w:trPr>
        <w:tc>
          <w:tcPr>
            <w:tcW w:w="13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340" w:type="dxa"/>
            <w:vAlign w:val="bottom"/>
          </w:tcPr>
          <w:p>
            <w:pPr>
              <w:spacing w:after="0" w:line="195" w:lineRule="exact"/>
              <w:rPr>
                <w:sz w:val="20"/>
                <w:szCs w:val="20"/>
                <w:color w:val="auto"/>
              </w:rPr>
            </w:pPr>
            <w:r>
              <w:rPr>
                <w:rFonts w:ascii="Arial" w:cs="Arial" w:eastAsia="Arial" w:hAnsi="Arial"/>
                <w:sz w:val="18"/>
                <w:szCs w:val="18"/>
                <w:color w:val="auto"/>
              </w:rPr>
              <w:t>Tau</w:t>
            </w:r>
          </w:p>
        </w:tc>
        <w:tc>
          <w:tcPr>
            <w:tcW w:w="580" w:type="dxa"/>
            <w:vAlign w:val="bottom"/>
          </w:tcPr>
          <w:p>
            <w:pPr>
              <w:spacing w:after="0"/>
              <w:rPr>
                <w:sz w:val="16"/>
                <w:szCs w:val="16"/>
                <w:color w:val="auto"/>
              </w:rPr>
            </w:pP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r>
      <w:tr>
        <w:trPr>
          <w:trHeight w:val="459"/>
        </w:trPr>
        <w:tc>
          <w:tcPr>
            <w:tcW w:w="138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 (Tau441). [*****]</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00" w:type="dxa"/>
            <w:vAlign w:val="bottom"/>
            <w:tcBorders>
              <w:bottom w:val="single" w:sz="8" w:color="auto"/>
            </w:tcBorders>
            <w:gridSpan w:val="3"/>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50"/>
        </w:trPr>
        <w:tc>
          <w:tcPr>
            <w:tcW w:w="4400" w:type="dxa"/>
            <w:vAlign w:val="bottom"/>
            <w:gridSpan w:val="3"/>
          </w:tcPr>
          <w:p>
            <w:pPr>
              <w:spacing w:after="0"/>
              <w:rPr>
                <w:sz w:val="20"/>
                <w:szCs w:val="20"/>
                <w:color w:val="auto"/>
              </w:rPr>
            </w:pPr>
            <w:r>
              <w:rPr>
                <w:rFonts w:ascii="Arial" w:cs="Arial" w:eastAsia="Arial" w:hAnsi="Arial"/>
                <w:sz w:val="18"/>
                <w:szCs w:val="18"/>
                <w:color w:val="auto"/>
              </w:rPr>
              <w:t>Research Collaboration and License Agreement (Tau)</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ectPr>
          <w:pgSz w:w="11900" w:h="16838" w:orient="portrait"/>
          <w:cols w:equalWidth="0" w:num="1">
            <w:col w:w="11420"/>
          </w:cols>
          <w:pgMar w:left="240" w:top="269"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Piramal Imaging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Piramal Imaging SA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Effective May 9, 2014</w:t>
      </w:r>
    </w:p>
    <w:p>
      <w:pPr>
        <w:sectPr>
          <w:pgSz w:w="11900" w:h="16838" w:orient="portrait"/>
          <w:cols w:equalWidth="0" w:num="1">
            <w:col w:w="10220"/>
          </w:cols>
          <w:pgMar w:left="1440" w:top="121" w:right="239" w:bottom="1440" w:gutter="0" w:footer="0" w:header="0"/>
        </w:sectPr>
      </w:pPr>
    </w:p>
    <w:bookmarkStart w:id="368" w:name="page369"/>
    <w:bookmarkEnd w:id="36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6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1740" w:type="dxa"/>
            <w:vAlign w:val="bottom"/>
          </w:tcPr>
          <w:p>
            <w:pPr>
              <w:spacing w:after="0"/>
              <w:rPr>
                <w:sz w:val="20"/>
                <w:szCs w:val="20"/>
                <w:color w:val="auto"/>
              </w:rPr>
            </w:pPr>
          </w:p>
        </w:tc>
      </w:tr>
      <w:tr>
        <w:trPr>
          <w:trHeight w:val="459"/>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1</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2</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SCOPE OF COLLABORATION AND MANAGEMENT</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Scope of Collaboration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Joint Steering Committee</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Purpose; Formation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Composition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(c)</w:t>
            </w:r>
          </w:p>
        </w:tc>
        <w:tc>
          <w:tcPr>
            <w:tcW w:w="7960" w:type="dxa"/>
            <w:vAlign w:val="bottom"/>
          </w:tcPr>
          <w:p>
            <w:pPr>
              <w:ind w:left="380"/>
              <w:spacing w:after="0"/>
              <w:rPr>
                <w:sz w:val="20"/>
                <w:szCs w:val="20"/>
                <w:color w:val="auto"/>
              </w:rPr>
            </w:pPr>
            <w:r>
              <w:rPr>
                <w:rFonts w:ascii="Arial" w:cs="Arial" w:eastAsia="Arial" w:hAnsi="Arial"/>
                <w:sz w:val="18"/>
                <w:szCs w:val="18"/>
                <w:color w:val="auto"/>
              </w:rPr>
              <w:t>Responsibilities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(d)</w:t>
            </w:r>
          </w:p>
        </w:tc>
        <w:tc>
          <w:tcPr>
            <w:tcW w:w="7960" w:type="dxa"/>
            <w:vAlign w:val="bottom"/>
          </w:tcPr>
          <w:p>
            <w:pPr>
              <w:ind w:left="380"/>
              <w:spacing w:after="0"/>
              <w:rPr>
                <w:sz w:val="20"/>
                <w:szCs w:val="20"/>
                <w:color w:val="auto"/>
              </w:rPr>
            </w:pPr>
            <w:r>
              <w:rPr>
                <w:rFonts w:ascii="Arial" w:cs="Arial" w:eastAsia="Arial" w:hAnsi="Arial"/>
                <w:sz w:val="18"/>
                <w:szCs w:val="18"/>
                <w:color w:val="auto"/>
              </w:rPr>
              <w:t>Meetings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(e)</w:t>
            </w:r>
          </w:p>
        </w:tc>
        <w:tc>
          <w:tcPr>
            <w:tcW w:w="7960" w:type="dxa"/>
            <w:vAlign w:val="bottom"/>
          </w:tcPr>
          <w:p>
            <w:pPr>
              <w:ind w:left="380"/>
              <w:spacing w:after="0"/>
              <w:rPr>
                <w:sz w:val="20"/>
                <w:szCs w:val="20"/>
                <w:color w:val="auto"/>
              </w:rPr>
            </w:pPr>
            <w:r>
              <w:rPr>
                <w:rFonts w:ascii="Arial" w:cs="Arial" w:eastAsia="Arial" w:hAnsi="Arial"/>
                <w:sz w:val="18"/>
                <w:szCs w:val="18"/>
                <w:color w:val="auto"/>
              </w:rPr>
              <w:t>Decision Making</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Resolution of Committee Disputes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Within the JSC</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Referral to Executive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3</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LICENSES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License Grant to Piramal Imaging SA</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Exclusive License Under AC Immune Tau Protein Imaging IP and Collaboration IP</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Non-Exclusive License Under AC Immune Background IP</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Grant to AC Immune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Sublicenses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No Implied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Other Development</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Reservation of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4</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Overview</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Research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Development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Other Discovery</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4.5</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4.6</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Information and Records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5</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REGULATORY</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60" w:type="dxa"/>
            <w:vAlign w:val="bottom"/>
          </w:tcPr>
          <w:p>
            <w:pPr>
              <w:ind w:left="3880"/>
              <w:spacing w:after="0"/>
              <w:rPr>
                <w:sz w:val="20"/>
                <w:szCs w:val="20"/>
                <w:color w:val="auto"/>
              </w:rPr>
            </w:pPr>
            <w:r>
              <w:rPr>
                <w:rFonts w:ascii="Arial" w:cs="Arial" w:eastAsia="Arial" w:hAnsi="Arial"/>
                <w:sz w:val="18"/>
                <w:szCs w:val="18"/>
                <w:color w:val="auto"/>
              </w:rPr>
              <w:t>Page i</w:t>
            </w:r>
          </w:p>
        </w:tc>
        <w:tc>
          <w:tcPr>
            <w:tcW w:w="174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369" w:name="page370"/>
    <w:bookmarkEnd w:id="36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5.1</w:t>
            </w:r>
          </w:p>
        </w:tc>
        <w:tc>
          <w:tcPr>
            <w:tcW w:w="10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880" w:type="dxa"/>
            <w:vAlign w:val="bottom"/>
          </w:tcPr>
          <w:p>
            <w:pPr>
              <w:spacing w:after="0"/>
              <w:rPr>
                <w:sz w:val="20"/>
                <w:szCs w:val="20"/>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5.2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Rights of Reference to Regulatory Materials</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MANUFACTURING; SUPPLY</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Manufacture</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6.2</w:t>
            </w:r>
          </w:p>
        </w:tc>
        <w:tc>
          <w:tcPr>
            <w:tcW w:w="1020" w:type="dxa"/>
            <w:vAlign w:val="bottom"/>
          </w:tcPr>
          <w:p>
            <w:pPr>
              <w:ind w:left="22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6.3</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Supply of [*****] Doses</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7</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COMMERCIALIZATION</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7.1</w:t>
            </w:r>
          </w:p>
        </w:tc>
        <w:tc>
          <w:tcPr>
            <w:tcW w:w="10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7.2</w:t>
            </w:r>
          </w:p>
        </w:tc>
        <w:tc>
          <w:tcPr>
            <w:tcW w:w="1020" w:type="dxa"/>
            <w:vAlign w:val="bottom"/>
          </w:tcPr>
          <w:p>
            <w:pPr>
              <w:ind w:left="220"/>
              <w:spacing w:after="0"/>
              <w:rPr>
                <w:sz w:val="20"/>
                <w:szCs w:val="20"/>
                <w:color w:val="auto"/>
              </w:rPr>
            </w:pPr>
            <w:r>
              <w:rPr>
                <w:rFonts w:ascii="Arial" w:cs="Arial" w:eastAsia="Arial" w:hAnsi="Arial"/>
                <w:sz w:val="18"/>
                <w:szCs w:val="18"/>
                <w:color w:val="auto"/>
              </w:rPr>
              <w:t>Pricing</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8</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CONSIDERATION AND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Upfront Payment</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Development Milestone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8.3</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Sales Milestones</w:t>
            </w:r>
          </w:p>
        </w:tc>
        <w:tc>
          <w:tcPr>
            <w:tcW w:w="6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8.4</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Sublicensing Revenue</w:t>
            </w:r>
          </w:p>
        </w:tc>
        <w:tc>
          <w:tcPr>
            <w:tcW w:w="6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8.5</w:t>
            </w:r>
          </w:p>
        </w:tc>
        <w:tc>
          <w:tcPr>
            <w:tcW w:w="1020" w:type="dxa"/>
            <w:vAlign w:val="bottom"/>
          </w:tcPr>
          <w:p>
            <w:pPr>
              <w:ind w:left="220"/>
              <w:spacing w:after="0"/>
              <w:rPr>
                <w:sz w:val="20"/>
                <w:szCs w:val="20"/>
                <w:color w:val="auto"/>
              </w:rPr>
            </w:pPr>
            <w:r>
              <w:rPr>
                <w:rFonts w:ascii="Arial" w:cs="Arial" w:eastAsia="Arial" w:hAnsi="Arial"/>
                <w:sz w:val="18"/>
                <w:szCs w:val="18"/>
                <w:color w:val="auto"/>
              </w:rPr>
              <w:t>Royalties</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Royalty Step-Down</w:t>
            </w:r>
          </w:p>
        </w:tc>
        <w:tc>
          <w:tcPr>
            <w:tcW w:w="6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(b)</w:t>
            </w:r>
          </w:p>
        </w:tc>
        <w:tc>
          <w:tcPr>
            <w:tcW w:w="2880" w:type="dxa"/>
            <w:vAlign w:val="bottom"/>
          </w:tcPr>
          <w:p>
            <w:pPr>
              <w:spacing w:after="0"/>
              <w:rPr>
                <w:sz w:val="20"/>
                <w:szCs w:val="20"/>
                <w:color w:val="auto"/>
              </w:rPr>
            </w:pPr>
            <w:r>
              <w:rPr>
                <w:rFonts w:ascii="Arial" w:cs="Arial" w:eastAsia="Arial" w:hAnsi="Arial"/>
                <w:sz w:val="18"/>
                <w:szCs w:val="18"/>
                <w:color w:val="auto"/>
              </w:rPr>
              <w:t>Royalty Term</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8.6</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Reduction for Third Party Licenses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8.7</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Reports and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Milestones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(b)</w:t>
            </w:r>
          </w:p>
        </w:tc>
        <w:tc>
          <w:tcPr>
            <w:tcW w:w="2880" w:type="dxa"/>
            <w:vAlign w:val="bottom"/>
          </w:tcPr>
          <w:p>
            <w:pPr>
              <w:spacing w:after="0"/>
              <w:rPr>
                <w:sz w:val="20"/>
                <w:szCs w:val="20"/>
                <w:color w:val="auto"/>
              </w:rPr>
            </w:pPr>
            <w:r>
              <w:rPr>
                <w:rFonts w:ascii="Arial" w:cs="Arial" w:eastAsia="Arial" w:hAnsi="Arial"/>
                <w:sz w:val="18"/>
                <w:szCs w:val="18"/>
                <w:color w:val="auto"/>
              </w:rPr>
              <w:t>Sublicense Revenue</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(c)</w:t>
            </w:r>
          </w:p>
        </w:tc>
        <w:tc>
          <w:tcPr>
            <w:tcW w:w="2880" w:type="dxa"/>
            <w:vAlign w:val="bottom"/>
          </w:tcPr>
          <w:p>
            <w:pPr>
              <w:spacing w:after="0"/>
              <w:rPr>
                <w:sz w:val="20"/>
                <w:szCs w:val="20"/>
                <w:color w:val="auto"/>
              </w:rPr>
            </w:pPr>
            <w:r>
              <w:rPr>
                <w:rFonts w:ascii="Arial" w:cs="Arial" w:eastAsia="Arial" w:hAnsi="Arial"/>
                <w:sz w:val="18"/>
                <w:szCs w:val="18"/>
                <w:color w:val="auto"/>
              </w:rPr>
              <w:t>Royalties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8.8</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Payment Method</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8.9</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Blocked Currency</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8.10</w:t>
            </w:r>
          </w:p>
        </w:tc>
        <w:tc>
          <w:tcPr>
            <w:tcW w:w="1020" w:type="dxa"/>
            <w:vAlign w:val="bottom"/>
          </w:tcPr>
          <w:p>
            <w:pPr>
              <w:ind w:left="220"/>
              <w:spacing w:after="0"/>
              <w:rPr>
                <w:sz w:val="20"/>
                <w:szCs w:val="20"/>
                <w:color w:val="auto"/>
              </w:rPr>
            </w:pPr>
            <w:r>
              <w:rPr>
                <w:rFonts w:ascii="Arial" w:cs="Arial" w:eastAsia="Arial" w:hAnsi="Arial"/>
                <w:sz w:val="18"/>
                <w:szCs w:val="18"/>
                <w:color w:val="auto"/>
              </w:rPr>
              <w:t>Currency</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Taxes and Withholding</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Maintenance of Records</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8.13</w:t>
            </w:r>
          </w:p>
        </w:tc>
        <w:tc>
          <w:tcPr>
            <w:tcW w:w="1020" w:type="dxa"/>
            <w:vAlign w:val="bottom"/>
          </w:tcPr>
          <w:p>
            <w:pPr>
              <w:ind w:left="220"/>
              <w:spacing w:after="0"/>
              <w:rPr>
                <w:sz w:val="20"/>
                <w:szCs w:val="20"/>
                <w:color w:val="auto"/>
              </w:rPr>
            </w:pPr>
            <w:r>
              <w:rPr>
                <w:rFonts w:ascii="Arial" w:cs="Arial" w:eastAsia="Arial" w:hAnsi="Arial"/>
                <w:sz w:val="18"/>
                <w:szCs w:val="18"/>
                <w:color w:val="auto"/>
              </w:rPr>
              <w:t>Audits</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9</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INTELLECTUAL PROPERTY</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w:t>
            </w:r>
          </w:p>
        </w:tc>
        <w:tc>
          <w:tcPr>
            <w:tcW w:w="1020" w:type="dxa"/>
            <w:vAlign w:val="bottom"/>
          </w:tcPr>
          <w:p>
            <w:pPr>
              <w:ind w:left="220"/>
              <w:spacing w:after="0"/>
              <w:rPr>
                <w:sz w:val="20"/>
                <w:szCs w:val="20"/>
                <w:color w:val="auto"/>
              </w:rPr>
            </w:pPr>
            <w:r>
              <w:rPr>
                <w:rFonts w:ascii="Arial" w:cs="Arial" w:eastAsia="Arial" w:hAnsi="Arial"/>
                <w:sz w:val="18"/>
                <w:szCs w:val="18"/>
                <w:color w:val="auto"/>
                <w:w w:val="90"/>
              </w:rPr>
              <w:t>Ownership</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Background IP</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tcPr>
          <w:p>
            <w:pPr>
              <w:jc w:val="right"/>
              <w:ind w:right="5270"/>
              <w:spacing w:after="0"/>
              <w:rPr>
                <w:sz w:val="20"/>
                <w:szCs w:val="20"/>
                <w:color w:val="auto"/>
              </w:rPr>
            </w:pPr>
            <w:r>
              <w:rPr>
                <w:rFonts w:ascii="Arial" w:cs="Arial" w:eastAsia="Arial" w:hAnsi="Arial"/>
                <w:sz w:val="18"/>
                <w:szCs w:val="18"/>
                <w:color w:val="auto"/>
              </w:rPr>
              <w:t>Page ii</w:t>
            </w:r>
          </w:p>
        </w:tc>
      </w:tr>
    </w:tbl>
    <w:p>
      <w:pPr>
        <w:sectPr>
          <w:pgSz w:w="11900" w:h="16838" w:orient="portrait"/>
          <w:cols w:equalWidth="0" w:num="1">
            <w:col w:w="11320"/>
          </w:cols>
          <w:pgMar w:left="240" w:top="270" w:right="339" w:bottom="1440" w:gutter="0" w:footer="0" w:header="0"/>
        </w:sectPr>
      </w:pPr>
    </w:p>
    <w:bookmarkStart w:id="370" w:name="page371"/>
    <w:bookmarkEnd w:id="37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Inventions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Prosecution and Maintenance of AC Immune Tau Protein Imaging IP and Jointly Owned Collaboration IP</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9.4</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Abandonment of Prosecution and Maintenance</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9.5</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Prosecution and Maintenance of Solely Owned Collaboration Patents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9.6</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Defense of Third Party Infringement Claims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9.7</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Enforcement; Patent Challenge</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9.8</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10</w:t>
            </w:r>
          </w:p>
        </w:tc>
        <w:tc>
          <w:tcPr>
            <w:tcW w:w="48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Confidentiality; Exceptions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Authorized Use and 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Injunctive Relief</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10.4</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Terms of Agreement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10.5</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Publications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10.6</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Publicity</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Press Releases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Required Disclosures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11</w:t>
            </w:r>
          </w:p>
        </w:tc>
        <w:tc>
          <w:tcPr>
            <w:tcW w:w="48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TERM AND 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11.1</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Breach</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Insolvency</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tcPr>
          <w:p>
            <w:pPr>
              <w:ind w:left="260"/>
              <w:spacing w:after="0"/>
              <w:rPr>
                <w:sz w:val="20"/>
                <w:szCs w:val="20"/>
                <w:color w:val="auto"/>
              </w:rPr>
            </w:pPr>
            <w:r>
              <w:rPr>
                <w:rFonts w:ascii="Arial" w:cs="Arial" w:eastAsia="Arial" w:hAnsi="Arial"/>
                <w:sz w:val="18"/>
                <w:szCs w:val="18"/>
                <w:color w:val="auto"/>
              </w:rPr>
              <w:t>Termination by Piramal Without Cause</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Consequences of 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Piramal Without Cause</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AC Immune for Breach by Piramal</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Piramal for Breach by AC Immune</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(d)</w:t>
            </w:r>
          </w:p>
        </w:tc>
        <w:tc>
          <w:tcPr>
            <w:tcW w:w="8420" w:type="dxa"/>
            <w:vAlign w:val="bottom"/>
          </w:tcPr>
          <w:p>
            <w:pPr>
              <w:ind w:left="260"/>
              <w:spacing w:after="0"/>
              <w:rPr>
                <w:sz w:val="20"/>
                <w:szCs w:val="20"/>
                <w:color w:val="auto"/>
              </w:rPr>
            </w:pPr>
            <w:r>
              <w:rPr>
                <w:rFonts w:ascii="Arial" w:cs="Arial" w:eastAsia="Arial" w:hAnsi="Arial"/>
                <w:sz w:val="18"/>
                <w:szCs w:val="18"/>
                <w:color w:val="auto"/>
              </w:rPr>
              <w:t>Accrued Obligations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(e)</w:t>
            </w:r>
          </w:p>
        </w:tc>
        <w:tc>
          <w:tcPr>
            <w:tcW w:w="8420" w:type="dxa"/>
            <w:vAlign w:val="bottom"/>
          </w:tcPr>
          <w:p>
            <w:pPr>
              <w:ind w:left="260"/>
              <w:spacing w:after="0"/>
              <w:rPr>
                <w:sz w:val="20"/>
                <w:szCs w:val="20"/>
                <w:color w:val="auto"/>
              </w:rPr>
            </w:pPr>
            <w:r>
              <w:rPr>
                <w:rFonts w:ascii="Arial" w:cs="Arial" w:eastAsia="Arial" w:hAnsi="Arial"/>
                <w:sz w:val="18"/>
                <w:szCs w:val="18"/>
                <w:color w:val="auto"/>
              </w:rPr>
              <w:t>Ancillary Agreements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(f)</w:t>
            </w:r>
          </w:p>
        </w:tc>
        <w:tc>
          <w:tcPr>
            <w:tcW w:w="8420" w:type="dxa"/>
            <w:vAlign w:val="bottom"/>
          </w:tcPr>
          <w:p>
            <w:pPr>
              <w:ind w:left="260"/>
              <w:spacing w:after="0"/>
              <w:rPr>
                <w:sz w:val="20"/>
                <w:szCs w:val="20"/>
                <w:color w:val="auto"/>
              </w:rPr>
            </w:pPr>
            <w:r>
              <w:rPr>
                <w:rFonts w:ascii="Arial" w:cs="Arial" w:eastAsia="Arial" w:hAnsi="Arial"/>
                <w:sz w:val="18"/>
                <w:szCs w:val="18"/>
                <w:color w:val="auto"/>
              </w:rPr>
              <w:t>Non-Exclusive Remedy</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(g)</w:t>
            </w:r>
          </w:p>
        </w:tc>
        <w:tc>
          <w:tcPr>
            <w:tcW w:w="8420" w:type="dxa"/>
            <w:vAlign w:val="bottom"/>
          </w:tcPr>
          <w:p>
            <w:pPr>
              <w:ind w:left="260"/>
              <w:spacing w:after="0"/>
              <w:rPr>
                <w:sz w:val="20"/>
                <w:szCs w:val="20"/>
                <w:color w:val="auto"/>
              </w:rPr>
            </w:pPr>
            <w:r>
              <w:rPr>
                <w:rFonts w:ascii="Arial" w:cs="Arial" w:eastAsia="Arial" w:hAnsi="Arial"/>
                <w:sz w:val="18"/>
                <w:szCs w:val="18"/>
                <w:color w:val="auto"/>
              </w:rPr>
              <w:t>Survival</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20" w:type="dxa"/>
            <w:vAlign w:val="bottom"/>
          </w:tcPr>
          <w:p>
            <w:pPr>
              <w:ind w:left="3800"/>
              <w:spacing w:after="0"/>
              <w:rPr>
                <w:sz w:val="20"/>
                <w:szCs w:val="20"/>
                <w:color w:val="auto"/>
              </w:rPr>
            </w:pPr>
            <w:r>
              <w:rPr>
                <w:rFonts w:ascii="Arial" w:cs="Arial" w:eastAsia="Arial" w:hAnsi="Arial"/>
                <w:sz w:val="18"/>
                <w:szCs w:val="18"/>
                <w:color w:val="auto"/>
              </w:rPr>
              <w:t>Page iii</w:t>
            </w:r>
          </w:p>
        </w:tc>
        <w:tc>
          <w:tcPr>
            <w:tcW w:w="1260" w:type="dxa"/>
            <w:vAlign w:val="bottom"/>
          </w:tcPr>
          <w:p>
            <w:pPr>
              <w:spacing w:after="0"/>
              <w:rPr>
                <w:sz w:val="24"/>
                <w:szCs w:val="24"/>
                <w:color w:val="auto"/>
              </w:rPr>
            </w:pPr>
          </w:p>
        </w:tc>
      </w:tr>
    </w:tbl>
    <w:p>
      <w:pPr>
        <w:sectPr>
          <w:pgSz w:w="11900" w:h="16838" w:orient="portrait"/>
          <w:cols w:equalWidth="0" w:num="1">
            <w:col w:w="11320"/>
          </w:cols>
          <w:pgMar w:left="240" w:top="269" w:right="339" w:bottom="1440" w:gutter="0" w:footer="0" w:header="0"/>
        </w:sectPr>
      </w:pPr>
    </w:p>
    <w:bookmarkStart w:id="371" w:name="page372"/>
    <w:bookmarkEnd w:id="37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ARTICLE 12</w:t>
            </w:r>
          </w:p>
        </w:tc>
        <w:tc>
          <w:tcPr>
            <w:tcW w:w="4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Representations, Warranties and Covenants By Both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AC Immune Representations, Warranties and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Disclaimer</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13</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INDEMNIFICATION, INSURANCE AND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Indemnification by AC Immune</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Indemnification by Piramal</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Limitations on Indemnification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Limitation on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14</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General</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Failure of Executive Officers to Resolve Dispute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Binding Arbitration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Arbitrators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Judgment</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14.6</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Injunctive Relief</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14.7</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Award</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14.8</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Costs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14.9</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14.10</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Patent Disputes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15</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Governing Law</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Compliance with Laws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Assignment of Rights and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7060" w:type="dxa"/>
            <w:vAlign w:val="bottom"/>
          </w:tcPr>
          <w:p>
            <w:pPr>
              <w:ind w:left="260"/>
              <w:spacing w:after="0"/>
              <w:rPr>
                <w:sz w:val="20"/>
                <w:szCs w:val="20"/>
                <w:color w:val="auto"/>
              </w:rPr>
            </w:pPr>
            <w:r>
              <w:rPr>
                <w:rFonts w:ascii="Arial" w:cs="Arial" w:eastAsia="Arial" w:hAnsi="Arial"/>
                <w:sz w:val="18"/>
                <w:szCs w:val="18"/>
                <w:color w:val="auto"/>
              </w:rPr>
              <w:t>General Rule</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7060" w:type="dxa"/>
            <w:vAlign w:val="bottom"/>
          </w:tcPr>
          <w:p>
            <w:pPr>
              <w:ind w:left="260"/>
              <w:spacing w:after="0"/>
              <w:rPr>
                <w:sz w:val="20"/>
                <w:szCs w:val="20"/>
                <w:color w:val="auto"/>
              </w:rPr>
            </w:pPr>
            <w:r>
              <w:rPr>
                <w:rFonts w:ascii="Arial" w:cs="Arial" w:eastAsia="Arial" w:hAnsi="Arial"/>
                <w:sz w:val="18"/>
                <w:szCs w:val="18"/>
                <w:color w:val="auto"/>
              </w:rPr>
              <w:t>Assignment in Case of a Change of Control and to Affiliates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Further 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Force Majeure</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15.6</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Representation by Legal Counsel</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15.7</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60" w:type="dxa"/>
            <w:vAlign w:val="bottom"/>
          </w:tcPr>
          <w:p>
            <w:pPr>
              <w:ind w:left="3800"/>
              <w:spacing w:after="0"/>
              <w:rPr>
                <w:sz w:val="20"/>
                <w:szCs w:val="20"/>
                <w:color w:val="auto"/>
              </w:rPr>
            </w:pPr>
            <w:r>
              <w:rPr>
                <w:rFonts w:ascii="Arial" w:cs="Arial" w:eastAsia="Arial" w:hAnsi="Arial"/>
                <w:sz w:val="18"/>
                <w:szCs w:val="18"/>
                <w:color w:val="auto"/>
              </w:rPr>
              <w:t>Page iv</w:t>
            </w:r>
          </w:p>
        </w:tc>
        <w:tc>
          <w:tcPr>
            <w:tcW w:w="2620" w:type="dxa"/>
            <w:vAlign w:val="bottom"/>
          </w:tcPr>
          <w:p>
            <w:pPr>
              <w:spacing w:after="0"/>
              <w:rPr>
                <w:sz w:val="24"/>
                <w:szCs w:val="24"/>
                <w:color w:val="auto"/>
              </w:rPr>
            </w:pPr>
          </w:p>
        </w:tc>
      </w:tr>
    </w:tbl>
    <w:p>
      <w:pPr>
        <w:sectPr>
          <w:pgSz w:w="11900" w:h="16838" w:orient="portrait"/>
          <w:cols w:equalWidth="0" w:num="1">
            <w:col w:w="11320"/>
          </w:cols>
          <w:pgMar w:left="240" w:top="269" w:right="339" w:bottom="1440" w:gutter="0" w:footer="0" w:header="0"/>
        </w:sectPr>
      </w:pPr>
    </w:p>
    <w:bookmarkStart w:id="372" w:name="page373"/>
    <w:bookmarkEnd w:id="372"/>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2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15.8</w:t>
            </w:r>
          </w:p>
        </w:tc>
        <w:tc>
          <w:tcPr>
            <w:tcW w:w="330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15.9</w:t>
            </w:r>
          </w:p>
        </w:tc>
        <w:tc>
          <w:tcPr>
            <w:tcW w:w="3300" w:type="dxa"/>
            <w:vAlign w:val="bottom"/>
          </w:tcPr>
          <w:p>
            <w:pPr>
              <w:ind w:left="280"/>
              <w:spacing w:after="0"/>
              <w:rPr>
                <w:sz w:val="20"/>
                <w:szCs w:val="20"/>
                <w:color w:val="auto"/>
              </w:rPr>
            </w:pPr>
            <w:r>
              <w:rPr>
                <w:rFonts w:ascii="Arial" w:cs="Arial" w:eastAsia="Arial" w:hAnsi="Arial"/>
                <w:sz w:val="18"/>
                <w:szCs w:val="18"/>
                <w:color w:val="auto"/>
              </w:rPr>
              <w:t>Amendment</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15.10</w:t>
            </w:r>
          </w:p>
        </w:tc>
        <w:tc>
          <w:tcPr>
            <w:tcW w:w="3300" w:type="dxa"/>
            <w:vAlign w:val="bottom"/>
          </w:tcPr>
          <w:p>
            <w:pPr>
              <w:ind w:left="280"/>
              <w:spacing w:after="0"/>
              <w:rPr>
                <w:sz w:val="20"/>
                <w:szCs w:val="20"/>
                <w:color w:val="auto"/>
              </w:rPr>
            </w:pPr>
            <w:r>
              <w:rPr>
                <w:rFonts w:ascii="Arial" w:cs="Arial" w:eastAsia="Arial" w:hAnsi="Arial"/>
                <w:sz w:val="18"/>
                <w:szCs w:val="18"/>
                <w:color w:val="auto"/>
              </w:rPr>
              <w:t>Waiver</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15.11</w:t>
            </w:r>
          </w:p>
        </w:tc>
        <w:tc>
          <w:tcPr>
            <w:tcW w:w="330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15.12</w:t>
            </w:r>
          </w:p>
        </w:tc>
        <w:tc>
          <w:tcPr>
            <w:tcW w:w="3300" w:type="dxa"/>
            <w:vAlign w:val="bottom"/>
          </w:tcPr>
          <w:p>
            <w:pPr>
              <w:ind w:left="280"/>
              <w:spacing w:after="0"/>
              <w:rPr>
                <w:sz w:val="20"/>
                <w:szCs w:val="20"/>
                <w:color w:val="auto"/>
              </w:rPr>
            </w:pPr>
            <w:r>
              <w:rPr>
                <w:rFonts w:ascii="Arial" w:cs="Arial" w:eastAsia="Arial" w:hAnsi="Arial"/>
                <w:sz w:val="18"/>
                <w:szCs w:val="18"/>
                <w:color w:val="auto"/>
              </w:rPr>
              <w:t>Relationship of the Parties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15.13</w:t>
            </w:r>
          </w:p>
        </w:tc>
        <w:tc>
          <w:tcPr>
            <w:tcW w:w="3300" w:type="dxa"/>
            <w:vAlign w:val="bottom"/>
          </w:tcPr>
          <w:p>
            <w:pPr>
              <w:ind w:left="280"/>
              <w:spacing w:after="0"/>
              <w:rPr>
                <w:sz w:val="20"/>
                <w:szCs w:val="20"/>
                <w:color w:val="auto"/>
              </w:rPr>
            </w:pPr>
            <w:r>
              <w:rPr>
                <w:rFonts w:ascii="Arial" w:cs="Arial" w:eastAsia="Arial" w:hAnsi="Arial"/>
                <w:sz w:val="18"/>
                <w:szCs w:val="18"/>
                <w:color w:val="auto"/>
              </w:rPr>
              <w:t>Interpretation</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15.14</w:t>
            </w:r>
          </w:p>
        </w:tc>
        <w:tc>
          <w:tcPr>
            <w:tcW w:w="3300" w:type="dxa"/>
            <w:vAlign w:val="bottom"/>
          </w:tcPr>
          <w:p>
            <w:pPr>
              <w:ind w:left="280"/>
              <w:spacing w:after="0"/>
              <w:rPr>
                <w:sz w:val="20"/>
                <w:szCs w:val="20"/>
                <w:color w:val="auto"/>
              </w:rPr>
            </w:pPr>
            <w:r>
              <w:rPr>
                <w:rFonts w:ascii="Arial" w:cs="Arial" w:eastAsia="Arial" w:hAnsi="Arial"/>
                <w:sz w:val="18"/>
                <w:szCs w:val="18"/>
                <w:color w:val="auto"/>
              </w:rPr>
              <w:t>Third Party Beneficiaries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15.15</w:t>
            </w:r>
          </w:p>
        </w:tc>
        <w:tc>
          <w:tcPr>
            <w:tcW w:w="330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960" w:type="dxa"/>
            <w:vAlign w:val="bottom"/>
          </w:tcPr>
          <w:p>
            <w:pPr>
              <w:jc w:val="right"/>
              <w:ind w:right="5270"/>
              <w:spacing w:after="0"/>
              <w:rPr>
                <w:sz w:val="20"/>
                <w:szCs w:val="20"/>
                <w:color w:val="auto"/>
              </w:rPr>
            </w:pPr>
            <w:r>
              <w:rPr>
                <w:rFonts w:ascii="Arial" w:cs="Arial" w:eastAsia="Arial" w:hAnsi="Arial"/>
                <w:sz w:val="18"/>
                <w:szCs w:val="18"/>
                <w:color w:val="auto"/>
              </w:rPr>
              <w:t>Page v</w:t>
            </w:r>
          </w:p>
        </w:tc>
      </w:tr>
    </w:tbl>
    <w:p>
      <w:pPr>
        <w:sectPr>
          <w:pgSz w:w="11900" w:h="16838" w:orient="portrait"/>
          <w:cols w:equalWidth="0" w:num="1">
            <w:col w:w="10960"/>
          </w:cols>
          <w:pgMar w:left="600" w:top="270"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LICENSE AND COLLABORATION AGREEMENT (hereinafter “</w:t>
      </w:r>
      <w:r>
        <w:rPr>
          <w:rFonts w:ascii="Arial" w:cs="Arial" w:eastAsia="Arial" w:hAnsi="Arial"/>
          <w:sz w:val="17"/>
          <w:szCs w:val="17"/>
          <w:b w:val="1"/>
          <w:bCs w:val="1"/>
          <w:color w:val="auto"/>
        </w:rPr>
        <w:t>Agreement</w:t>
      </w:r>
      <w:r>
        <w:rPr>
          <w:rFonts w:ascii="Arial" w:cs="Arial" w:eastAsia="Arial" w:hAnsi="Arial"/>
          <w:sz w:val="17"/>
          <w:szCs w:val="17"/>
          <w:color w:val="auto"/>
        </w:rPr>
        <w:t>”) is effective as of May 7, 2014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Piramal Imaging Ltd., incorporated under the Laws of England and Wales, having its principal place of business at 23, Science Park, Cambridge-CB4 0EY, United Kingdom (hereinafter “</w:t>
      </w:r>
      <w:r>
        <w:rPr>
          <w:rFonts w:ascii="Arial" w:cs="Arial" w:eastAsia="Arial" w:hAnsi="Arial"/>
          <w:sz w:val="17"/>
          <w:szCs w:val="17"/>
          <w:b w:val="1"/>
          <w:bCs w:val="1"/>
          <w:color w:val="auto"/>
        </w:rPr>
        <w:t>Piramal Imaging Ltd</w:t>
      </w:r>
      <w:r>
        <w:rPr>
          <w:rFonts w:ascii="Arial" w:cs="Arial" w:eastAsia="Arial" w:hAnsi="Arial"/>
          <w:sz w:val="17"/>
          <w:szCs w:val="17"/>
          <w:color w:val="auto"/>
        </w:rPr>
        <w:t>”), and its parent company, Piramal Imaging SA, incorporated under the laws of Switzerland, having its principal place of business at Route de l’Ecole, c/o Pascal Nguyen, 1753 Matran, Switzerland (hereinafter “</w:t>
      </w:r>
      <w:r>
        <w:rPr>
          <w:rFonts w:ascii="Arial" w:cs="Arial" w:eastAsia="Arial" w:hAnsi="Arial"/>
          <w:sz w:val="17"/>
          <w:szCs w:val="17"/>
          <w:b w:val="1"/>
          <w:bCs w:val="1"/>
          <w:color w:val="auto"/>
        </w:rPr>
        <w:t>Piramal Imaging SA</w:t>
      </w:r>
      <w:r>
        <w:rPr>
          <w:rFonts w:ascii="Arial" w:cs="Arial" w:eastAsia="Arial" w:hAnsi="Arial"/>
          <w:sz w:val="17"/>
          <w:szCs w:val="17"/>
          <w:color w:val="auto"/>
        </w:rPr>
        <w:t>”) (Piramal Imaging Ltd and Piramal Imaging SA hereinafter together referred to as “</w:t>
      </w:r>
      <w:r>
        <w:rPr>
          <w:rFonts w:ascii="Arial" w:cs="Arial" w:eastAsia="Arial" w:hAnsi="Arial"/>
          <w:sz w:val="17"/>
          <w:szCs w:val="17"/>
          <w:b w:val="1"/>
          <w:bCs w:val="1"/>
          <w:color w:val="auto"/>
        </w:rPr>
        <w:t>Piramal</w:t>
      </w:r>
      <w:r>
        <w:rPr>
          <w:rFonts w:ascii="Arial" w:cs="Arial" w:eastAsia="Arial" w:hAnsi="Arial"/>
          <w:sz w:val="17"/>
          <w:szCs w:val="17"/>
          <w:color w:val="auto"/>
        </w:rPr>
        <w:t>”), and AC Immune SA, incorporated under the laws of Switzerland, having its principal place of business at EPFL Innovation Park, Building B, 1015 Lausanne, Switzerland (hereinafter “</w:t>
      </w:r>
      <w:r>
        <w:rPr>
          <w:rFonts w:ascii="Arial" w:cs="Arial" w:eastAsia="Arial" w:hAnsi="Arial"/>
          <w:sz w:val="17"/>
          <w:szCs w:val="17"/>
          <w:b w:val="1"/>
          <w:bCs w:val="1"/>
          <w:color w:val="auto"/>
        </w:rPr>
        <w:t>AC Immune</w:t>
      </w:r>
      <w:r>
        <w:rPr>
          <w:rFonts w:ascii="Arial" w:cs="Arial" w:eastAsia="Arial" w:hAnsi="Arial"/>
          <w:sz w:val="17"/>
          <w:szCs w:val="17"/>
          <w:color w:val="auto"/>
        </w:rPr>
        <w:t>”) (each AC Immune and Piramal hereinafter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jointly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AC Immune is a leader in the discovery and development of novel therapeutics for the treatment and diagnosis of Alzheimer’s disease (“</w:t>
      </w:r>
      <w:r>
        <w:rPr>
          <w:rFonts w:ascii="Arial" w:cs="Arial" w:eastAsia="Arial" w:hAnsi="Arial"/>
          <w:sz w:val="18"/>
          <w:szCs w:val="18"/>
          <w:b w:val="1"/>
          <w:bCs w:val="1"/>
          <w:color w:val="auto"/>
        </w:rPr>
        <w:t>AD</w:t>
      </w:r>
      <w:r>
        <w:rPr>
          <w:rFonts w:ascii="Arial" w:cs="Arial" w:eastAsia="Arial" w:hAnsi="Arial"/>
          <w:sz w:val="18"/>
          <w:szCs w:val="18"/>
          <w:color w:val="auto"/>
        </w:rPr>
        <w:t>”) and has discovered using its Morphomer™ chemistry platform and is developing certain potential therapeutic and diagnostic compounds targeting proteins implicated in the pathology of AD, including Tau protein.</w:t>
      </w:r>
    </w:p>
    <w:p>
      <w:pPr>
        <w:spacing w:after="0" w:line="18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AC Immune has identified a series of compounds that bind selectively to Tau protein; and one or more of such compounds may, if modified to include a radioactive isotope, be useful as a positron emission tomography (“</w:t>
      </w:r>
      <w:r>
        <w:rPr>
          <w:rFonts w:ascii="Arial" w:cs="Arial" w:eastAsia="Arial" w:hAnsi="Arial"/>
          <w:sz w:val="18"/>
          <w:szCs w:val="18"/>
          <w:b w:val="1"/>
          <w:bCs w:val="1"/>
          <w:color w:val="auto"/>
        </w:rPr>
        <w:t>PET</w:t>
      </w:r>
      <w:r>
        <w:rPr>
          <w:rFonts w:ascii="Arial" w:cs="Arial" w:eastAsia="Arial" w:hAnsi="Arial"/>
          <w:sz w:val="18"/>
          <w:szCs w:val="18"/>
          <w:color w:val="auto"/>
        </w:rPr>
        <w:t>”) imaging agent that would bind selectively to Tau protein and aid the detection and monitoring of AD and other neurodegenerative diseases.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Piramal Imaging SA is an innovator in the discovery, development and commercialization of novel imaging agents for molecular imaging, including PET neuroimaging agents that bind selectively to a protein.</w:t>
      </w:r>
    </w:p>
    <w:p>
      <w:pPr>
        <w:spacing w:after="0" w:line="170"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Piramal Imaging SA is interested in collaborating with AC Immune to evaluate and develop certain of AC Immune’s Tau protein selective compounds as a PET imaging agent that binds selectively to Tau protein for detection and monitoring of Tau protein in patients with AD and other neurodegenerative diseases.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if such development efforts are successful, Piramal Imaging Ltd, under license from Piramal Imaging SA, wishes to manufacture and commercialize a Tau protein selective PET imaging agent as a diagnostic commercial product, including for use in [*****] pharmaceutical or biotechnology companies’ clinical trials for potential therapeutic products directed to AD and other diseases where Tau protein has been implicated.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OW</w:t>
      </w:r>
      <w:r>
        <w:rPr>
          <w:rFonts w:ascii="Arial" w:cs="Arial" w:eastAsia="Arial" w:hAnsi="Arial"/>
          <w:sz w:val="18"/>
          <w:szCs w:val="18"/>
          <w:color w:val="auto"/>
        </w:rPr>
        <w:t xml:space="preserve"> T</w:t>
      </w:r>
      <w:r>
        <w:rPr>
          <w:rFonts w:ascii="Arial" w:cs="Arial" w:eastAsia="Arial" w:hAnsi="Arial"/>
          <w:sz w:val="15"/>
          <w:szCs w:val="15"/>
          <w:color w:val="auto"/>
        </w:rPr>
        <w:t>HEREFORE</w:t>
      </w:r>
      <w:r>
        <w:rPr>
          <w:rFonts w:ascii="Arial" w:cs="Arial" w:eastAsia="Arial" w:hAnsi="Arial"/>
          <w:sz w:val="18"/>
          <w:szCs w:val="18"/>
          <w:color w:val="auto"/>
        </w:rPr>
        <w:t>, in consideration of the mutual covenants and agreements provided herein below and other consideration, the receipt and sufficiency of which is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when capitalized, whether used in the singular or plural, shall have the following meanings: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0" w:right="2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Background IP</w:t>
      </w:r>
      <w:r>
        <w:rPr>
          <w:rFonts w:ascii="Arial" w:cs="Arial" w:eastAsia="Arial" w:hAnsi="Arial"/>
          <w:sz w:val="18"/>
          <w:szCs w:val="18"/>
          <w:color w:val="auto"/>
        </w:rPr>
        <w:t>” means all Patents and Know-How that is (a) Controlled by AC Immune as of the Effective Date, and (b) becomes Controlled by AC Immune on or after the Effective Date outside the scope of AC Immune’s activities under this Agreement; but in each case [*****]</w:t>
      </w:r>
    </w:p>
    <w:p>
      <w:pPr>
        <w:spacing w:after="0" w:line="82" w:lineRule="exact"/>
        <w:rPr>
          <w:sz w:val="20"/>
          <w:szCs w:val="20"/>
          <w:color w:val="auto"/>
        </w:rPr>
      </w:pPr>
    </w:p>
    <w:p>
      <w:pPr>
        <w:ind w:left="800" w:right="220" w:hanging="796"/>
        <w:spacing w:after="0" w:line="282"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Imaging Compounds</w:t>
      </w:r>
      <w:r>
        <w:rPr>
          <w:rFonts w:ascii="Arial" w:cs="Arial" w:eastAsia="Arial" w:hAnsi="Arial"/>
          <w:sz w:val="18"/>
          <w:szCs w:val="18"/>
          <w:color w:val="auto"/>
        </w:rPr>
        <w:t>” means those Compounds claimed in any AC Immune Tau Protein Imaging Patent, including in the Patent application(s) listed on Exhibit A.</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 Immune Indemnitee</w:t>
      </w:r>
      <w:r>
        <w:rPr>
          <w:rFonts w:ascii="Arial" w:cs="Arial" w:eastAsia="Arial" w:hAnsi="Arial"/>
          <w:sz w:val="16"/>
          <w:szCs w:val="16"/>
          <w:color w:val="auto"/>
        </w:rPr>
        <w:t>” is defined in Section 13.2.</w:t>
      </w:r>
    </w:p>
    <w:p>
      <w:pPr>
        <w:spacing w:after="0" w:line="131" w:lineRule="exact"/>
        <w:rPr>
          <w:sz w:val="20"/>
          <w:szCs w:val="20"/>
          <w:color w:val="auto"/>
        </w:rPr>
      </w:pPr>
    </w:p>
    <w:p>
      <w:pPr>
        <w:ind w:left="800" w:right="260" w:hanging="796"/>
        <w:spacing w:after="0" w:line="282"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IP</w:t>
      </w:r>
      <w:r>
        <w:rPr>
          <w:rFonts w:ascii="Arial" w:cs="Arial" w:eastAsia="Arial" w:hAnsi="Arial"/>
          <w:sz w:val="18"/>
          <w:szCs w:val="18"/>
          <w:color w:val="auto"/>
        </w:rPr>
        <w:t>” means the AC Immune Tau Protein Imaging Patents and the AC Immune Tau Protein Imaging Know-How</w:t>
      </w:r>
      <w:r>
        <w:rPr>
          <w:rFonts w:ascii="Arial" w:cs="Arial" w:eastAsia="Arial" w:hAnsi="Arial"/>
          <w:sz w:val="18"/>
          <w:szCs w:val="18"/>
          <w:b w:val="1"/>
          <w:bCs w:val="1"/>
          <w:color w:val="auto"/>
        </w:rPr>
        <w:t>.</w:t>
      </w:r>
    </w:p>
    <w:p>
      <w:pPr>
        <w:spacing w:after="0" w:line="67" w:lineRule="exact"/>
        <w:rPr>
          <w:sz w:val="20"/>
          <w:szCs w:val="20"/>
          <w:color w:val="auto"/>
        </w:rPr>
      </w:pPr>
    </w:p>
    <w:p>
      <w:pPr>
        <w:ind w:left="800" w:right="60" w:hanging="796"/>
        <w:spacing w:after="0" w:line="282" w:lineRule="auto"/>
        <w:tabs>
          <w:tab w:leader="none" w:pos="7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Know-How</w:t>
      </w:r>
      <w:r>
        <w:rPr>
          <w:rFonts w:ascii="Arial" w:cs="Arial" w:eastAsia="Arial" w:hAnsi="Arial"/>
          <w:sz w:val="18"/>
          <w:szCs w:val="18"/>
          <w:color w:val="auto"/>
        </w:rPr>
        <w:t>” means all Know-How that: (a) is Controlled by AC Immune on the Effective Date or thereafter during the Term; and (b) relates to Compounds, but [*****]</w:t>
      </w:r>
    </w:p>
    <w:p>
      <w:pPr>
        <w:spacing w:after="0" w:line="67" w:lineRule="exact"/>
        <w:rPr>
          <w:sz w:val="20"/>
          <w:szCs w:val="20"/>
          <w:color w:val="auto"/>
        </w:rPr>
      </w:pPr>
    </w:p>
    <w:p>
      <w:pPr>
        <w:ind w:left="800" w:right="100" w:hanging="796"/>
        <w:spacing w:after="0" w:line="261"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Patents</w:t>
      </w:r>
      <w:r>
        <w:rPr>
          <w:rFonts w:ascii="Arial" w:cs="Arial" w:eastAsia="Arial" w:hAnsi="Arial"/>
          <w:sz w:val="18"/>
          <w:szCs w:val="18"/>
          <w:color w:val="auto"/>
        </w:rPr>
        <w:t>” means: (a) the Patents listed on Exhibit A; (b) all Patents that claim priority to the Patents listed on Exhibit A; and (c) all Patents that are owned or Controlled by AC Immune at any time during the Term that relate to the manufacture, use, sale or importation of Compounds that exist as of the Effective Date in the Field, including composition of matter or methods of using Compounds and Compound Inventions created after the Effective Date, but [*****]</w:t>
      </w:r>
    </w:p>
    <w:p>
      <w:pPr>
        <w:spacing w:after="0" w:line="86" w:lineRule="exact"/>
        <w:rPr>
          <w:sz w:val="20"/>
          <w:szCs w:val="20"/>
          <w:color w:val="auto"/>
        </w:rPr>
      </w:pPr>
    </w:p>
    <w:p>
      <w:pPr>
        <w:ind w:left="800" w:right="400" w:hanging="796"/>
        <w:spacing w:after="0" w:line="282" w:lineRule="auto"/>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Therapeutic Agent</w:t>
      </w:r>
      <w:r>
        <w:rPr>
          <w:rFonts w:ascii="Arial" w:cs="Arial" w:eastAsia="Arial" w:hAnsi="Arial"/>
          <w:sz w:val="18"/>
          <w:szCs w:val="18"/>
          <w:color w:val="auto"/>
        </w:rPr>
        <w:t>” means any [*****] which are Controlled by AC Immune at or after the Effective Date, including any AC Immune Therapeutic Agents that are or will be the subject of a Third Party license, but [*****]</w:t>
      </w:r>
    </w:p>
    <w:p>
      <w:pPr>
        <w:spacing w:after="0" w:line="67" w:lineRule="exact"/>
        <w:rPr>
          <w:sz w:val="20"/>
          <w:szCs w:val="20"/>
          <w:color w:val="auto"/>
        </w:rPr>
      </w:pPr>
    </w:p>
    <w:p>
      <w:pPr>
        <w:ind w:left="800" w:right="40" w:hanging="796"/>
        <w:spacing w:after="0" w:line="261"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Party, any person, corporation, firm, joint venture or other entity which, directly or indirectly, through one or more intermediates, controls, is controlled by or is under common control with such Party. As used in this definition, “control” means the possession of the majority of ownership, or the power to direct or cause the direction of the management and policies of an entity, whether through the ownership of the outstanding voting securities or by contract or otherwise.</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Net Sales</w:t>
      </w:r>
      <w:r>
        <w:rPr>
          <w:rFonts w:ascii="Arial" w:cs="Arial" w:eastAsia="Arial" w:hAnsi="Arial"/>
          <w:sz w:val="16"/>
          <w:szCs w:val="16"/>
          <w:color w:val="auto"/>
        </w:rPr>
        <w:t>” means, with respect to a particular calendar year, [*****] during such calendar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0" w:right="2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20" w:hanging="796"/>
        <w:spacing w:after="0" w:line="281" w:lineRule="auto"/>
        <w:tabs>
          <w:tab w:leader="none" w:pos="7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Party, (a) the sale of all or substantially all of such Party’s tangible and intangible assets or business relating to this Agreement; or (b)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 the surviving entity immediately after such transaction or series of transactions.</w:t>
      </w:r>
    </w:p>
    <w:p>
      <w:pPr>
        <w:spacing w:after="0" w:line="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w:t>
      </w:r>
      <w:r>
        <w:rPr>
          <w:rFonts w:ascii="Arial" w:cs="Arial" w:eastAsia="Arial" w:hAnsi="Arial"/>
          <w:sz w:val="16"/>
          <w:szCs w:val="16"/>
          <w:color w:val="auto"/>
        </w:rPr>
        <w:t>” means any study in human subjects.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IP</w:t>
      </w:r>
      <w:r>
        <w:rPr>
          <w:rFonts w:ascii="Arial" w:cs="Arial" w:eastAsia="Arial" w:hAnsi="Arial"/>
          <w:sz w:val="16"/>
          <w:szCs w:val="16"/>
          <w:color w:val="auto"/>
        </w:rPr>
        <w:t>” means the Collaboration Patents and Collaboration Know-How.</w:t>
      </w:r>
    </w:p>
    <w:p>
      <w:pPr>
        <w:spacing w:after="0" w:line="131" w:lineRule="exact"/>
        <w:rPr>
          <w:sz w:val="20"/>
          <w:szCs w:val="20"/>
          <w:color w:val="auto"/>
        </w:rPr>
      </w:pPr>
    </w:p>
    <w:p>
      <w:pPr>
        <w:ind w:left="800" w:right="220" w:hanging="796"/>
        <w:spacing w:after="0" w:line="282" w:lineRule="auto"/>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means any Know-How that is generated under a Research Plan or Development Plan during the Term, whether by one Party or jointly by both Parties, [*****]</w:t>
      </w:r>
    </w:p>
    <w:p>
      <w:pPr>
        <w:spacing w:after="0" w:line="67" w:lineRule="exact"/>
        <w:rPr>
          <w:sz w:val="20"/>
          <w:szCs w:val="20"/>
          <w:color w:val="auto"/>
        </w:rPr>
      </w:pPr>
    </w:p>
    <w:p>
      <w:pPr>
        <w:jc w:val="both"/>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Patents</w:t>
      </w:r>
      <w:r>
        <w:rPr>
          <w:rFonts w:ascii="Arial" w:cs="Arial" w:eastAsia="Arial" w:hAnsi="Arial"/>
          <w:sz w:val="18"/>
          <w:szCs w:val="18"/>
          <w:color w:val="auto"/>
        </w:rPr>
        <w:t>” means each Patent that claims any invention that is first conceived or reduced to practice, whether by one Party (“Solely Owned Collaboration Patents”) or jointly by both Parties (“Jointly Owned Collaboration Patents”), in the course of performing a Research Plan or Development Plan, but [*****]</w:t>
      </w:r>
    </w:p>
    <w:p>
      <w:pPr>
        <w:spacing w:after="0" w:line="82" w:lineRule="exact"/>
        <w:rPr>
          <w:sz w:val="20"/>
          <w:szCs w:val="20"/>
          <w:color w:val="auto"/>
        </w:rPr>
      </w:pPr>
    </w:p>
    <w:p>
      <w:pPr>
        <w:jc w:val="right"/>
        <w:ind w:right="580"/>
        <w:spacing w:after="0" w:line="313"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Commercialization</w:t>
      </w:r>
      <w:r>
        <w:rPr>
          <w:rFonts w:ascii="Arial" w:cs="Arial" w:eastAsia="Arial" w:hAnsi="Arial"/>
          <w:sz w:val="17"/>
          <w:szCs w:val="17"/>
          <w:color w:val="auto"/>
        </w:rPr>
        <w:t>” means activities directed to marketing, promoting, distributing or selling Product, including all activities directed to obtaining Pricing Approval in the Territory; and [*****]. “</w:t>
      </w:r>
      <w:r>
        <w:rPr>
          <w:rFonts w:ascii="Arial" w:cs="Arial" w:eastAsia="Arial" w:hAnsi="Arial"/>
          <w:sz w:val="17"/>
          <w:szCs w:val="17"/>
          <w:b w:val="1"/>
          <w:bCs w:val="1"/>
          <w:color w:val="auto"/>
        </w:rPr>
        <w:t>Commercialize</w:t>
      </w:r>
      <w:r>
        <w:rPr>
          <w:rFonts w:ascii="Arial" w:cs="Arial" w:eastAsia="Arial" w:hAnsi="Arial"/>
          <w:sz w:val="17"/>
          <w:szCs w:val="17"/>
          <w:color w:val="auto"/>
        </w:rPr>
        <w:t>” and “</w:t>
      </w:r>
      <w:r>
        <w:rPr>
          <w:rFonts w:ascii="Arial" w:cs="Arial" w:eastAsia="Arial" w:hAnsi="Arial"/>
          <w:sz w:val="17"/>
          <w:szCs w:val="17"/>
          <w:b w:val="1"/>
          <w:bCs w:val="1"/>
          <w:color w:val="auto"/>
        </w:rPr>
        <w:t>Commercializing</w:t>
      </w:r>
      <w:r>
        <w:rPr>
          <w:rFonts w:ascii="Arial" w:cs="Arial" w:eastAsia="Arial" w:hAnsi="Arial"/>
          <w:sz w:val="17"/>
          <w:szCs w:val="17"/>
          <w:color w:val="auto"/>
        </w:rPr>
        <w:t>” shall have their correlative meanings.</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the efforts to be expended by [*****]</w:t>
      </w:r>
    </w:p>
    <w:p>
      <w:pPr>
        <w:spacing w:after="0" w:line="131" w:lineRule="exact"/>
        <w:rPr>
          <w:sz w:val="20"/>
          <w:szCs w:val="20"/>
          <w:color w:val="auto"/>
        </w:rPr>
      </w:pPr>
    </w:p>
    <w:p>
      <w:pPr>
        <w:ind w:left="800" w:right="20" w:hanging="796"/>
        <w:spacing w:after="0" w:line="282" w:lineRule="auto"/>
        <w:tabs>
          <w:tab w:leader="none" w:pos="7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Compound</w:t>
      </w:r>
      <w:r>
        <w:rPr>
          <w:rFonts w:ascii="Arial" w:cs="Arial" w:eastAsia="Arial" w:hAnsi="Arial"/>
          <w:sz w:val="18"/>
          <w:szCs w:val="18"/>
          <w:color w:val="auto"/>
        </w:rPr>
        <w:t>” [*****] and may be suitable for selection as a Lead Candidate as guided by the Selection Criteria as described in Appendix 1 of this Agreement.</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 Invention</w:t>
      </w:r>
      <w:r>
        <w:rPr>
          <w:rFonts w:ascii="Arial" w:cs="Arial" w:eastAsia="Arial" w:hAnsi="Arial"/>
          <w:sz w:val="16"/>
          <w:szCs w:val="16"/>
          <w:color w:val="auto"/>
        </w:rPr>
        <w:t>” is defined in Section 9.1(b).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69" w:right="2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80" w:hanging="796"/>
        <w:spacing w:after="0" w:line="295" w:lineRule="auto"/>
        <w:tabs>
          <w:tab w:leader="none" w:pos="7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confidential information disclosed in any form whatsoever by one Party to the other Party, including, without limitation, the content of the transactions contemplated herein, all technology belonging to the disclosing Party and any improvements thereto, any information relating to a Party’s interests, business, finances, products, operations, sales, marketing, customers, suppliers and suppliers’ bills of materials, trade secrets, Know-How, data, processes, methods, techniques, formulas, test data, presentations, analyses, studies, patent applications (as long as undisclosed), financial data, product development, assays, strategic and market research information, other relevant marketing information, clinical data and any other information, whether developed in connection with this Agreement or not.</w:t>
      </w:r>
    </w:p>
    <w:p>
      <w:pPr>
        <w:spacing w:after="0" w:line="61" w:lineRule="exact"/>
        <w:rPr>
          <w:sz w:val="20"/>
          <w:szCs w:val="20"/>
          <w:color w:val="auto"/>
        </w:rPr>
      </w:pPr>
    </w:p>
    <w:p>
      <w:pPr>
        <w:ind w:left="800" w:right="100" w:hanging="796"/>
        <w:spacing w:after="0" w:line="281"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Know-How, Patent, material or other tangible or intangible intellectual property right, the possession by a Party of (whether by ownership or license, other than licenses granted pursuant to this Agreement) the ability to grant to the other Party access to, ownership of, or a license or sublicense under, such Know-How, Patent, material or other intellectual property, in each case as provided under this Agreement, without violating the terms of any agreement or other arrangement with any Third Party. [*****]</w:t>
      </w:r>
    </w:p>
    <w:p>
      <w:pPr>
        <w:spacing w:after="0" w:line="70" w:lineRule="exact"/>
        <w:rPr>
          <w:sz w:val="20"/>
          <w:szCs w:val="20"/>
          <w:color w:val="auto"/>
        </w:rPr>
      </w:pPr>
    </w:p>
    <w:p>
      <w:pPr>
        <w:ind w:left="800" w:right="140" w:hanging="796"/>
        <w:spacing w:after="0" w:line="266"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Covers</w:t>
      </w:r>
      <w:r>
        <w:rPr>
          <w:rFonts w:ascii="Arial" w:cs="Arial" w:eastAsia="Arial" w:hAnsi="Arial"/>
          <w:sz w:val="18"/>
          <w:szCs w:val="18"/>
          <w:color w:val="auto"/>
        </w:rPr>
        <w:t>” means, with respect to a Patent and a Compound or Product, that the making, use, sale, offer for sale or importation of such Compound or Product would infringe a Valid Claim of such Patent in the country in which the activity occurred, but for the licenses granted in this Agreement.</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Declaratory Judgment</w:t>
      </w:r>
      <w:r>
        <w:rPr>
          <w:rFonts w:ascii="Arial" w:cs="Arial" w:eastAsia="Arial" w:hAnsi="Arial"/>
          <w:sz w:val="16"/>
          <w:szCs w:val="16"/>
          <w:color w:val="auto"/>
        </w:rPr>
        <w:t>” is defined in section 9.5.</w:t>
      </w:r>
    </w:p>
    <w:p>
      <w:pPr>
        <w:spacing w:after="0" w:line="131" w:lineRule="exact"/>
        <w:rPr>
          <w:sz w:val="20"/>
          <w:szCs w:val="20"/>
          <w:color w:val="auto"/>
        </w:rPr>
      </w:pPr>
    </w:p>
    <w:p>
      <w:pPr>
        <w:ind w:left="800" w:right="180" w:hanging="796"/>
        <w:spacing w:after="0" w:line="261"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with respect to a Product, any and all processes and activities conducted to obtain and maintain Regulatory Approval for the Product, including pre- and post-marketing approval clinical studies and activities relating to development or preparation of such Product for Commercialization. Development includes performance of IND Enabling Studies and Clinical Trials. “</w:t>
      </w:r>
      <w:r>
        <w:rPr>
          <w:rFonts w:ascii="Arial" w:cs="Arial" w:eastAsia="Arial" w:hAnsi="Arial"/>
          <w:sz w:val="18"/>
          <w:szCs w:val="18"/>
          <w:b w:val="1"/>
          <w:bCs w:val="1"/>
          <w:color w:val="auto"/>
        </w:rPr>
        <w:t>Develop</w:t>
      </w:r>
      <w:r>
        <w:rPr>
          <w:rFonts w:ascii="Arial" w:cs="Arial" w:eastAsia="Arial" w:hAnsi="Arial"/>
          <w:sz w:val="18"/>
          <w:szCs w:val="18"/>
          <w:color w:val="auto"/>
        </w:rPr>
        <w:t>” and “</w:t>
      </w:r>
      <w:r>
        <w:rPr>
          <w:rFonts w:ascii="Arial" w:cs="Arial" w:eastAsia="Arial" w:hAnsi="Arial"/>
          <w:sz w:val="18"/>
          <w:szCs w:val="18"/>
          <w:b w:val="1"/>
          <w:bCs w:val="1"/>
          <w:color w:val="auto"/>
        </w:rPr>
        <w:t>Developing</w:t>
      </w:r>
      <w:r>
        <w:rPr>
          <w:rFonts w:ascii="Arial" w:cs="Arial" w:eastAsia="Arial" w:hAnsi="Arial"/>
          <w:sz w:val="18"/>
          <w:szCs w:val="18"/>
          <w:color w:val="auto"/>
        </w:rPr>
        <w:t>” shall have their correlative meanings.</w:t>
      </w:r>
    </w:p>
    <w:p>
      <w:pPr>
        <w:spacing w:after="0" w:line="86" w:lineRule="exact"/>
        <w:rPr>
          <w:sz w:val="20"/>
          <w:szCs w:val="20"/>
          <w:color w:val="auto"/>
        </w:rPr>
      </w:pPr>
    </w:p>
    <w:p>
      <w:pPr>
        <w:ind w:left="800" w:right="140" w:hanging="796"/>
        <w:spacing w:after="0" w:line="266" w:lineRule="auto"/>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means the written plan for the Development (from pre-clinical IND Enabling studies through Regulatory Approval) of a Lead Candidate and Product in the Territory, as such plan may be updated from time to time by the JSC. The initial Development Plan is attached to this Agreement as Exhibit B (“</w:t>
      </w:r>
      <w:r>
        <w:rPr>
          <w:rFonts w:ascii="Arial" w:cs="Arial" w:eastAsia="Arial" w:hAnsi="Arial"/>
          <w:sz w:val="18"/>
          <w:szCs w:val="18"/>
          <w:b w:val="1"/>
          <w:bCs w:val="1"/>
          <w:color w:val="auto"/>
        </w:rPr>
        <w:t>Initial Development Plan</w:t>
      </w:r>
      <w:r>
        <w:rPr>
          <w:rFonts w:ascii="Arial" w:cs="Arial" w:eastAsia="Arial" w:hAnsi="Arial"/>
          <w:sz w:val="18"/>
          <w:szCs w:val="18"/>
          <w:color w:val="auto"/>
        </w:rPr>
        <w:t>”).</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Enforcement Action</w:t>
      </w:r>
      <w:r>
        <w:rPr>
          <w:rFonts w:ascii="Arial" w:cs="Arial" w:eastAsia="Arial" w:hAnsi="Arial"/>
          <w:sz w:val="16"/>
          <w:szCs w:val="16"/>
          <w:color w:val="auto"/>
        </w:rPr>
        <w:t>” is defined in Section 9.9.</w:t>
      </w:r>
    </w:p>
    <w:p>
      <w:pPr>
        <w:spacing w:after="0" w:line="131" w:lineRule="exact"/>
        <w:rPr>
          <w:sz w:val="20"/>
          <w:szCs w:val="20"/>
          <w:color w:val="auto"/>
        </w:rPr>
      </w:pPr>
    </w:p>
    <w:p>
      <w:pPr>
        <w:ind w:left="800" w:right="240" w:hanging="796"/>
        <w:spacing w:after="0" w:line="282"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 partnership, limited partnership, limited liability partnership, corporation, limited liability company, business trust, joint stock company, trust,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0" w:right="2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incorporated association, joint venture or similar entity or organization, or other entity not specifically listed.</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all of the European Union member states as of the applicable time during the Term of this Agreement.</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First-in-Man Clinical Trial</w:t>
      </w:r>
      <w:r>
        <w:rPr>
          <w:rFonts w:ascii="Arial" w:cs="Arial" w:eastAsia="Arial" w:hAnsi="Arial"/>
          <w:sz w:val="16"/>
          <w:szCs w:val="16"/>
          <w:color w:val="auto"/>
        </w:rPr>
        <w:t>” means a clinical study for the first administration of a Product to humans.</w:t>
      </w:r>
    </w:p>
    <w:p>
      <w:pPr>
        <w:spacing w:after="0" w:line="131" w:lineRule="exact"/>
        <w:rPr>
          <w:sz w:val="20"/>
          <w:szCs w:val="20"/>
          <w:color w:val="auto"/>
        </w:rPr>
      </w:pPr>
    </w:p>
    <w:p>
      <w:pPr>
        <w:ind w:left="800" w:right="260" w:hanging="796"/>
        <w:spacing w:after="0" w:line="313"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the International Financial Reporting Standards.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is defined in Section 13.3.</w:t>
      </w:r>
    </w:p>
    <w:p>
      <w:pPr>
        <w:spacing w:after="0" w:line="131" w:lineRule="exact"/>
        <w:rPr>
          <w:sz w:val="20"/>
          <w:szCs w:val="20"/>
          <w:color w:val="auto"/>
        </w:rPr>
      </w:pPr>
    </w:p>
    <w:p>
      <w:pPr>
        <w:ind w:left="800" w:right="60" w:hanging="796"/>
        <w:spacing w:after="0" w:line="282"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 Enabling Study</w:t>
      </w:r>
      <w:r>
        <w:rPr>
          <w:rFonts w:ascii="Arial" w:cs="Arial" w:eastAsia="Arial" w:hAnsi="Arial"/>
          <w:sz w:val="18"/>
          <w:szCs w:val="18"/>
          <w:color w:val="auto"/>
        </w:rPr>
        <w:t>” means those studies required by a Regulatory Authority for submission of an investigational new drug application prior to initiating Clinical Trials.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Development Plan</w:t>
      </w:r>
      <w:r>
        <w:rPr>
          <w:rFonts w:ascii="Arial" w:cs="Arial" w:eastAsia="Arial" w:hAnsi="Arial"/>
          <w:sz w:val="16"/>
          <w:szCs w:val="16"/>
          <w:color w:val="auto"/>
        </w:rPr>
        <w:t>” means the Development Plan attached as Exhibit B.</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is defined in Section 2.2.</w:t>
      </w:r>
    </w:p>
    <w:p>
      <w:pPr>
        <w:spacing w:after="0" w:line="131"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tangible and intangible information, data, results (including pharmacological, research and development data, reports and batch records), and materials, discoveries, improvements, inventions, compositions of matter, cell lines, assays, sequences, processes, methods, knowledge, protocols, formulas, utility, formulations, inventions (whether patentable or not), strategy, know-how and trade secrets, and all other scientific, pre-clinical, clinical, regulatory, manufacturing, marketing, financial and commercial information or data, in each case that either Party has treated as confidential or proprietary information.</w:t>
      </w:r>
    </w:p>
    <w:p>
      <w:pPr>
        <w:spacing w:after="0" w:line="89" w:lineRule="exact"/>
        <w:rPr>
          <w:sz w:val="20"/>
          <w:szCs w:val="20"/>
          <w:color w:val="auto"/>
        </w:rPr>
      </w:pPr>
    </w:p>
    <w:p>
      <w:pPr>
        <w:ind w:left="800" w:right="240" w:hanging="796"/>
        <w:spacing w:after="0" w:line="347" w:lineRule="auto"/>
        <w:tabs>
          <w:tab w:leader="none" w:pos="7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the applicable laws, rules and regulations, including any rules, regulations, guidelines or other requirements of any Governmental Authorities (including any Regulatory Authorities) that may be in effect from time to time in any country or jurisdiction of the Territory.</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Lead Candidate</w:t>
      </w:r>
      <w:r>
        <w:rPr>
          <w:rFonts w:ascii="Arial" w:cs="Arial" w:eastAsia="Arial" w:hAnsi="Arial"/>
          <w:sz w:val="16"/>
          <w:szCs w:val="16"/>
          <w:color w:val="auto"/>
        </w:rPr>
        <w:t>” means those Compounds that have been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69" w:right="2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EU Market</w:t>
      </w:r>
      <w:r>
        <w:rPr>
          <w:rFonts w:ascii="Arial" w:cs="Arial" w:eastAsia="Arial" w:hAnsi="Arial"/>
          <w:sz w:val="17"/>
          <w:szCs w:val="17"/>
          <w:color w:val="auto"/>
        </w:rPr>
        <w:t>” means any of the following: [*****]</w:t>
      </w:r>
    </w:p>
    <w:p>
      <w:pPr>
        <w:spacing w:after="0" w:line="131" w:lineRule="exact"/>
        <w:rPr>
          <w:sz w:val="20"/>
          <w:szCs w:val="20"/>
          <w:color w:val="auto"/>
        </w:rPr>
      </w:pPr>
    </w:p>
    <w:p>
      <w:pPr>
        <w:ind w:left="800" w:right="20" w:hanging="796"/>
        <w:spacing w:after="0" w:line="314" w:lineRule="auto"/>
        <w:tabs>
          <w:tab w:leader="none" w:pos="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Manufacture</w:t>
      </w:r>
      <w:r>
        <w:rPr>
          <w:rFonts w:ascii="Arial" w:cs="Arial" w:eastAsia="Arial" w:hAnsi="Arial"/>
          <w:sz w:val="16"/>
          <w:szCs w:val="16"/>
          <w:color w:val="auto"/>
        </w:rPr>
        <w:t>” means activities directed to producing, manufacturing, processing, filling, finishing, packaging, labeling, quality assurance testing and release, shipping and delivery of the Product, including process development in connection with such activities or scale up thereof (in each case, whether for purposes of Research, Development or Commercialization of the Product). “</w:t>
      </w:r>
      <w:r>
        <w:rPr>
          <w:rFonts w:ascii="Arial" w:cs="Arial" w:eastAsia="Arial" w:hAnsi="Arial"/>
          <w:sz w:val="16"/>
          <w:szCs w:val="16"/>
          <w:b w:val="1"/>
          <w:bCs w:val="1"/>
          <w:color w:val="auto"/>
        </w:rPr>
        <w:t>Manufacturing</w:t>
      </w:r>
      <w:r>
        <w:rPr>
          <w:rFonts w:ascii="Arial" w:cs="Arial" w:eastAsia="Arial" w:hAnsi="Arial"/>
          <w:sz w:val="16"/>
          <w:szCs w:val="16"/>
          <w:color w:val="auto"/>
        </w:rPr>
        <w:t>” shall have the correlative meaning.</w:t>
      </w:r>
    </w:p>
    <w:p>
      <w:pPr>
        <w:spacing w:after="0" w:line="48" w:lineRule="exact"/>
        <w:rPr>
          <w:sz w:val="20"/>
          <w:szCs w:val="20"/>
          <w:color w:val="auto"/>
        </w:rPr>
      </w:pPr>
    </w:p>
    <w:p>
      <w:pPr>
        <w:jc w:val="center"/>
        <w:ind w:right="640"/>
        <w:spacing w:after="0" w:line="313"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color w:val="auto"/>
        </w:rPr>
        <w:t>NDA</w:t>
      </w:r>
      <w:r>
        <w:rPr>
          <w:rFonts w:ascii="Arial" w:cs="Arial" w:eastAsia="Arial" w:hAnsi="Arial"/>
          <w:sz w:val="17"/>
          <w:szCs w:val="17"/>
          <w:color w:val="auto"/>
        </w:rPr>
        <w:t>” means a New Drug Application, as defined in 21 C.F.R. 314, and any other appropriate application or registration submitted to the appropriate Regulatory Authority in a particular country in the Territory to seek approval for sale of the Product in such country.</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of a Product in a particular period means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0" w:right="2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260" w:hanging="796"/>
        <w:spacing w:after="0" w:line="281" w:lineRule="auto"/>
        <w:tabs>
          <w:tab w:leader="none" w:pos="7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 any patent, re-examination, reissue, renewal, extension, supplementary protection certificate and term restoration, any confirmation patent or registration patent or patent of addition based on any such patent, (b) any pending application for patents, including provisional, converted provisional, continuations, continuations-in-part, divisional and substitute applications, and inventors’ certificates, (c) all foreign counterparts of any of the foregoing, and (d) all applications claiming priority to any of the foregoing.</w:t>
      </w:r>
    </w:p>
    <w:p>
      <w:pPr>
        <w:spacing w:after="0" w:line="70"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Filing Country</w:t>
      </w:r>
      <w:r>
        <w:rPr>
          <w:rFonts w:ascii="Arial" w:cs="Arial" w:eastAsia="Arial" w:hAnsi="Arial"/>
          <w:sz w:val="18"/>
          <w:szCs w:val="18"/>
          <w:color w:val="auto"/>
        </w:rPr>
        <w:t>” means those countries where one or more patent applications for [*****] which lists may be updated from time to time as agreed upon by the JSC.</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unincorporated organization or association, governmental authority or agency, or other Entity.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PET Agent</w:t>
      </w:r>
      <w:r>
        <w:rPr>
          <w:rFonts w:ascii="Arial" w:cs="Arial" w:eastAsia="Arial" w:hAnsi="Arial"/>
          <w:sz w:val="17"/>
          <w:szCs w:val="17"/>
          <w:color w:val="auto"/>
        </w:rPr>
        <w:t>”, means [*****].</w:t>
      </w:r>
    </w:p>
    <w:p>
      <w:pPr>
        <w:spacing w:after="0" w:line="131" w:lineRule="exact"/>
        <w:rPr>
          <w:sz w:val="20"/>
          <w:szCs w:val="20"/>
          <w:color w:val="auto"/>
        </w:rPr>
      </w:pPr>
    </w:p>
    <w:p>
      <w:pPr>
        <w:ind w:left="800" w:right="1200" w:hanging="796"/>
        <w:spacing w:after="0" w:line="282" w:lineRule="auto"/>
        <w:tabs>
          <w:tab w:leader="none" w:pos="78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study of a Product in human subjects with the endpoint of determining initial tolerance, safety or pharmacokinetic information.</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II Clinical Trial</w:t>
      </w:r>
      <w:r>
        <w:rPr>
          <w:rFonts w:ascii="Arial" w:cs="Arial" w:eastAsia="Arial" w:hAnsi="Arial"/>
          <w:sz w:val="16"/>
          <w:szCs w:val="16"/>
          <w:color w:val="auto"/>
        </w:rPr>
        <w:t>” means a study of Product in human subjects to determine initial efficacy and to further evaluate its safety.</w:t>
      </w:r>
    </w:p>
    <w:p>
      <w:pPr>
        <w:spacing w:after="0" w:line="131"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an adequate and well-controlled pivotal study in the Field in human patients of a Product designed to ascertain efficacy and safety of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0" w:right="2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680"/>
        <w:spacing w:after="0" w:line="277" w:lineRule="auto"/>
        <w:rPr>
          <w:sz w:val="20"/>
          <w:szCs w:val="20"/>
          <w:color w:val="auto"/>
        </w:rPr>
      </w:pPr>
      <w:r>
        <w:rPr>
          <w:rFonts w:ascii="Arial" w:cs="Arial" w:eastAsia="Arial" w:hAnsi="Arial"/>
          <w:sz w:val="18"/>
          <w:szCs w:val="18"/>
          <w:color w:val="auto"/>
        </w:rPr>
        <w:t>Product for the purposes of enabling the preparation and submission of applications for Regulatory Approval to the competent Regulatory Authorities in a country of the Territory.</w:t>
      </w:r>
    </w:p>
    <w:p>
      <w:pPr>
        <w:spacing w:after="0" w:line="72" w:lineRule="exact"/>
        <w:rPr>
          <w:sz w:val="20"/>
          <w:szCs w:val="20"/>
          <w:color w:val="auto"/>
        </w:rPr>
      </w:pPr>
    </w:p>
    <w:p>
      <w:pPr>
        <w:ind w:left="800" w:right="260" w:hanging="796"/>
        <w:spacing w:after="0" w:line="282" w:lineRule="auto"/>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Piramal Background IP</w:t>
      </w:r>
      <w:r>
        <w:rPr>
          <w:rFonts w:ascii="Arial" w:cs="Arial" w:eastAsia="Arial" w:hAnsi="Arial"/>
          <w:sz w:val="18"/>
          <w:szCs w:val="18"/>
          <w:color w:val="auto"/>
        </w:rPr>
        <w:t>” means all Know-How directly related to and essential for the Development and Manufacture of a PET Agent that is Controlled by Piramal as of the Effective Date or during the Term and [*****]</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Piramal Indemnitee</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Pricing Approval</w:t>
      </w:r>
      <w:r>
        <w:rPr>
          <w:rFonts w:ascii="Arial" w:cs="Arial" w:eastAsia="Arial" w:hAnsi="Arial"/>
          <w:sz w:val="16"/>
          <w:szCs w:val="16"/>
          <w:color w:val="auto"/>
        </w:rPr>
        <w:t>’’ shall mean such approval, agreement, determination or governmental decision establishing prices for the Products that can be</w:t>
      </w:r>
    </w:p>
    <w:p>
      <w:pPr>
        <w:spacing w:after="0" w:line="27" w:lineRule="exact"/>
        <w:rPr>
          <w:sz w:val="20"/>
          <w:szCs w:val="20"/>
          <w:color w:val="auto"/>
        </w:rPr>
      </w:pPr>
    </w:p>
    <w:p>
      <w:pPr>
        <w:ind w:left="800" w:right="320"/>
        <w:spacing w:after="0" w:line="323" w:lineRule="auto"/>
        <w:rPr>
          <w:sz w:val="20"/>
          <w:szCs w:val="20"/>
          <w:color w:val="auto"/>
        </w:rPr>
      </w:pPr>
      <w:r>
        <w:rPr>
          <w:rFonts w:ascii="Arial" w:cs="Arial" w:eastAsia="Arial" w:hAnsi="Arial"/>
          <w:sz w:val="16"/>
          <w:szCs w:val="16"/>
          <w:color w:val="auto"/>
        </w:rPr>
        <w:t>charged to consumers and shall be reimbursed by Governmental Authorities or private health plans in regulatory jurisdictions where the Governmental Authorities or Regulatory Authorities approve or determine pricing of pharmaceutical products for reimbursement or otherwise.</w:t>
      </w:r>
    </w:p>
    <w:p>
      <w:pPr>
        <w:spacing w:after="0" w:line="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any product that is a PET Agent, that is or that contains a Compound and that: [*****]</w:t>
      </w:r>
    </w:p>
    <w:p>
      <w:pPr>
        <w:spacing w:after="0" w:line="131" w:lineRule="exact"/>
        <w:rPr>
          <w:sz w:val="20"/>
          <w:szCs w:val="20"/>
          <w:color w:val="auto"/>
        </w:rPr>
      </w:pPr>
    </w:p>
    <w:p>
      <w:pPr>
        <w:jc w:val="both"/>
        <w:ind w:left="800" w:right="80" w:hanging="796"/>
        <w:spacing w:after="0" w:line="261" w:lineRule="auto"/>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Prosecution and Maintenance</w:t>
      </w:r>
      <w:r>
        <w:rPr>
          <w:rFonts w:ascii="Arial" w:cs="Arial" w:eastAsia="Arial" w:hAnsi="Arial"/>
          <w:sz w:val="18"/>
          <w:szCs w:val="18"/>
          <w:color w:val="auto"/>
        </w:rPr>
        <w:t>” means, with respect to a Patent, the preparing, filing, prosecuting and maintenance of such Patent, as well as re-examinations, reissues, requests for Patent term extensions and the like with respect to such Patent, together with the conduct of interferences, the defense of oppositions and other similar proceedings with respect to the particular Patent; and “Prosecute and Maintain” shall have the correlative meaning.</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Publication Strategy</w:t>
      </w:r>
      <w:r>
        <w:rPr>
          <w:rFonts w:ascii="Arial" w:cs="Arial" w:eastAsia="Arial" w:hAnsi="Arial"/>
          <w:sz w:val="16"/>
          <w:szCs w:val="16"/>
          <w:color w:val="auto"/>
        </w:rPr>
        <w:t>” is defined in Section 10.5.</w:t>
      </w:r>
    </w:p>
    <w:p>
      <w:pPr>
        <w:spacing w:after="0" w:line="131"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the technical, medical and scientific licenses, registrations, authorizations and approvals (including, without limitation, approvals of NDAs, supplements and amendments, pre- and post-approvals, pricing and reimbursement approvals, and labeling approvals) of any national, supra-national, regional, state or local regulatory agency, department, bureau, commission, council or other governmental entity, necessary for the Development, Manufacture and Commercialization of Product in a regulatory jurisdiction in the Field, in the Territory.</w:t>
      </w:r>
    </w:p>
    <w:p>
      <w:pPr>
        <w:spacing w:after="0" w:line="89" w:lineRule="exact"/>
        <w:rPr>
          <w:sz w:val="20"/>
          <w:szCs w:val="20"/>
          <w:color w:val="auto"/>
        </w:rPr>
      </w:pPr>
    </w:p>
    <w:p>
      <w:pPr>
        <w:ind w:left="800" w:right="300" w:hanging="796"/>
        <w:spacing w:after="0" w:line="258" w:lineRule="auto"/>
        <w:tabs>
          <w:tab w:leader="none" w:pos="78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in a particular country or jurisdiction in the Territory, any applicable Governmental Authority involved in granting approval (a) to initiate or conduct clinical testing in humans, (b) for issuing the authorizations, approvals, licenses, permits, consents, registrations and filings necessary for the commercialization of the Product in a country in the Territory including marketing authorizations and manufacturing licenses, and/or (c) to the extent required in such country or jurisdiction, for Pricing Approval for a Product in such country or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69" w:right="2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both"/>
        <w:ind w:left="800" w:hanging="796"/>
        <w:spacing w:after="0" w:line="266"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regulatory applications, submissions, notifications, registrations, Regulatory Approvals or other submissions made to or with a Regulatory Authority that are necessary or reasonably desirable in order to Develop, Manufacture and Commercialize the Products in a particular country.</w:t>
      </w:r>
    </w:p>
    <w:p>
      <w:pPr>
        <w:spacing w:after="0" w:line="82" w:lineRule="exact"/>
        <w:rPr>
          <w:sz w:val="20"/>
          <w:szCs w:val="20"/>
          <w:color w:val="auto"/>
        </w:rPr>
      </w:pPr>
    </w:p>
    <w:p>
      <w:pPr>
        <w:ind w:left="800" w:right="540" w:hanging="796"/>
        <w:spacing w:after="0" w:line="282"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w:t>
      </w:r>
      <w:r>
        <w:rPr>
          <w:rFonts w:ascii="Arial" w:cs="Arial" w:eastAsia="Arial" w:hAnsi="Arial"/>
          <w:sz w:val="18"/>
          <w:szCs w:val="18"/>
          <w:color w:val="auto"/>
        </w:rPr>
        <w:t>” means the activities to be performed by one or both Parties pursuant to the Research Plan, [*****]. For the avoidance of doubt, Research is work performed outside of the IND Enabling Studies.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means the written plan for the Research, which plan is attached hereto as Appendix 3 and incorporated herein by this reference.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is defined in Section 10.5(a).</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is defined in Section 8.5(c).</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Laws</w:t>
      </w:r>
      <w:r>
        <w:rPr>
          <w:rFonts w:ascii="Arial" w:cs="Arial" w:eastAsia="Arial" w:hAnsi="Arial"/>
          <w:sz w:val="16"/>
          <w:szCs w:val="16"/>
          <w:color w:val="auto"/>
        </w:rPr>
        <w:t>” is defined in Section 10.2(b).</w:t>
      </w:r>
    </w:p>
    <w:p>
      <w:pPr>
        <w:spacing w:after="0" w:line="131" w:lineRule="exact"/>
        <w:rPr>
          <w:sz w:val="20"/>
          <w:szCs w:val="20"/>
          <w:color w:val="auto"/>
        </w:rPr>
      </w:pPr>
    </w:p>
    <w:p>
      <w:pPr>
        <w:ind w:left="800" w:right="240" w:hanging="796"/>
        <w:spacing w:after="0" w:line="282" w:lineRule="auto"/>
        <w:tabs>
          <w:tab w:leader="none" w:pos="7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Selection Criteria</w:t>
      </w:r>
      <w:r>
        <w:rPr>
          <w:rFonts w:ascii="Arial" w:cs="Arial" w:eastAsia="Arial" w:hAnsi="Arial"/>
          <w:sz w:val="18"/>
          <w:szCs w:val="18"/>
          <w:color w:val="auto"/>
        </w:rPr>
        <w:t>” means the set of criteria applied by the JSC to select a Compound as a Lead Candidate, which criteria is attached hereto as Appendix 1.</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 Revenue</w:t>
      </w:r>
      <w:r>
        <w:rPr>
          <w:rFonts w:ascii="Arial" w:cs="Arial" w:eastAsia="Arial" w:hAnsi="Arial"/>
          <w:sz w:val="16"/>
          <w:szCs w:val="16"/>
          <w:color w:val="auto"/>
        </w:rPr>
        <w:t>” means with respect to any Product, [*****]</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Piramal, AC Immune or any Affiliate of either Party.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Challenge</w:t>
      </w:r>
      <w:r>
        <w:rPr>
          <w:rFonts w:ascii="Arial" w:cs="Arial" w:eastAsia="Arial" w:hAnsi="Arial"/>
          <w:sz w:val="16"/>
          <w:szCs w:val="16"/>
          <w:color w:val="auto"/>
        </w:rPr>
        <w:t>” is defined in Section 9.9.</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its possessions and territories.</w:t>
      </w:r>
    </w:p>
    <w:p>
      <w:pPr>
        <w:spacing w:after="0" w:line="131" w:lineRule="exact"/>
        <w:rPr>
          <w:sz w:val="20"/>
          <w:szCs w:val="20"/>
          <w:color w:val="auto"/>
        </w:rPr>
      </w:pPr>
    </w:p>
    <w:p>
      <w:pPr>
        <w:ind w:left="800" w:right="40" w:hanging="796"/>
        <w:spacing w:after="0" w:line="277" w:lineRule="auto"/>
        <w:tabs>
          <w:tab w:leader="none" w:pos="7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 claim of an issued and unexpired Patent which has not been disclaimed, revoked, held unenforceable or invalid by a decision of a court or other governmental agency of competent jurisdiction, which decision is unappealable or unappealed within the time allowed for appeal, and which has not been admitted to be invalid or unenforceable through reissue or disclaimer or otherwise, and (b) a claim in a pending Patent application that has not been pending for more than [*****] years from the earliest date from which such application claims priority of or the benefit of the filing date of, and, in any case, which has not been canceled, withdrawn from consideration,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0" w:right="2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60"/>
        <w:spacing w:after="0" w:line="277" w:lineRule="auto"/>
        <w:rPr>
          <w:sz w:val="20"/>
          <w:szCs w:val="20"/>
          <w:color w:val="auto"/>
        </w:rPr>
      </w:pPr>
      <w:r>
        <w:rPr>
          <w:rFonts w:ascii="Arial" w:cs="Arial" w:eastAsia="Arial" w:hAnsi="Arial"/>
          <w:sz w:val="18"/>
          <w:szCs w:val="18"/>
          <w:color w:val="auto"/>
        </w:rPr>
        <w:t>finally determined to be unallowable by the applicable governmental authority or court for whatever reason (and from which no appeal is or can be taken), or abandoned.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COLLABORATION AND MANAGEMENT</w:t>
      </w:r>
    </w:p>
    <w:p>
      <w:pPr>
        <w:spacing w:after="0" w:line="234" w:lineRule="exact"/>
        <w:rPr>
          <w:sz w:val="20"/>
          <w:szCs w:val="20"/>
          <w:color w:val="auto"/>
        </w:rPr>
      </w:pPr>
    </w:p>
    <w:p>
      <w:pPr>
        <w:ind w:left="800" w:right="200" w:hanging="796"/>
        <w:spacing w:after="0" w:line="293"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Scope of Collaboration</w:t>
      </w:r>
      <w:r>
        <w:rPr>
          <w:rFonts w:ascii="Arial" w:cs="Arial" w:eastAsia="Arial" w:hAnsi="Arial"/>
          <w:sz w:val="16"/>
          <w:szCs w:val="16"/>
          <w:color w:val="auto"/>
        </w:rPr>
        <w:t>. AC Immune and Piramal are entering into this Agreement whereby in accordance with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 the Parties shall, [*****], perform Research on one or more Compounds to determine and identify the Lead Candidates;</w:t>
      </w:r>
    </w:p>
    <w:p>
      <w:pPr>
        <w:spacing w:after="0" w:line="1" w:lineRule="exact"/>
        <w:rPr>
          <w:sz w:val="20"/>
          <w:szCs w:val="20"/>
          <w:color w:val="auto"/>
        </w:rPr>
      </w:pPr>
    </w:p>
    <w:p>
      <w:pPr>
        <w:ind w:left="800" w:right="160" w:firstLine="5"/>
        <w:spacing w:after="0" w:line="261" w:lineRule="auto"/>
        <w:tabs>
          <w:tab w:leader="none" w:pos="10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Piramal Imaging SA shall, [*****], Develop Lead Candidates into one or more Products; (c) Piramal Imaging Ltd. [*****], Manufacture and Commercialize the Product in the Field; and (d) at [*****], the Parties may share information [*****].</w:t>
      </w:r>
    </w:p>
    <w:p>
      <w:pPr>
        <w:spacing w:after="0" w:line="3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131" w:lineRule="exact"/>
        <w:rPr>
          <w:sz w:val="20"/>
          <w:szCs w:val="20"/>
          <w:color w:val="auto"/>
        </w:rPr>
      </w:pPr>
    </w:p>
    <w:p>
      <w:pPr>
        <w:ind w:left="1380" w:right="240" w:hanging="575"/>
        <w:spacing w:after="0" w:line="261" w:lineRule="auto"/>
        <w:tabs>
          <w:tab w:leader="none" w:pos="138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Purpose; Formation</w:t>
      </w:r>
      <w:r>
        <w:rPr>
          <w:rFonts w:ascii="Arial" w:cs="Arial" w:eastAsia="Arial" w:hAnsi="Arial"/>
          <w:sz w:val="18"/>
          <w:szCs w:val="18"/>
          <w:color w:val="auto"/>
        </w:rPr>
        <w:t>. Within [*****] days after the Effective Date, the Parties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that shall, in accordance with this Section 2.2, monitor and coordinate communication regarding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under this Agreement. The JSC shall have only the powers assigned expressly to it in this Section 2.2 and elsewhere in this Agreement.</w:t>
      </w:r>
    </w:p>
    <w:p>
      <w:pPr>
        <w:spacing w:after="0" w:line="85" w:lineRule="exact"/>
        <w:rPr>
          <w:rFonts w:ascii="Arial" w:cs="Arial" w:eastAsia="Arial" w:hAnsi="Arial"/>
          <w:sz w:val="18"/>
          <w:szCs w:val="18"/>
          <w:color w:val="auto"/>
        </w:rPr>
      </w:pPr>
    </w:p>
    <w:p>
      <w:pPr>
        <w:ind w:left="1380" w:hanging="575"/>
        <w:spacing w:after="0" w:line="287" w:lineRule="auto"/>
        <w:tabs>
          <w:tab w:leader="none" w:pos="1380" w:val="left"/>
        </w:tabs>
        <w:numPr>
          <w:ilvl w:val="0"/>
          <w:numId w:val="264"/>
        </w:numPr>
        <w:rPr>
          <w:rFonts w:ascii="Arial" w:cs="Arial" w:eastAsia="Arial" w:hAnsi="Arial"/>
          <w:sz w:val="16"/>
          <w:szCs w:val="16"/>
          <w:color w:val="auto"/>
        </w:rPr>
      </w:pPr>
      <w:r>
        <w:rPr>
          <w:rFonts w:ascii="Arial" w:cs="Arial" w:eastAsia="Arial" w:hAnsi="Arial"/>
          <w:sz w:val="16"/>
          <w:szCs w:val="16"/>
          <w:b w:val="1"/>
          <w:bCs w:val="1"/>
          <w:color w:val="auto"/>
        </w:rPr>
        <w:t>Composition</w:t>
      </w:r>
      <w:r>
        <w:rPr>
          <w:rFonts w:ascii="Arial" w:cs="Arial" w:eastAsia="Arial" w:hAnsi="Arial"/>
          <w:sz w:val="16"/>
          <w:szCs w:val="16"/>
          <w:color w:val="auto"/>
        </w:rPr>
        <w:t>. Each Party shall initially appoint [*****] representatives to the JSC, each of whom will have sufficient seniority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Party to make decisions arising within the scope of the JSC’s responsibilities. The JSC may change its size from time to time by mutual consent of its members, provided that the JSC shall at all times consist of an equal number of representatives of each Party. Each Party may replace its JSC representatives at any time upon written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replacement of any JSC representative with an individual with lower seniority (as determined by such individual’s role within a Party’s organization and not by his/her title) shall require approval of the other Party which approval shall not be unreasonably withheld. The JSC may invite non-members (including consultants and advisors of a Party who are under an obligation of confidentiality consistent with this Agreement) to participate in the discussions and meetings of the JSC, provided that such participants shall have no voting authority at the JSC. The JSC shall have a chairperson, who shall serve for a term of one year, and who shall be selected alternately, on an annual basis, by either Party. The initial chairperson shall be designated by Piramal. The role of the chairperson shall be to convene and preside at meetings of the JSC, to prepare and circulate agendas and to ensure the preparation of minutes, but the chairperson shall have no additional powers or rights beyond those held by the other JSC representatives.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69" w:right="239" w:bottom="1440" w:gutter="0" w:footer="0" w:header="0"/>
        </w:sectPr>
      </w:pPr>
    </w:p>
    <w:bookmarkStart w:id="383" w:name="page384"/>
    <w:bookmarkEnd w:id="383"/>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78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580" w:right="520" w:hanging="575"/>
        <w:spacing w:after="0" w:line="282" w:lineRule="auto"/>
        <w:tabs>
          <w:tab w:leader="none" w:pos="58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Responsibilities</w:t>
      </w:r>
      <w:r>
        <w:rPr>
          <w:rFonts w:ascii="Arial" w:cs="Arial" w:eastAsia="Arial" w:hAnsi="Arial"/>
          <w:sz w:val="18"/>
          <w:szCs w:val="18"/>
          <w:color w:val="auto"/>
        </w:rPr>
        <w:t>. In addition to its overall responsibility for monitoring and providing a forum to discuss and coordinate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under this Agreement, the JSC shall in particular:</w:t>
      </w:r>
    </w:p>
    <w:p>
      <w:pPr>
        <w:spacing w:after="0" w:line="71" w:lineRule="exact"/>
        <w:rPr>
          <w:rFonts w:ascii="Arial" w:cs="Arial" w:eastAsia="Arial" w:hAnsi="Arial"/>
          <w:sz w:val="18"/>
          <w:szCs w:val="18"/>
          <w:color w:val="auto"/>
        </w:rPr>
      </w:pPr>
    </w:p>
    <w:p>
      <w:pPr>
        <w:ind w:left="1240" w:right="160" w:hanging="668"/>
        <w:spacing w:after="0" w:line="277" w:lineRule="auto"/>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oversee and manage the technology transfer between the Parties as described in this Agreement of Compounds, data and Know-How necessary for or resulting from Research and Development activities;</w:t>
      </w:r>
    </w:p>
    <w:p>
      <w:pPr>
        <w:spacing w:after="0" w:line="75"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propose and consider, and recommend to each Party any modifications to the Research Plan;</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coordinate activities under the Research Plan, and review and discuss results;</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review data and other results and discuss the status of activities undertaken for the Development [*****]</w:t>
      </w:r>
    </w:p>
    <w:p>
      <w:pPr>
        <w:spacing w:after="0" w:line="130" w:lineRule="exact"/>
        <w:rPr>
          <w:rFonts w:ascii="Arial" w:cs="Arial" w:eastAsia="Arial" w:hAnsi="Arial"/>
          <w:sz w:val="18"/>
          <w:szCs w:val="18"/>
          <w:color w:val="auto"/>
        </w:rPr>
      </w:pPr>
    </w:p>
    <w:p>
      <w:pPr>
        <w:ind w:left="1240" w:right="140" w:hanging="668"/>
        <w:spacing w:after="0" w:line="277" w:lineRule="auto"/>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review the Development Plan on an annual basis or as more frequently as agreed on by the JSC (but in no event more frequently than biannually) and recommend and agree on any updates thereto;</w:t>
      </w:r>
    </w:p>
    <w:p>
      <w:pPr>
        <w:spacing w:after="0" w:line="75"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review and discuss the status and strategy on the Commercialization of the Product;</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review and discuss payments due under Article 8;</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review and discuss any intellectual property related matters, including [*****]</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propose and consider, and recommend to each Party, amendments to the terms of this Agreement.</w:t>
      </w:r>
    </w:p>
    <w:p>
      <w:pPr>
        <w:spacing w:after="0" w:line="117" w:lineRule="exact"/>
        <w:rPr>
          <w:sz w:val="20"/>
          <w:szCs w:val="20"/>
          <w:color w:val="auto"/>
        </w:rPr>
      </w:pPr>
    </w:p>
    <w:p>
      <w:pPr>
        <w:ind w:left="580"/>
        <w:spacing w:after="0" w:line="302" w:lineRule="auto"/>
        <w:rPr>
          <w:sz w:val="20"/>
          <w:szCs w:val="20"/>
          <w:color w:val="auto"/>
        </w:rPr>
      </w:pPr>
      <w:r>
        <w:rPr>
          <w:rFonts w:ascii="Arial" w:cs="Arial" w:eastAsia="Arial" w:hAnsi="Arial"/>
          <w:sz w:val="16"/>
          <w:szCs w:val="16"/>
          <w:color w:val="auto"/>
        </w:rPr>
        <w:t>Notwithstanding the foregoing, the JSC shall have no authority to amend or supplement this Agreement or any exhibit hereto, including the Research Plan or any Development Plan, nor to waive any right that either Party may have under this Agreement. Any amendments or additions to this Agreement or any exhibit hereto, including amending the Research Plan or amending or adopting any Development Plan, shall only be effective if mutually agreed in writing by at least one authorized representative of each Party in accordance with Section 15.9.</w:t>
      </w:r>
    </w:p>
    <w:p>
      <w:pPr>
        <w:spacing w:after="0" w:line="56" w:lineRule="exact"/>
        <w:rPr>
          <w:sz w:val="20"/>
          <w:szCs w:val="20"/>
          <w:color w:val="auto"/>
        </w:rPr>
      </w:pPr>
    </w:p>
    <w:p>
      <w:pPr>
        <w:ind w:left="580" w:right="580" w:hanging="575"/>
        <w:spacing w:after="0" w:line="282" w:lineRule="auto"/>
        <w:tabs>
          <w:tab w:leader="none" w:pos="58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Meetings</w:t>
      </w:r>
      <w:r>
        <w:rPr>
          <w:rFonts w:ascii="Arial" w:cs="Arial" w:eastAsia="Arial" w:hAnsi="Arial"/>
          <w:sz w:val="18"/>
          <w:szCs w:val="18"/>
          <w:color w:val="auto"/>
        </w:rPr>
        <w:t>. Unless the Parties mutually agree in writing to a different frequency, the JSC shall hold at least [*****] per year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 of which shall be held in person) on such dates at such times each year as it elects. The meetings</w:t>
      </w:r>
    </w:p>
    <w:p>
      <w:pPr>
        <w:spacing w:after="0" w:line="9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620"/>
          </w:cols>
          <w:pgMar w:left="1040" w:top="270" w:right="23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of the JSC shall alternate between Berlin, Germany and Lausanne, Switzerland. Meetings of the JSC shall be effective only if at least two</w:t>
      </w:r>
    </w:p>
    <w:p>
      <w:pPr>
        <w:spacing w:after="0" w:line="46" w:lineRule="exact"/>
        <w:rPr>
          <w:sz w:val="20"/>
          <w:szCs w:val="20"/>
          <w:color w:val="auto"/>
        </w:rPr>
      </w:pPr>
    </w:p>
    <w:p>
      <w:pPr>
        <w:ind w:left="1380" w:right="20"/>
        <w:spacing w:after="0" w:line="253" w:lineRule="auto"/>
        <w:rPr>
          <w:sz w:val="20"/>
          <w:szCs w:val="20"/>
          <w:color w:val="auto"/>
        </w:rPr>
      </w:pPr>
      <w:r>
        <w:rPr>
          <w:rFonts w:ascii="Arial" w:cs="Arial" w:eastAsia="Arial" w:hAnsi="Arial"/>
          <w:sz w:val="18"/>
          <w:szCs w:val="18"/>
          <w:color w:val="auto"/>
        </w:rPr>
        <w:t>(2) representatives of each Party are present or participating. Each Party shall bear the expense of its respective members’ participation in JSC meetings. The chairperson of the JSC shall be responsible for preparing and issuing minutes of each such meeting within [*****] days thereafter. Such minutes shall not be finalized until each Party reviews and confirms the accuracy of such minutes in writing; provided that any minutes shall be deemed approved unless a member of the JSC objects to the accuracy of such minutes within [*****] days after the circulation of the minutes by the chairperson.</w:t>
      </w:r>
    </w:p>
    <w:p>
      <w:pPr>
        <w:spacing w:after="0" w:line="92" w:lineRule="exact"/>
        <w:rPr>
          <w:sz w:val="20"/>
          <w:szCs w:val="20"/>
          <w:color w:val="auto"/>
        </w:rPr>
      </w:pPr>
    </w:p>
    <w:p>
      <w:pPr>
        <w:ind w:left="1380" w:right="20" w:hanging="575"/>
        <w:spacing w:after="0" w:line="266" w:lineRule="auto"/>
        <w:tabs>
          <w:tab w:leader="none" w:pos="138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Decision Making</w:t>
      </w:r>
      <w:r>
        <w:rPr>
          <w:rFonts w:ascii="Arial" w:cs="Arial" w:eastAsia="Arial" w:hAnsi="Arial"/>
          <w:sz w:val="18"/>
          <w:szCs w:val="18"/>
          <w:color w:val="auto"/>
        </w:rPr>
        <w:t>. The JSC shall act by consensus. The representatives from each Party will have, collectively, one (1) vote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Party. If the JSC cannot reach consensus on an issue that comes before the JSC and over which the JSC has oversight, then such matter shall be resolved in accordance with Section 2.3.</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Resolution of Committee Disputes.</w:t>
      </w:r>
    </w:p>
    <w:p>
      <w:pPr>
        <w:spacing w:after="0" w:line="131" w:lineRule="exact"/>
        <w:rPr>
          <w:sz w:val="20"/>
          <w:szCs w:val="20"/>
          <w:color w:val="auto"/>
        </w:rPr>
      </w:pPr>
    </w:p>
    <w:p>
      <w:pPr>
        <w:ind w:left="1380" w:right="360" w:hanging="575"/>
        <w:spacing w:after="0" w:line="282" w:lineRule="auto"/>
        <w:tabs>
          <w:tab w:leader="none" w:pos="138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 xml:space="preserve">Within the JSC. </w:t>
      </w:r>
      <w:r>
        <w:rPr>
          <w:rFonts w:ascii="Arial" w:cs="Arial" w:eastAsia="Arial" w:hAnsi="Arial"/>
          <w:sz w:val="18"/>
          <w:szCs w:val="18"/>
          <w:color w:val="auto"/>
        </w:rPr>
        <w:t>All decisions within the JSC shall be made by consensus. If the JSC is unable to reach consensus on any issue,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may elect to submit such issue to the Parties’ executive officers in accordance with Section 2.3(b).</w:t>
      </w:r>
    </w:p>
    <w:p>
      <w:pPr>
        <w:spacing w:after="0" w:line="67" w:lineRule="exact"/>
        <w:rPr>
          <w:rFonts w:ascii="Arial" w:cs="Arial" w:eastAsia="Arial" w:hAnsi="Arial"/>
          <w:sz w:val="18"/>
          <w:szCs w:val="18"/>
          <w:color w:val="auto"/>
        </w:rPr>
      </w:pPr>
    </w:p>
    <w:p>
      <w:pPr>
        <w:ind w:left="1380" w:right="40" w:hanging="575"/>
        <w:spacing w:after="0" w:line="256" w:lineRule="auto"/>
        <w:tabs>
          <w:tab w:leader="none" w:pos="138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 xml:space="preserve">Referral to Executive Officers. </w:t>
      </w:r>
      <w:r>
        <w:rPr>
          <w:rFonts w:ascii="Arial" w:cs="Arial" w:eastAsia="Arial" w:hAnsi="Arial"/>
          <w:sz w:val="18"/>
          <w:szCs w:val="18"/>
          <w:color w:val="auto"/>
        </w:rPr>
        <w:t>If a Party elects to refer a matter to the executive officers, the JSC shall submit in writing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of the Parties to their respective executive officers. Such executive officers shall use good faith efforts to resolve promptly such matter, which good faith efforts shall include at least one teleconference between such executive officers within [*****] business days after the JSC’s submission of such matter to them. If the executive officers are unable to reach consensus on any such matter within [*****] days after the referral of such matter to the executive officers, then Piramal shall have final decision making authority with respect to [*****]</w:t>
      </w: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LICENSES</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License Grant to Piramal Imaging SA</w:t>
      </w:r>
      <w:r>
        <w:rPr>
          <w:rFonts w:ascii="Arial" w:cs="Arial" w:eastAsia="Arial" w:hAnsi="Arial"/>
          <w:sz w:val="16"/>
          <w:szCs w:val="16"/>
          <w:color w:val="auto"/>
        </w:rPr>
        <w:t>.</w:t>
      </w:r>
    </w:p>
    <w:p>
      <w:pPr>
        <w:spacing w:after="0" w:line="131" w:lineRule="exact"/>
        <w:rPr>
          <w:sz w:val="20"/>
          <w:szCs w:val="20"/>
          <w:color w:val="auto"/>
        </w:rPr>
      </w:pPr>
    </w:p>
    <w:p>
      <w:pPr>
        <w:ind w:left="1380" w:right="20" w:hanging="575"/>
        <w:spacing w:after="0" w:line="303" w:lineRule="auto"/>
        <w:tabs>
          <w:tab w:leader="none" w:pos="1380" w:val="left"/>
        </w:tabs>
        <w:numPr>
          <w:ilvl w:val="0"/>
          <w:numId w:val="269"/>
        </w:numPr>
        <w:rPr>
          <w:rFonts w:ascii="Arial" w:cs="Arial" w:eastAsia="Arial" w:hAnsi="Arial"/>
          <w:sz w:val="16"/>
          <w:szCs w:val="16"/>
          <w:color w:val="auto"/>
        </w:rPr>
      </w:pPr>
      <w:r>
        <w:rPr>
          <w:rFonts w:ascii="Arial" w:cs="Arial" w:eastAsia="Arial" w:hAnsi="Arial"/>
          <w:sz w:val="16"/>
          <w:szCs w:val="16"/>
          <w:b w:val="1"/>
          <w:bCs w:val="1"/>
          <w:color w:val="auto"/>
        </w:rPr>
        <w:t>Exclusive License Under AC Immune Tau Protein Imaging IP and Collaboration IP</w:t>
      </w:r>
      <w:r>
        <w:rPr>
          <w:rFonts w:ascii="Arial" w:cs="Arial" w:eastAsia="Arial" w:hAnsi="Arial"/>
          <w:sz w:val="16"/>
          <w:szCs w:val="16"/>
          <w:color w:val="auto"/>
        </w:rPr>
        <w:t>. Subject to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AC Immune hereby grants to Piramal Imaging SA an exclusive license, with the right to grant sublicenses in accordance with Section 3.3, under the AC Immune Tau Protein Imaging IP and AC Immune’s interests in Collaboration IP to Research, use, Develop, have Developed, Manufacture, have Manufactured, Commercialize and have Commercialized Products in the Field in the Territory.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0" w:right="239" w:bottom="1440" w:gutter="0" w:footer="0" w:header="0"/>
        </w:sectPr>
      </w:pPr>
    </w:p>
    <w:bookmarkStart w:id="385" w:name="page386"/>
    <w:bookmarkEnd w:id="3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hanging="575"/>
        <w:spacing w:after="0" w:line="258" w:lineRule="auto"/>
        <w:tabs>
          <w:tab w:leader="none" w:pos="138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Non-Exclusive License Under AC Immune Background IP</w:t>
      </w:r>
      <w:r>
        <w:rPr>
          <w:rFonts w:ascii="Arial" w:cs="Arial" w:eastAsia="Arial" w:hAnsi="Arial"/>
          <w:sz w:val="18"/>
          <w:szCs w:val="18"/>
          <w:color w:val="auto"/>
        </w:rPr>
        <w:t>. Subject to the terms and conditions of this Agreement, AC Immune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Piramal Imaging SA a royalty-free, fully paid-up, worldwide non-exclusive license, with the right to grant sublicenses in accordance with Section 3.3, under the AC Immune Background IP in the Field in the Territory solely to the extent necessary for Piramal to perform its obligations and exercise its rights under this Agreement, including to Research, Develop, Manufacture and Commercialize Products in the Field in the Territory.</w:t>
      </w:r>
    </w:p>
    <w:p>
      <w:pPr>
        <w:spacing w:after="0" w:line="89"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Grant to AC Immune</w:t>
      </w:r>
      <w:r>
        <w:rPr>
          <w:rFonts w:ascii="Arial" w:cs="Arial" w:eastAsia="Arial" w:hAnsi="Arial"/>
          <w:sz w:val="18"/>
          <w:szCs w:val="18"/>
          <w:color w:val="auto"/>
        </w:rPr>
        <w:t>. Subject to the terms and conditions of this Agreement, Piramal Imaging SA hereby grants AC Immune a royalty-free, non-exclusive license, without any right to grant sublicenses, under the Piramal Background IP solely to the extent necessary for AC Immune to perform its obligations under the Research Plan and, if applicable, any Development Plan.</w:t>
      </w:r>
    </w:p>
    <w:p>
      <w:pPr>
        <w:spacing w:after="0" w:line="82" w:lineRule="exact"/>
        <w:rPr>
          <w:sz w:val="20"/>
          <w:szCs w:val="20"/>
          <w:color w:val="auto"/>
        </w:rPr>
      </w:pPr>
    </w:p>
    <w:p>
      <w:pPr>
        <w:ind w:left="800" w:right="40" w:hanging="796"/>
        <w:spacing w:after="0" w:line="258"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Sublicenses</w:t>
      </w:r>
      <w:r>
        <w:rPr>
          <w:rFonts w:ascii="Arial" w:cs="Arial" w:eastAsia="Arial" w:hAnsi="Arial"/>
          <w:sz w:val="18"/>
          <w:szCs w:val="18"/>
          <w:color w:val="auto"/>
        </w:rPr>
        <w:t>. Piramal Imaging SA may grant sublicenses under the rights granted to it in Section 3.1;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is consistent with the terms and conditions of this Agreement, including without limitation provisions that provide for intellectual property ownership, records and audit rights, indemnification and confidentiality consistent with this Agreement, (b) Piramal shall notify AC Immune of any such sublicense agreement within [*****] days after it becomes effective, and (c) Piramal shall remain liable for any breach of any provisions of this Agreement caused by such sublicensee.</w:t>
      </w:r>
    </w:p>
    <w:p>
      <w:pPr>
        <w:spacing w:after="0" w:line="89"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No Implied Rights</w:t>
      </w:r>
      <w:r>
        <w:rPr>
          <w:rFonts w:ascii="Arial" w:cs="Arial" w:eastAsia="Arial" w:hAnsi="Arial"/>
          <w:sz w:val="18"/>
          <w:szCs w:val="18"/>
          <w:color w:val="auto"/>
        </w:rPr>
        <w:t>. Except as specifically set forth in this Agreement, neither Party shall acquire any license, intellectual property interest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by implication or otherwise, in any Know-How disclosed to it under this Agreement or under any Patents Controlled by the other Party or its Affiliates.</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Other Development</w:t>
      </w:r>
      <w:r>
        <w:rPr>
          <w:rFonts w:ascii="Arial" w:cs="Arial" w:eastAsia="Arial" w:hAnsi="Arial"/>
          <w:sz w:val="16"/>
          <w:szCs w:val="16"/>
          <w:color w:val="auto"/>
        </w:rPr>
        <w:t>. During the Term of the Agreement, Piramal shall not develop and commercialize in the Territory in the Field any Tau protein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selective or Tau protein targeting PET Agents other than Products. During the Term of the Agreement, AC Immune shall not license to or</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collaborate with any Third Party in the discovery, development and commercialization of any Tau protein selective or Tau protein targeting PET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Agents. Notwithstanding the foregoing provision of this Section 3.5, in the event of a Change of Control of a Party or a Business Acquisition, the</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provisions of this Section 3.5 shall not apply to any active research or development program that a portion of the surviving entity or Affiliate that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was not such Party (prior to the Change of Control or Business Acquisition) had ongoing as of immediately prior to the date of such Change of</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Control or Business Acquisition. For clarity, if as a result of any such Change of Control, a Party exists as a wholly owned subsidiary of a parent,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then the provisions of this Section 3.5 shall continue to apply to such Party as the surviving entity, but not to such parent. As used herein,</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Acquisition</w:t>
      </w:r>
      <w:r>
        <w:rPr>
          <w:rFonts w:ascii="Arial" w:cs="Arial" w:eastAsia="Arial" w:hAnsi="Arial"/>
          <w:sz w:val="16"/>
          <w:szCs w:val="16"/>
          <w:color w:val="auto"/>
        </w:rPr>
        <w:t>” means the acquisition of all or substantially all of a Third Party’s business or assets by either AC Immune or Piramal or an</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Affiliate of either Party.</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Reservation of Rights</w:t>
      </w:r>
      <w:r>
        <w:rPr>
          <w:rFonts w:ascii="Arial" w:cs="Arial" w:eastAsia="Arial" w:hAnsi="Arial"/>
          <w:sz w:val="16"/>
          <w:szCs w:val="16"/>
          <w:color w:val="auto"/>
        </w:rPr>
        <w:t>. AC Immune hereby reserves the right to use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69"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and Piramal hereby reserves the right to enter collaborations with Third Parties for the use of the Product(s) in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12" w:lineRule="exact"/>
        <w:rPr>
          <w:sz w:val="20"/>
          <w:szCs w:val="20"/>
          <w:color w:val="auto"/>
        </w:rPr>
      </w:pPr>
    </w:p>
    <w:p>
      <w:pPr>
        <w:ind w:left="800" w:right="180" w:hanging="796"/>
        <w:spacing w:after="0" w:line="261"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Overview</w:t>
      </w:r>
      <w:r>
        <w:rPr>
          <w:rFonts w:ascii="Arial" w:cs="Arial" w:eastAsia="Arial" w:hAnsi="Arial"/>
          <w:sz w:val="18"/>
          <w:szCs w:val="18"/>
          <w:color w:val="auto"/>
        </w:rPr>
        <w:t>. AC Immune shall identify all of its molecules that are Compounds and provide such information to Piramal. Each Party agrees to use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conduct the activities assigned to such Party in Research Plan and the Development Plan. Each Party shall conduct its Research and Development activities under this Agreement in good scientific and clinical manner and in compliance in all material respects with all applicable Laws.</w:t>
      </w:r>
    </w:p>
    <w:p>
      <w:pPr>
        <w:spacing w:after="0" w:line="86" w:lineRule="exact"/>
        <w:rPr>
          <w:sz w:val="20"/>
          <w:szCs w:val="20"/>
          <w:color w:val="auto"/>
        </w:rPr>
      </w:pPr>
    </w:p>
    <w:p>
      <w:pPr>
        <w:ind w:left="800" w:right="80" w:hanging="796"/>
        <w:spacing w:after="0" w:line="292"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Research Plan</w:t>
      </w:r>
      <w:r>
        <w:rPr>
          <w:rFonts w:ascii="Arial" w:cs="Arial" w:eastAsia="Arial" w:hAnsi="Arial"/>
          <w:sz w:val="16"/>
          <w:szCs w:val="16"/>
          <w:color w:val="auto"/>
        </w:rPr>
        <w:t>. The Parties will collaborate together on Research to evaluate the Compounds in accordance with the Research Plan and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guidance of the JSC. For clarity, the initial Research Plan shall include continued evaluation by both Parties of Compounds as potential candidates for selection as Lead Candidates based on the Selection Criteria. The initial Research Plan shall include without limitation the evaluation of Compounds based on the assays and studies outlined in </w:t>
      </w:r>
      <w:r>
        <w:rPr>
          <w:rFonts w:ascii="Arial" w:cs="Arial" w:eastAsia="Arial" w:hAnsi="Arial"/>
          <w:sz w:val="16"/>
          <w:szCs w:val="16"/>
          <w:u w:val="single" w:color="auto"/>
          <w:color w:val="auto"/>
        </w:rPr>
        <w:t>Appendix 3</w:t>
      </w:r>
      <w:r>
        <w:rPr>
          <w:rFonts w:ascii="Arial" w:cs="Arial" w:eastAsia="Arial" w:hAnsi="Arial"/>
          <w:sz w:val="16"/>
          <w:szCs w:val="16"/>
          <w:color w:val="auto"/>
        </w:rPr>
        <w:t>. Each party shall assume the cost for executing its obligations under the Research Plan. In the event there are studies regarding a Product that either Party is interested in performing but to which the other Party is not interested, such interested Party shall have the right, at its own cost and expense, to conduct such study so long as the study does not predictably result in any detriment to the Research, Development or Commercialization of the Product.</w:t>
      </w:r>
    </w:p>
    <w:p>
      <w:pPr>
        <w:spacing w:after="0" w:line="67"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Development Plan</w:t>
      </w:r>
      <w:r>
        <w:rPr>
          <w:rFonts w:ascii="Arial" w:cs="Arial" w:eastAsia="Arial" w:hAnsi="Arial"/>
          <w:sz w:val="18"/>
          <w:szCs w:val="18"/>
          <w:color w:val="auto"/>
        </w:rPr>
        <w:t>. The Parties will cooperate in good faith in designing the Development Plan, which will provide for the advancement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Lead Candidate. Piramal shall be responsible for all costs associated with the performance of the Development Plan. The Parties agree that the Development Plan shall not materially increase AC Immune’s obligations, cause AC Immune to incur additional costs, or conflict with any other provision of this Agreement without AC Immune’s written consent. The Development Plan shall be reviewed and updated in accordance with Section 2.2(c)(v).</w:t>
      </w:r>
    </w:p>
    <w:p>
      <w:pPr>
        <w:spacing w:after="0" w:line="89" w:lineRule="exact"/>
        <w:rPr>
          <w:sz w:val="20"/>
          <w:szCs w:val="20"/>
          <w:color w:val="auto"/>
        </w:rPr>
      </w:pPr>
    </w:p>
    <w:p>
      <w:pPr>
        <w:ind w:left="800" w:right="80" w:hanging="796"/>
        <w:spacing w:after="0" w:line="313"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color w:val="auto"/>
        </w:rPr>
        <w:t>Other Discovery</w:t>
      </w:r>
      <w:r>
        <w:rPr>
          <w:rFonts w:ascii="Arial" w:cs="Arial" w:eastAsia="Arial" w:hAnsi="Arial"/>
          <w:sz w:val="17"/>
          <w:szCs w:val="17"/>
          <w:color w:val="auto"/>
        </w:rPr>
        <w:t>. If all Compounds within the AC Immune Tau Protein Imaging Patents fail in the Research and Development efforts,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will discuss and agree on a Compound discovery program, the terms of which shall be mutually agreed upon by the Parties.</w:t>
      </w:r>
    </w:p>
    <w:p>
      <w:pPr>
        <w:spacing w:after="0" w:line="44" w:lineRule="exact"/>
        <w:rPr>
          <w:sz w:val="20"/>
          <w:szCs w:val="20"/>
          <w:color w:val="auto"/>
        </w:rPr>
      </w:pPr>
    </w:p>
    <w:p>
      <w:pPr>
        <w:ind w:left="800" w:right="100" w:hanging="796"/>
        <w:spacing w:after="0" w:line="314" w:lineRule="auto"/>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 The Parties may collaborate on the use of the Product in the development and commercialization of AC Immune Therapeutic Agents.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AC Immune’s request and agreement of the JSC, Piramal shall provide to AC Immune (a) imaging related technical expertise and input into the Clinical Trials of the AC Immune Therapeutic Agents, and (b) assistance in the interpretation of the resultant image-related data.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0" w:right="23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Information and Records</w:t>
      </w:r>
      <w:r>
        <w:rPr>
          <w:rFonts w:ascii="Arial" w:cs="Arial" w:eastAsia="Arial" w:hAnsi="Arial"/>
          <w:sz w:val="16"/>
          <w:szCs w:val="16"/>
          <w:color w:val="auto"/>
        </w:rPr>
        <w:t>.</w:t>
      </w:r>
    </w:p>
    <w:p>
      <w:pPr>
        <w:spacing w:after="0" w:line="135" w:lineRule="exact"/>
        <w:rPr>
          <w:sz w:val="20"/>
          <w:szCs w:val="20"/>
          <w:color w:val="auto"/>
        </w:rPr>
      </w:pPr>
    </w:p>
    <w:p>
      <w:pPr>
        <w:ind w:left="1380" w:hanging="575"/>
        <w:spacing w:after="0" w:line="271" w:lineRule="auto"/>
        <w:tabs>
          <w:tab w:leader="none" w:pos="138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Each Party shall maintain complete, current and accurate records of all work conducted by it under the Research Plan and any Development Plan, including all data and other Know-How resulting from such work. Such records shall fully and properly reflect all work done and results achieved in the performance of the Research Plan and Development Plan in sufficient detail and in good scientific manner appropriate for patent and regulatory purposes. Each Party shall have the right to review such records maintained by the other Party at reasonable times, upon written request. Each Party shall provide written reports to the JSC on its Research, Development and regulatory activities with the Product pursuant to the applicable Research Plan and Development Plan on an annual basis at the end of each calendar year, at a level of detail reasonably sufficient to enable the other Party to determine the reporting Party’s compliance with its Commercially Reasonable Efforts obligations under Section 4.1.</w:t>
      </w:r>
    </w:p>
    <w:p>
      <w:pPr>
        <w:spacing w:after="0" w:line="84" w:lineRule="exact"/>
        <w:rPr>
          <w:rFonts w:ascii="Arial" w:cs="Arial" w:eastAsia="Arial" w:hAnsi="Arial"/>
          <w:sz w:val="17"/>
          <w:szCs w:val="17"/>
          <w:color w:val="auto"/>
        </w:rPr>
      </w:pPr>
    </w:p>
    <w:p>
      <w:pPr>
        <w:ind w:left="1380" w:hanging="575"/>
        <w:spacing w:after="0"/>
        <w:tabs>
          <w:tab w:leader="none" w:pos="13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w:t>
      </w:r>
    </w:p>
    <w:p>
      <w:pPr>
        <w:spacing w:after="0" w:line="234" w:lineRule="exact"/>
        <w:rPr>
          <w:sz w:val="20"/>
          <w:szCs w:val="20"/>
          <w:color w:val="auto"/>
        </w:rPr>
      </w:pPr>
    </w:p>
    <w:p>
      <w:pPr>
        <w:ind w:left="800" w:right="160" w:hanging="796"/>
        <w:spacing w:after="0" w:line="261" w:lineRule="auto"/>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Product</w:t>
      </w:r>
      <w:r>
        <w:rPr>
          <w:rFonts w:ascii="Arial" w:cs="Arial" w:eastAsia="Arial" w:hAnsi="Arial"/>
          <w:sz w:val="18"/>
          <w:szCs w:val="18"/>
          <w:color w:val="auto"/>
        </w:rPr>
        <w:t>. Piramal shall have the sole right, [*****] to conduct and manage all regulatory activities to support the Development,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Product(s) in the Territory, including obtaining Regulatory Approvals of the Product(s) in the name of Piramal or its Affiliates or designees. AC Immune shall provide support as reasonably requested by Piramal in regulatory activities and meetings with Regulatory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69" w:right="23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rPr>
              <w:t>CONFIDENTIAL TREATMENT REQUESTED UNDER RULE 406</w:t>
            </w:r>
          </w:p>
        </w:tc>
      </w:tr>
      <w:tr>
        <w:trPr>
          <w:trHeight w:val="234"/>
        </w:trPr>
        <w:tc>
          <w:tcPr>
            <w:tcW w:w="520" w:type="dxa"/>
            <w:vAlign w:val="bottom"/>
          </w:tcPr>
          <w:p>
            <w:pPr>
              <w:spacing w:after="0"/>
              <w:rPr>
                <w:sz w:val="20"/>
                <w:szCs w:val="20"/>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UNDER THE SECURITIES ACT OF 1933, AS AMENDED.</w:t>
            </w:r>
          </w:p>
        </w:tc>
      </w:tr>
      <w:tr>
        <w:trPr>
          <w:trHeight w:val="414"/>
        </w:trPr>
        <w:tc>
          <w:tcPr>
            <w:tcW w:w="520" w:type="dxa"/>
            <w:vAlign w:val="bottom"/>
          </w:tcPr>
          <w:p>
            <w:pPr>
              <w:spacing w:after="0"/>
              <w:rPr>
                <w:sz w:val="24"/>
                <w:szCs w:val="24"/>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 INDICATES OMITTED MATERIAL THAT IS THE SUBJECT OF A CONFIDENTIAL TREATMENT</w:t>
            </w:r>
          </w:p>
        </w:tc>
      </w:tr>
      <w:tr>
        <w:trPr>
          <w:trHeight w:val="216"/>
        </w:trPr>
        <w:tc>
          <w:tcPr>
            <w:tcW w:w="520" w:type="dxa"/>
            <w:vAlign w:val="bottom"/>
          </w:tcPr>
          <w:p>
            <w:pPr>
              <w:spacing w:after="0"/>
              <w:rPr>
                <w:sz w:val="18"/>
                <w:szCs w:val="18"/>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REQUEST FILED SEPARATELY WITH THE COMMISSION. THE OMITTED MATERIAL</w:t>
            </w:r>
          </w:p>
        </w:tc>
      </w:tr>
      <w:tr>
        <w:trPr>
          <w:trHeight w:val="216"/>
        </w:trPr>
        <w:tc>
          <w:tcPr>
            <w:tcW w:w="520" w:type="dxa"/>
            <w:vAlign w:val="bottom"/>
          </w:tcPr>
          <w:p>
            <w:pPr>
              <w:spacing w:after="0"/>
              <w:rPr>
                <w:sz w:val="18"/>
                <w:szCs w:val="18"/>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HAS BEEN FILED SEPARATELY WITH THE COMMISSION.</w:t>
            </w:r>
          </w:p>
        </w:tc>
      </w:tr>
      <w:tr>
        <w:trPr>
          <w:trHeight w:val="234"/>
        </w:trPr>
        <w:tc>
          <w:tcPr>
            <w:tcW w:w="520" w:type="dxa"/>
            <w:vAlign w:val="bottom"/>
          </w:tcPr>
          <w:p>
            <w:pPr>
              <w:spacing w:after="0"/>
              <w:rPr>
                <w:sz w:val="20"/>
                <w:szCs w:val="20"/>
                <w:color w:val="auto"/>
              </w:rPr>
            </w:pPr>
          </w:p>
        </w:tc>
        <w:tc>
          <w:tcPr>
            <w:tcW w:w="10900" w:type="dxa"/>
            <w:vAlign w:val="bottom"/>
          </w:tcPr>
          <w:p>
            <w:pPr>
              <w:ind w:left="9360"/>
              <w:spacing w:after="0"/>
              <w:rPr>
                <w:sz w:val="20"/>
                <w:szCs w:val="20"/>
                <w:color w:val="auto"/>
              </w:rPr>
            </w:pPr>
            <w:r>
              <w:rPr>
                <w:rFonts w:ascii="Arial" w:cs="Arial" w:eastAsia="Arial" w:hAnsi="Arial"/>
                <w:sz w:val="18"/>
                <w:szCs w:val="18"/>
                <w:b w:val="1"/>
                <w:bCs w:val="1"/>
                <w:color w:val="auto"/>
              </w:rPr>
              <w:t>CONFIDENTIAL –</w:t>
            </w:r>
          </w:p>
        </w:tc>
      </w:tr>
      <w:tr>
        <w:trPr>
          <w:trHeight w:val="350"/>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5"/>
              </w:rPr>
              <w:t>Authorities and shall provide technical expertise and support to Piramal as reasonably requested by Piramal on all aspects of the Regulatory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5"/>
              </w:rPr>
              <w:t>Approval processes. For clarity, Piramal shall take the lead in all regulatory activities and shall have final decision making authority on such</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activities. Piramal shall own all Regulatory Materials.</w:t>
            </w:r>
          </w:p>
        </w:tc>
      </w:tr>
      <w:tr>
        <w:trPr>
          <w:trHeight w:val="323"/>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5.2</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w w:val="95"/>
              </w:rPr>
              <w:t>Rights of Reference to Regulatory Materials</w:t>
            </w:r>
            <w:r>
              <w:rPr>
                <w:rFonts w:ascii="Arial" w:cs="Arial" w:eastAsia="Arial" w:hAnsi="Arial"/>
                <w:sz w:val="18"/>
                <w:szCs w:val="18"/>
                <w:color w:val="auto"/>
                <w:w w:val="95"/>
              </w:rPr>
              <w:t>. Piramal hereby grants to AC Immune a right of reference to all Regulatory Materials filed by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9"/>
              </w:rPr>
              <w:t>Piramal for Product, and AC Immune hereby grants to Piramal a right of reference to all materials filed by AC Immune with Regulatory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6"/>
              </w:rPr>
              <w:t>Authorities for AC Immune Therapeutic Agent. Such rights of reference are granted by each Party solely for the purpose of the other Party</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obtaining approval on its respective product.</w:t>
            </w:r>
          </w:p>
        </w:tc>
      </w:tr>
      <w:tr>
        <w:trPr>
          <w:trHeight w:val="630"/>
        </w:trPr>
        <w:tc>
          <w:tcPr>
            <w:tcW w:w="520" w:type="dxa"/>
            <w:vAlign w:val="bottom"/>
          </w:tcPr>
          <w:p>
            <w:pPr>
              <w:spacing w:after="0"/>
              <w:rPr>
                <w:sz w:val="24"/>
                <w:szCs w:val="24"/>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520" w:type="dxa"/>
            <w:vAlign w:val="bottom"/>
          </w:tcPr>
          <w:p>
            <w:pPr>
              <w:spacing w:after="0"/>
              <w:rPr>
                <w:sz w:val="20"/>
                <w:szCs w:val="20"/>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MANUFACTURING; SUPPLY</w:t>
            </w:r>
          </w:p>
        </w:tc>
      </w:tr>
      <w:tr>
        <w:trPr>
          <w:trHeight w:val="445"/>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6.1</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w w:val="95"/>
              </w:rPr>
              <w:t>Manufacture</w:t>
            </w:r>
            <w:r>
              <w:rPr>
                <w:rFonts w:ascii="Arial" w:cs="Arial" w:eastAsia="Arial" w:hAnsi="Arial"/>
                <w:sz w:val="18"/>
                <w:szCs w:val="18"/>
                <w:color w:val="auto"/>
                <w:w w:val="95"/>
              </w:rPr>
              <w:t>. Piramal shall be responsible and shall exert Commercially Reasonable Efforts, [*****], to develop and establish Manufacturing</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processes to support the Development and Commercialization of the Product(s) in the Field in the Territory. AC Immune shall provide technical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expertise and assistance to Piramal in support of Piramal’s development and establishment of Manufacturing processes. Piramal may, in its sole</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discretion, subcontract the Manufacture of Products to Third Parties.</w:t>
            </w:r>
          </w:p>
        </w:tc>
      </w:tr>
      <w:tr>
        <w:trPr>
          <w:trHeight w:val="33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6.2</w:t>
            </w:r>
          </w:p>
        </w:tc>
        <w:tc>
          <w:tcPr>
            <w:tcW w:w="109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33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6.3</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 xml:space="preserve">Supply of </w:t>
            </w:r>
            <w:r>
              <w:rPr>
                <w:rFonts w:ascii="Arial" w:cs="Arial" w:eastAsia="Arial" w:hAnsi="Arial"/>
                <w:sz w:val="18"/>
                <w:szCs w:val="18"/>
                <w:color w:val="auto"/>
              </w:rPr>
              <w:t>[*****]</w:t>
            </w:r>
            <w:r>
              <w:rPr>
                <w:rFonts w:ascii="Arial" w:cs="Arial" w:eastAsia="Arial" w:hAnsi="Arial"/>
                <w:sz w:val="18"/>
                <w:szCs w:val="18"/>
                <w:b w:val="1"/>
                <w:bCs w:val="1"/>
                <w:color w:val="auto"/>
              </w:rPr>
              <w:t xml:space="preserve"> Doses</w:t>
            </w:r>
            <w:r>
              <w:rPr>
                <w:rFonts w:ascii="Arial" w:cs="Arial" w:eastAsia="Arial" w:hAnsi="Arial"/>
                <w:sz w:val="18"/>
                <w:szCs w:val="18"/>
                <w:color w:val="auto"/>
              </w:rPr>
              <w:t>. Piramal shall manufacture and supply doses of [*****]</w:t>
            </w:r>
          </w:p>
        </w:tc>
      </w:tr>
      <w:tr>
        <w:trPr>
          <w:trHeight w:val="365"/>
        </w:trPr>
        <w:tc>
          <w:tcPr>
            <w:tcW w:w="520" w:type="dxa"/>
            <w:vAlign w:val="bottom"/>
          </w:tcPr>
          <w:p>
            <w:pPr>
              <w:spacing w:after="0"/>
              <w:rPr>
                <w:sz w:val="24"/>
                <w:szCs w:val="24"/>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color w:val="auto"/>
                <w:w w:val="86"/>
              </w:rPr>
              <w:t>Page 17</w:t>
            </w:r>
          </w:p>
        </w:tc>
      </w:tr>
    </w:tbl>
    <w:p>
      <w:pPr>
        <w:jc w:val="center"/>
        <w:ind w:right="43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9" w:name="page390"/>
    <w:bookmarkEnd w:id="3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34" w:lineRule="exact"/>
        <w:rPr>
          <w:sz w:val="20"/>
          <w:szCs w:val="20"/>
          <w:color w:val="auto"/>
        </w:rPr>
      </w:pPr>
    </w:p>
    <w:p>
      <w:pPr>
        <w:jc w:val="both"/>
        <w:ind w:left="800" w:right="60" w:hanging="796"/>
        <w:spacing w:after="0" w:line="303"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Product</w:t>
      </w:r>
      <w:r>
        <w:rPr>
          <w:rFonts w:ascii="Arial" w:cs="Arial" w:eastAsia="Arial" w:hAnsi="Arial"/>
          <w:sz w:val="16"/>
          <w:szCs w:val="16"/>
          <w:color w:val="auto"/>
        </w:rPr>
        <w:t>. Piramal Imaging Ltd shall be responsible and undertake Commercially Reasonable Efforts, [*****] to Commercialize the Product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Field in the Territory. Piramal shall, to the extent permitted under its agreements with Third Parties, provide the JSC with information concerning its Commercialization activities and the status with respect to the Product(s). Activities by Piramal’s Affiliates and sublicensees will be considered as Piramal’s activities under this Agreement for purposes of determining whether Piramal has complied with its obligations under this Section 7.1.</w:t>
      </w:r>
    </w:p>
    <w:p>
      <w:pPr>
        <w:spacing w:after="0" w:line="57" w:lineRule="exact"/>
        <w:rPr>
          <w:sz w:val="20"/>
          <w:szCs w:val="20"/>
          <w:color w:val="auto"/>
        </w:rPr>
      </w:pPr>
    </w:p>
    <w:p>
      <w:pPr>
        <w:jc w:val="both"/>
        <w:ind w:left="800" w:right="40" w:hanging="796"/>
        <w:spacing w:after="0" w:line="282"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Pricing</w:t>
      </w:r>
      <w:r>
        <w:rPr>
          <w:rFonts w:ascii="Arial" w:cs="Arial" w:eastAsia="Arial" w:hAnsi="Arial"/>
          <w:sz w:val="18"/>
          <w:szCs w:val="18"/>
          <w:color w:val="auto"/>
        </w:rPr>
        <w:t>. Piramal Imaging Ltd shall be solely responsible for determining the pricing of each Product in the Field in the Territory, including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AND PAYMENTS</w:t>
      </w:r>
    </w:p>
    <w:p>
      <w:pPr>
        <w:spacing w:after="0" w:line="234" w:lineRule="exact"/>
        <w:rPr>
          <w:sz w:val="20"/>
          <w:szCs w:val="20"/>
          <w:color w:val="auto"/>
        </w:rPr>
      </w:pPr>
    </w:p>
    <w:p>
      <w:pPr>
        <w:ind w:left="800" w:right="140" w:hanging="796"/>
        <w:spacing w:after="0" w:line="28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b w:val="1"/>
          <w:bCs w:val="1"/>
          <w:color w:val="auto"/>
        </w:rPr>
        <w:t>Upfront Payment</w:t>
      </w:r>
      <w:r>
        <w:rPr>
          <w:rFonts w:ascii="Arial" w:cs="Arial" w:eastAsia="Arial" w:hAnsi="Arial"/>
          <w:sz w:val="17"/>
          <w:szCs w:val="17"/>
          <w:color w:val="auto"/>
        </w:rPr>
        <w:t>. In consideration of the rights granted hereunder, Piramal Imaging SA shall pay AC Immune an upfront payment of [*****],</w:t>
      </w:r>
      <w:r>
        <w:rPr>
          <w:rFonts w:ascii="Arial" w:cs="Arial" w:eastAsia="Arial" w:hAnsi="Arial"/>
          <w:sz w:val="17"/>
          <w:szCs w:val="17"/>
          <w:b w:val="1"/>
          <w:bCs w:val="1"/>
          <w:color w:val="auto"/>
        </w:rPr>
        <w:t xml:space="preserve"> </w:t>
      </w:r>
      <w:r>
        <w:rPr>
          <w:rFonts w:ascii="Arial" w:cs="Arial" w:eastAsia="Arial" w:hAnsi="Arial"/>
          <w:sz w:val="17"/>
          <w:szCs w:val="17"/>
          <w:color w:val="auto"/>
        </w:rPr>
        <w:t>which payment is due on the Effective Date and is payable by Piramal Imaging SA no later than [*****] days after the Effective Date, and which amount shall be non-creditable against any other amounts owed by Piramal Imaging SA under this Agreement.</w:t>
      </w:r>
    </w:p>
    <w:p>
      <w:pPr>
        <w:spacing w:after="0" w:line="3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Development Milestone Payments</w:t>
      </w:r>
      <w:r>
        <w:rPr>
          <w:rFonts w:ascii="Arial" w:cs="Arial" w:eastAsia="Arial" w:hAnsi="Arial"/>
          <w:sz w:val="16"/>
          <w:szCs w:val="16"/>
          <w:color w:val="auto"/>
        </w:rPr>
        <w:t>.</w:t>
      </w:r>
    </w:p>
    <w:p>
      <w:pPr>
        <w:spacing w:after="0" w:line="135" w:lineRule="exact"/>
        <w:rPr>
          <w:sz w:val="20"/>
          <w:szCs w:val="20"/>
          <w:color w:val="auto"/>
        </w:rPr>
      </w:pPr>
    </w:p>
    <w:p>
      <w:pPr>
        <w:jc w:val="both"/>
        <w:ind w:left="1380" w:right="100" w:hanging="575"/>
        <w:spacing w:after="0" w:line="264" w:lineRule="auto"/>
        <w:tabs>
          <w:tab w:leader="none" w:pos="13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With respect to Products, Piramal Imaging SA shall pay AC Immune a milestone payment upon first achievement by Piramal, its Affiliate or a sublicensee of the applicable development milestone event for each Product as set forth in the table below, such payments to be in the listed amounts for the applicable development milestone event.</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Development Milestone Event</w:t>
            </w:r>
          </w:p>
        </w:tc>
        <w:tc>
          <w:tcPr>
            <w:tcW w:w="5920" w:type="dxa"/>
            <w:vAlign w:val="bottom"/>
            <w:gridSpan w:val="2"/>
          </w:tcPr>
          <w:p>
            <w:pPr>
              <w:jc w:val="center"/>
              <w:ind w:left="5193"/>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auto"/>
            </w:tcBorders>
            <w:vMerge w:val="continue"/>
          </w:tcPr>
          <w:p>
            <w:pPr>
              <w:spacing w:after="0"/>
              <w:rPr>
                <w:sz w:val="15"/>
                <w:szCs w:val="15"/>
                <w:color w:val="auto"/>
              </w:rPr>
            </w:pPr>
          </w:p>
        </w:tc>
        <w:tc>
          <w:tcPr>
            <w:tcW w:w="53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20" w:type="dxa"/>
            <w:vAlign w:val="bottom"/>
            <w:gridSpan w:val="2"/>
            <w:shd w:val="clear" w:color="auto" w:fill="CCEEFF"/>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20" w:type="dxa"/>
            <w:vAlign w:val="bottom"/>
            <w:gridSpan w:val="2"/>
            <w:shd w:val="clear" w:color="auto" w:fill="CCEEFF"/>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5920" w:type="dxa"/>
            <w:vAlign w:val="bottom"/>
            <w:gridSpan w:val="2"/>
          </w:tcPr>
          <w:p>
            <w:pPr>
              <w:ind w:left="1740"/>
              <w:spacing w:after="0"/>
              <w:rPr>
                <w:sz w:val="20"/>
                <w:szCs w:val="20"/>
                <w:color w:val="auto"/>
              </w:rPr>
            </w:pPr>
            <w:r>
              <w:rPr>
                <w:rFonts w:ascii="Arial" w:cs="Arial" w:eastAsia="Arial" w:hAnsi="Arial"/>
                <w:sz w:val="18"/>
                <w:szCs w:val="18"/>
                <w:color w:val="auto"/>
              </w:rPr>
              <w:t>Page 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hanging="575"/>
        <w:spacing w:after="0"/>
        <w:tabs>
          <w:tab w:leader="none" w:pos="13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120" w:hanging="796"/>
        <w:spacing w:after="0" w:line="282" w:lineRule="auto"/>
        <w:tabs>
          <w:tab w:leader="none" w:pos="7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Sales Milestones</w:t>
      </w:r>
      <w:r>
        <w:rPr>
          <w:rFonts w:ascii="Arial" w:cs="Arial" w:eastAsia="Arial" w:hAnsi="Arial"/>
          <w:sz w:val="18"/>
          <w:szCs w:val="18"/>
          <w:color w:val="auto"/>
        </w:rPr>
        <w:t>. Piramal Imaging SA shall pay AC Immune a milestone payment upon first achievement of the applicable sales milestone event</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table below, such payments to be in the listed amounts for the applicable sales milestone event.</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89"/>
              </w:rPr>
              <w:t>Sales Milestone Event</w:t>
            </w:r>
          </w:p>
        </w:tc>
        <w:tc>
          <w:tcPr>
            <w:tcW w:w="6420" w:type="dxa"/>
            <w:vAlign w:val="bottom"/>
            <w:gridSpan w:val="2"/>
          </w:tcPr>
          <w:p>
            <w:pPr>
              <w:jc w:val="center"/>
              <w:ind w:left="5694"/>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58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6420" w:type="dxa"/>
            <w:vAlign w:val="bottom"/>
            <w:gridSpan w:val="2"/>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6420" w:type="dxa"/>
            <w:vAlign w:val="bottom"/>
            <w:gridSpan w:val="2"/>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Sublicensing Revenue</w:t>
      </w:r>
      <w:r>
        <w:rPr>
          <w:rFonts w:ascii="Arial" w:cs="Arial" w:eastAsia="Arial" w:hAnsi="Arial"/>
          <w:sz w:val="16"/>
          <w:szCs w:val="16"/>
          <w:color w:val="auto"/>
        </w:rPr>
        <w:t>. Piramal Imaging SA shall pay AC Immune a percentage of Sublicense Revenue. Subject to Section 8.6,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70"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2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color w:val="auto"/>
              </w:rPr>
              <w:t>[*****]</w:t>
            </w:r>
          </w:p>
        </w:tc>
        <w:tc>
          <w:tcPr>
            <w:tcW w:w="310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4200" w:type="dxa"/>
            <w:vAlign w:val="bottom"/>
            <w:gridSpan w:val="2"/>
          </w:tcPr>
          <w:p>
            <w:pPr>
              <w:jc w:val="center"/>
              <w:ind w:left="2876"/>
              <w:spacing w:after="0" w:line="158" w:lineRule="exact"/>
              <w:rPr>
                <w:sz w:val="20"/>
                <w:szCs w:val="20"/>
                <w:color w:val="auto"/>
              </w:rPr>
            </w:pPr>
            <w:r>
              <w:rPr>
                <w:rFonts w:ascii="Arial" w:cs="Arial" w:eastAsia="Arial" w:hAnsi="Arial"/>
                <w:sz w:val="14"/>
                <w:szCs w:val="14"/>
                <w:b w:val="1"/>
                <w:bCs w:val="1"/>
                <w:color w:val="auto"/>
                <w:w w:val="88"/>
              </w:rPr>
              <w:t>Sublicense Revenue</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9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jc w:val="center"/>
              <w:ind w:left="28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0" w:type="dxa"/>
            <w:vAlign w:val="bottom"/>
            <w:gridSpan w:val="2"/>
            <w:shd w:val="clear" w:color="auto" w:fill="CCEEFF"/>
          </w:tcPr>
          <w:p>
            <w:pPr>
              <w:jc w:val="center"/>
              <w:ind w:left="28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Royalties</w:t>
      </w:r>
      <w:r>
        <w:rPr>
          <w:rFonts w:ascii="Arial" w:cs="Arial" w:eastAsia="Arial" w:hAnsi="Arial"/>
          <w:sz w:val="16"/>
          <w:szCs w:val="16"/>
          <w:color w:val="auto"/>
        </w:rPr>
        <w:t>.</w:t>
      </w:r>
    </w:p>
    <w:p>
      <w:pPr>
        <w:spacing w:after="0" w:line="135" w:lineRule="exact"/>
        <w:rPr>
          <w:sz w:val="20"/>
          <w:szCs w:val="20"/>
          <w:color w:val="auto"/>
        </w:rPr>
      </w:pPr>
    </w:p>
    <w:p>
      <w:pPr>
        <w:ind w:left="1380" w:right="380" w:hanging="575"/>
        <w:spacing w:after="0" w:line="277" w:lineRule="auto"/>
        <w:tabs>
          <w:tab w:leader="none" w:pos="13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this Section 8.5 and Section 8.6, Piramal shall during the Royalty Term pay to AC Immune the royalties below in respect of Annual Net Sales of the Product in the Field in the Territory:</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Annual Net Sales</w:t>
            </w:r>
          </w:p>
        </w:tc>
        <w:tc>
          <w:tcPr>
            <w:tcW w:w="6700" w:type="dxa"/>
            <w:vAlign w:val="bottom"/>
            <w:gridSpan w:val="2"/>
          </w:tcPr>
          <w:p>
            <w:pPr>
              <w:jc w:val="center"/>
              <w:ind w:left="5774"/>
              <w:spacing w:after="0"/>
              <w:rPr>
                <w:sz w:val="20"/>
                <w:szCs w:val="20"/>
                <w:color w:val="auto"/>
              </w:rPr>
            </w:pPr>
            <w:r>
              <w:rPr>
                <w:rFonts w:ascii="Arial" w:cs="Arial" w:eastAsia="Arial" w:hAnsi="Arial"/>
                <w:sz w:val="14"/>
                <w:szCs w:val="14"/>
                <w:b w:val="1"/>
                <w:bCs w:val="1"/>
                <w:color w:val="auto"/>
                <w:w w:val="94"/>
              </w:rPr>
              <w:t>Royalty Rate</w:t>
            </w:r>
          </w:p>
        </w:tc>
      </w:tr>
      <w:tr>
        <w:trPr>
          <w:trHeight w:val="203"/>
        </w:trPr>
        <w:tc>
          <w:tcPr>
            <w:tcW w:w="1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w:t>
            </w:r>
          </w:p>
        </w:tc>
        <w:tc>
          <w:tcPr>
            <w:tcW w:w="6700" w:type="dxa"/>
            <w:vAlign w:val="bottom"/>
            <w:gridSpan w:val="2"/>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2"/>
            <w:shd w:val="clear" w:color="auto" w:fill="CCEEFF"/>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w:t>
            </w:r>
          </w:p>
        </w:tc>
        <w:tc>
          <w:tcPr>
            <w:tcW w:w="6700" w:type="dxa"/>
            <w:vAlign w:val="bottom"/>
            <w:gridSpan w:val="2"/>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2"/>
            <w:shd w:val="clear" w:color="auto" w:fill="CCEEFF"/>
          </w:tcPr>
          <w:p>
            <w:pPr>
              <w:jc w:val="center"/>
              <w:ind w:left="577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jc w:val="both"/>
        <w:ind w:left="1380" w:right="120" w:hanging="575"/>
        <w:spacing w:after="0" w:line="266" w:lineRule="auto"/>
        <w:tabs>
          <w:tab w:leader="none" w:pos="138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Royalty Step-Down</w:t>
      </w:r>
      <w:r>
        <w:rPr>
          <w:rFonts w:ascii="Arial" w:cs="Arial" w:eastAsia="Arial" w:hAnsi="Arial"/>
          <w:sz w:val="18"/>
          <w:szCs w:val="18"/>
          <w:color w:val="auto"/>
        </w:rPr>
        <w:t>. If the sale of any Product is not Covered by a Valid Claim of (i) an AC Immune Tau Protein Imaging Patent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 in each case in the country in which such sale occurred, then the royalties due under Section 8.5(a) shall be reduced as follows: [*****]</w:t>
      </w:r>
    </w:p>
    <w:p>
      <w:pPr>
        <w:spacing w:after="0" w:line="81" w:lineRule="exact"/>
        <w:rPr>
          <w:rFonts w:ascii="Arial" w:cs="Arial" w:eastAsia="Arial" w:hAnsi="Arial"/>
          <w:sz w:val="18"/>
          <w:szCs w:val="18"/>
          <w:color w:val="auto"/>
        </w:rPr>
      </w:pPr>
    </w:p>
    <w:p>
      <w:pPr>
        <w:ind w:left="1380" w:right="200" w:hanging="575"/>
        <w:spacing w:after="0" w:line="258" w:lineRule="auto"/>
        <w:tabs>
          <w:tab w:leader="none" w:pos="138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Royalty Term</w:t>
      </w:r>
      <w:r>
        <w:rPr>
          <w:rFonts w:ascii="Arial" w:cs="Arial" w:eastAsia="Arial" w:hAnsi="Arial"/>
          <w:sz w:val="18"/>
          <w:szCs w:val="18"/>
          <w:color w:val="auto"/>
        </w:rPr>
        <w:t>. Piramal Imaging SA’s royalty payment obligations under this Section 8.5 shall expire, on a Product-by-Product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country-by-country basis, on the later of: (i) ten (10) years after the First Commercial Sale of the Product in such country; or (ii) the date on which there is no longer a Valid Claim within the AC Immune Tau Protein Imaging Patents or Collaboration Patents that Covers the sale of such Product in such country (such period, the “</w:t>
      </w:r>
      <w:r>
        <w:rPr>
          <w:rFonts w:ascii="Arial" w:cs="Arial" w:eastAsia="Arial" w:hAnsi="Arial"/>
          <w:sz w:val="18"/>
          <w:szCs w:val="18"/>
          <w:u w:val="single" w:color="auto"/>
          <w:color w:val="auto"/>
        </w:rPr>
        <w:t>Royalty Term</w:t>
      </w:r>
      <w:r>
        <w:rPr>
          <w:rFonts w:ascii="Arial" w:cs="Arial" w:eastAsia="Arial" w:hAnsi="Arial"/>
          <w:sz w:val="18"/>
          <w:szCs w:val="18"/>
          <w:color w:val="auto"/>
        </w:rPr>
        <w:t>”). At the end of the Royalty Term with respect to a Product and a country, the licenses granted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70" w:right="2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340"/>
        <w:spacing w:after="0" w:line="277" w:lineRule="auto"/>
        <w:rPr>
          <w:sz w:val="20"/>
          <w:szCs w:val="20"/>
          <w:color w:val="auto"/>
        </w:rPr>
      </w:pPr>
      <w:r>
        <w:rPr>
          <w:rFonts w:ascii="Arial" w:cs="Arial" w:eastAsia="Arial" w:hAnsi="Arial"/>
          <w:sz w:val="18"/>
          <w:szCs w:val="18"/>
          <w:color w:val="auto"/>
        </w:rPr>
        <w:t>Piramal under Section 3.1 with respect to such Product in such country shall automatically convert to non-exclusive, royalty-free, fully paid-up, perpetual, irrevocable licenses.</w:t>
      </w:r>
    </w:p>
    <w:p>
      <w:pPr>
        <w:spacing w:after="0" w:line="72" w:lineRule="exact"/>
        <w:rPr>
          <w:sz w:val="20"/>
          <w:szCs w:val="20"/>
          <w:color w:val="auto"/>
        </w:rPr>
      </w:pPr>
    </w:p>
    <w:p>
      <w:pPr>
        <w:ind w:left="800" w:right="500" w:hanging="796"/>
        <w:spacing w:after="0" w:line="289" w:lineRule="auto"/>
        <w:tabs>
          <w:tab w:leader="none" w:pos="7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b w:val="1"/>
          <w:bCs w:val="1"/>
          <w:color w:val="auto"/>
        </w:rPr>
        <w:t>Reduction for Third Party Licenses</w:t>
      </w:r>
      <w:r>
        <w:rPr>
          <w:rFonts w:ascii="Arial" w:cs="Arial" w:eastAsia="Arial" w:hAnsi="Arial"/>
          <w:sz w:val="17"/>
          <w:szCs w:val="17"/>
          <w:color w:val="auto"/>
        </w:rPr>
        <w:t>. lf Piramal Imaging SA, its Affiliates or sublicensees owes to one or more Third Parties, under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agreements granting Piramal Imaging SA (or its Affiliate or sublicensee) license rights covering intellectual property rights that are needed lawfully to make, use, sell or import Products, then Piramal Imaging SA may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w:t>
      </w:r>
    </w:p>
    <w:p>
      <w:pPr>
        <w:spacing w:after="0" w:line="3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Reports and Payments</w:t>
      </w:r>
      <w:r>
        <w:rPr>
          <w:rFonts w:ascii="Arial" w:cs="Arial" w:eastAsia="Arial" w:hAnsi="Arial"/>
          <w:sz w:val="16"/>
          <w:szCs w:val="16"/>
          <w:color w:val="auto"/>
        </w:rPr>
        <w:t>.</w:t>
      </w:r>
    </w:p>
    <w:p>
      <w:pPr>
        <w:spacing w:after="0" w:line="131" w:lineRule="exact"/>
        <w:rPr>
          <w:sz w:val="20"/>
          <w:szCs w:val="20"/>
          <w:color w:val="auto"/>
        </w:rPr>
      </w:pPr>
    </w:p>
    <w:p>
      <w:pPr>
        <w:ind w:left="1380" w:right="60" w:hanging="575"/>
        <w:spacing w:after="0" w:line="261" w:lineRule="auto"/>
        <w:tabs>
          <w:tab w:leader="none" w:pos="138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Milestones</w:t>
      </w:r>
      <w:r>
        <w:rPr>
          <w:rFonts w:ascii="Arial" w:cs="Arial" w:eastAsia="Arial" w:hAnsi="Arial"/>
          <w:sz w:val="18"/>
          <w:szCs w:val="18"/>
          <w:color w:val="auto"/>
        </w:rPr>
        <w:t>. Piramal Imaging SA shall promptly notify AC Immune of the achievement of any milestone event for the Product in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achieved in accordance with Sections 8.2 and 8.3. All milestone payments shall be due within [*****] days after achievement of the applicable milestone event and are non-refundable, and non-creditable against any other payments due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Development of a Product is abandoned, [*****]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w:t>
      </w:r>
    </w:p>
    <w:p>
      <w:pPr>
        <w:spacing w:after="0" w:line="89" w:lineRule="exact"/>
        <w:rPr>
          <w:rFonts w:ascii="Arial" w:cs="Arial" w:eastAsia="Arial" w:hAnsi="Arial"/>
          <w:sz w:val="18"/>
          <w:szCs w:val="18"/>
          <w:color w:val="auto"/>
        </w:rPr>
      </w:pPr>
    </w:p>
    <w:p>
      <w:pPr>
        <w:ind w:left="1380" w:right="320" w:hanging="575"/>
        <w:spacing w:after="0" w:line="308" w:lineRule="auto"/>
        <w:tabs>
          <w:tab w:leader="none" w:pos="1380" w:val="left"/>
        </w:tabs>
        <w:numPr>
          <w:ilvl w:val="0"/>
          <w:numId w:val="276"/>
        </w:numPr>
        <w:rPr>
          <w:rFonts w:ascii="Arial" w:cs="Arial" w:eastAsia="Arial" w:hAnsi="Arial"/>
          <w:sz w:val="17"/>
          <w:szCs w:val="17"/>
          <w:color w:val="auto"/>
        </w:rPr>
      </w:pPr>
      <w:r>
        <w:rPr>
          <w:rFonts w:ascii="Arial" w:cs="Arial" w:eastAsia="Arial" w:hAnsi="Arial"/>
          <w:sz w:val="17"/>
          <w:szCs w:val="17"/>
          <w:i w:val="1"/>
          <w:iCs w:val="1"/>
          <w:color w:val="auto"/>
        </w:rPr>
        <w:t>Sublicense Revenue</w:t>
      </w:r>
      <w:r>
        <w:rPr>
          <w:rFonts w:ascii="Arial" w:cs="Arial" w:eastAsia="Arial" w:hAnsi="Arial"/>
          <w:sz w:val="17"/>
          <w:szCs w:val="17"/>
          <w:color w:val="auto"/>
        </w:rPr>
        <w:t>. Any fees owed under Section 8.4 shall be paid, with respect to particular Sublicense Revenue received by Piramal</w:t>
      </w:r>
      <w:r>
        <w:rPr>
          <w:rFonts w:ascii="Arial" w:cs="Arial" w:eastAsia="Arial" w:hAnsi="Arial"/>
          <w:sz w:val="17"/>
          <w:szCs w:val="17"/>
          <w:i w:val="1"/>
          <w:iCs w:val="1"/>
          <w:color w:val="auto"/>
        </w:rPr>
        <w:t xml:space="preserve"> </w:t>
      </w:r>
      <w:r>
        <w:rPr>
          <w:rFonts w:ascii="Arial" w:cs="Arial" w:eastAsia="Arial" w:hAnsi="Arial"/>
          <w:sz w:val="17"/>
          <w:szCs w:val="17"/>
          <w:color w:val="auto"/>
        </w:rPr>
        <w:t>Imaging SA, within [*****] days after Piramal Imaging SA’s receipt of the applicable Sublicense Revenue.</w:t>
      </w:r>
    </w:p>
    <w:p>
      <w:pPr>
        <w:spacing w:after="0" w:line="47" w:lineRule="exact"/>
        <w:rPr>
          <w:rFonts w:ascii="Arial" w:cs="Arial" w:eastAsia="Arial" w:hAnsi="Arial"/>
          <w:sz w:val="17"/>
          <w:szCs w:val="17"/>
          <w:color w:val="auto"/>
        </w:rPr>
      </w:pPr>
    </w:p>
    <w:p>
      <w:pPr>
        <w:jc w:val="both"/>
        <w:ind w:left="1380" w:right="80" w:hanging="575"/>
        <w:spacing w:after="0" w:line="289" w:lineRule="auto"/>
        <w:tabs>
          <w:tab w:leader="none" w:pos="1380" w:val="left"/>
        </w:tabs>
        <w:numPr>
          <w:ilvl w:val="0"/>
          <w:numId w:val="276"/>
        </w:numPr>
        <w:rPr>
          <w:rFonts w:ascii="Arial" w:cs="Arial" w:eastAsia="Arial" w:hAnsi="Arial"/>
          <w:sz w:val="17"/>
          <w:szCs w:val="17"/>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 [*****] Piramal shall deliver to AC Immune a report setting forth for such quarter the following information: [*****]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shall be due for any Product before the first commercial sale of the Product in the Territory. The total royalty due for the sale of the Product during such quarter shall be remitted no later than [*****] days after the end of each such quarter.</w:t>
      </w:r>
    </w:p>
    <w:p>
      <w:pPr>
        <w:spacing w:after="0" w:line="64" w:lineRule="exact"/>
        <w:rPr>
          <w:sz w:val="20"/>
          <w:szCs w:val="20"/>
          <w:color w:val="auto"/>
        </w:rPr>
      </w:pPr>
    </w:p>
    <w:p>
      <w:pPr>
        <w:ind w:left="800" w:right="60" w:hanging="796"/>
        <w:spacing w:after="0" w:line="261" w:lineRule="auto"/>
        <w:tabs>
          <w:tab w:leader="none" w:pos="7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Payment Method</w:t>
      </w:r>
      <w:r>
        <w:rPr>
          <w:rFonts w:ascii="Arial" w:cs="Arial" w:eastAsia="Arial" w:hAnsi="Arial"/>
          <w:sz w:val="18"/>
          <w:szCs w:val="18"/>
          <w:color w:val="auto"/>
        </w:rPr>
        <w:t>. Payments hereunder shall be paid by wire transfer, or electronic funds transfer (EFT) in immediately available funds to a bank</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designated by AC Immune at least [*****] days in advance of such payment. Regardless of the amounts of any royalties or other payments due under this Agreement or any other agreement between the Parties or their Affiliates, all amounts payable under this Agreement shall be paid in full.</w:t>
      </w:r>
    </w:p>
    <w:p>
      <w:pPr>
        <w:spacing w:after="0" w:line="86"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b w:val="1"/>
          <w:bCs w:val="1"/>
          <w:color w:val="auto"/>
        </w:rPr>
        <w:t>Blocked Currency</w:t>
      </w:r>
      <w:r>
        <w:rPr>
          <w:rFonts w:ascii="Arial" w:cs="Arial" w:eastAsia="Arial" w:hAnsi="Arial"/>
          <w:sz w:val="18"/>
          <w:szCs w:val="18"/>
          <w:color w:val="auto"/>
        </w:rPr>
        <w:t>. If at any time legal restrictions in any country in the Territory prevent the prompt remittance of any payments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that country, Piramal shall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69" w:right="2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360"/>
        <w:spacing w:after="0" w:line="277" w:lineRule="auto"/>
        <w:rPr>
          <w:sz w:val="20"/>
          <w:szCs w:val="20"/>
          <w:color w:val="auto"/>
        </w:rPr>
      </w:pPr>
      <w:r>
        <w:rPr>
          <w:rFonts w:ascii="Arial" w:cs="Arial" w:eastAsia="Arial" w:hAnsi="Arial"/>
          <w:sz w:val="18"/>
          <w:szCs w:val="18"/>
          <w:color w:val="auto"/>
        </w:rPr>
        <w:t>have the right and option upon written notice to AC Immune to make such payments be depositing the amount thereof in local currency to AC Immune’s account (or such other designed nominee by AC Immune) in a bank or depository in such county.</w:t>
      </w:r>
    </w:p>
    <w:p>
      <w:pPr>
        <w:spacing w:after="0" w:line="72" w:lineRule="exact"/>
        <w:rPr>
          <w:sz w:val="20"/>
          <w:szCs w:val="20"/>
          <w:color w:val="auto"/>
        </w:rPr>
      </w:pPr>
    </w:p>
    <w:p>
      <w:pPr>
        <w:ind w:left="800" w:right="180" w:hanging="796"/>
        <w:spacing w:after="0" w:line="266" w:lineRule="auto"/>
        <w:tabs>
          <w:tab w:leader="none" w:pos="7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b w:val="1"/>
          <w:bCs w:val="1"/>
          <w:color w:val="auto"/>
        </w:rPr>
        <w:t>Currency</w:t>
      </w:r>
      <w:r>
        <w:rPr>
          <w:rFonts w:ascii="Arial" w:cs="Arial" w:eastAsia="Arial" w:hAnsi="Arial"/>
          <w:sz w:val="18"/>
          <w:szCs w:val="18"/>
          <w:color w:val="auto"/>
        </w:rPr>
        <w:t>. All amounts payable and calculations hereunder shall be in Euros. Conversion of sales recorded in local currencies to Euros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in a manner consistent with a Party’s normal practices used to prepare its financial statements and consistent with IFRS, provided that such practices use a widely accepted source of published exchange rates.</w:t>
      </w:r>
    </w:p>
    <w:p>
      <w:pPr>
        <w:spacing w:after="0" w:line="82" w:lineRule="exact"/>
        <w:rPr>
          <w:sz w:val="20"/>
          <w:szCs w:val="20"/>
          <w:color w:val="auto"/>
        </w:rPr>
      </w:pPr>
    </w:p>
    <w:p>
      <w:pPr>
        <w:ind w:left="800" w:hanging="796"/>
        <w:spacing w:after="0" w:line="255" w:lineRule="auto"/>
        <w:tabs>
          <w:tab w:leader="none" w:pos="7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b w:val="1"/>
          <w:bCs w:val="1"/>
          <w:color w:val="auto"/>
        </w:rPr>
        <w:t>Taxes and Withholding</w:t>
      </w:r>
      <w:r>
        <w:rPr>
          <w:rFonts w:ascii="Arial" w:cs="Arial" w:eastAsia="Arial" w:hAnsi="Arial"/>
          <w:sz w:val="18"/>
          <w:szCs w:val="18"/>
          <w:color w:val="auto"/>
        </w:rPr>
        <w:t>. All payments due from Piramal to AC Immune under this Agreement will be made without any deduction or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for or on account of any tax unless such deduction or withholding is required by applicable Laws to be assessed against AC Immune. If Piramal is so required to deduct or withhold, Piramal will promptly notify AC Immune of such requirement, (b) pay to the relevant authorities the full amount required to be deducted or withheld promptly upon the earlier of determining that such deduction or withholding is required or receiving notice that such amount has been assessed against AC Immune, (c) promptly forward to AC Immune an official receipt (or certified copy) or other documentation reasonably acceptable to AC Immune evidencing such payment to such authorities, and (d) otherwise reasonably cooperate with AC Immune in connection with AC Immune’s attempts to obtain favorable tax treatment and credit therefor (where appropriate) in accordance with applicable Laws.</w:t>
      </w:r>
    </w:p>
    <w:p>
      <w:pPr>
        <w:spacing w:after="0" w:line="91" w:lineRule="exact"/>
        <w:rPr>
          <w:sz w:val="20"/>
          <w:szCs w:val="20"/>
          <w:color w:val="auto"/>
        </w:rPr>
      </w:pPr>
    </w:p>
    <w:p>
      <w:pPr>
        <w:ind w:left="800" w:right="40" w:hanging="796"/>
        <w:spacing w:after="0" w:line="261" w:lineRule="auto"/>
        <w:tabs>
          <w:tab w:leader="none" w:pos="7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b w:val="1"/>
          <w:bCs w:val="1"/>
          <w:color w:val="auto"/>
        </w:rPr>
        <w:t>Maintenance of Records</w:t>
      </w:r>
      <w:r>
        <w:rPr>
          <w:rFonts w:ascii="Arial" w:cs="Arial" w:eastAsia="Arial" w:hAnsi="Arial"/>
          <w:sz w:val="18"/>
          <w:szCs w:val="18"/>
          <w:color w:val="auto"/>
        </w:rPr>
        <w:t>. Piramal shall keep accurate books and accounts of record in connection with the sale of Product and the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to be made under this Agreement in sufficient detail to permit accurate determination of all figures necessary for verification of royalties and other payments to be paid from Piramal to AC Immune under this Agreement. Piramal shall maintain such records for a period of at least [*****] years after the end of the calendar year in which they were generated</w:t>
      </w:r>
    </w:p>
    <w:p>
      <w:pPr>
        <w:spacing w:after="0" w:line="86" w:lineRule="exact"/>
        <w:rPr>
          <w:sz w:val="20"/>
          <w:szCs w:val="20"/>
          <w:color w:val="auto"/>
        </w:rPr>
      </w:pPr>
    </w:p>
    <w:p>
      <w:pPr>
        <w:ind w:left="800" w:right="40" w:hanging="796"/>
        <w:spacing w:after="0" w:line="270" w:lineRule="auto"/>
        <w:tabs>
          <w:tab w:leader="none" w:pos="7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b w:val="1"/>
          <w:bCs w:val="1"/>
          <w:color w:val="auto"/>
        </w:rPr>
        <w:t>Audits</w:t>
      </w:r>
      <w:r>
        <w:rPr>
          <w:rFonts w:ascii="Arial" w:cs="Arial" w:eastAsia="Arial" w:hAnsi="Arial"/>
          <w:sz w:val="17"/>
          <w:szCs w:val="17"/>
          <w:color w:val="auto"/>
        </w:rPr>
        <w:t>. AC Immune shall have the right, at its own expense and no more than once per year, to have an independent, certified public accountant,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by AC Immune and reasonably acceptable to Piramal, review all records maintained in accordance with Section 8.11 upon reasonable notice and during regular business hours and under obligations of strict confidence, for the sole purpose of verifying the basis and accuracy of payments required and made under this Agreement within the prior [*****] month period. No calendar quarter may be audited more than one time. Piramal shall receive a copy of each audit report promptly from AC Immune. Should the inspection lead to the discovery of a discrepancy to AC Immune’s detriment, Piramal shall pay the amount of the discrepancy in AC Immune’s favor plus interest accrued, compounded semiannually from the day the relevant payment(s) were due, within [*****] days after being notified thereof. AC Immune shall pay the full cost of the inspection unless the discrepancy is greater than [*****], in which case Piramal shall pay to AC Immune the actual cost charged by such accountant for such inspection. If such audit shows a discrepancy in Piramal’s favor, then Piramal may credit the amount of such discrepancy against subsequent amounts owed to AC Immune, or if no further amounts are owed under this Agreement, then AC Immune shall pay Piramal the amount of the discrepancy without interest within [*****] days after being notified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270" w:right="2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380" w:right="280" w:hanging="575"/>
        <w:spacing w:after="0" w:line="282" w:lineRule="auto"/>
        <w:tabs>
          <w:tab w:leader="none" w:pos="138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Background IP</w:t>
      </w:r>
      <w:r>
        <w:rPr>
          <w:rFonts w:ascii="Arial" w:cs="Arial" w:eastAsia="Arial" w:hAnsi="Arial"/>
          <w:sz w:val="18"/>
          <w:szCs w:val="18"/>
          <w:color w:val="auto"/>
        </w:rPr>
        <w:t>. As between the Parties, (i) AC Immune shall solely own the AC Immune Background IP, and (ii) Piramal Imaging SA</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solely own the Piramal Background IP.</w:t>
      </w:r>
    </w:p>
    <w:p>
      <w:pPr>
        <w:spacing w:after="0" w:line="67" w:lineRule="exact"/>
        <w:rPr>
          <w:rFonts w:ascii="Arial" w:cs="Arial" w:eastAsia="Arial" w:hAnsi="Arial"/>
          <w:sz w:val="18"/>
          <w:szCs w:val="18"/>
          <w:color w:val="auto"/>
        </w:rPr>
      </w:pPr>
    </w:p>
    <w:p>
      <w:pPr>
        <w:ind w:left="1380" w:hanging="575"/>
        <w:spacing w:after="0"/>
        <w:tabs>
          <w:tab w:leader="none" w:pos="138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40" w:hanging="668"/>
        <w:spacing w:after="0"/>
        <w:tabs>
          <w:tab w:leader="none" w:pos="20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invention that comprises the [*****]</w:t>
      </w:r>
    </w:p>
    <w:p>
      <w:pPr>
        <w:spacing w:after="0" w:line="130" w:lineRule="exact"/>
        <w:rPr>
          <w:rFonts w:ascii="Arial" w:cs="Arial" w:eastAsia="Arial" w:hAnsi="Arial"/>
          <w:sz w:val="18"/>
          <w:szCs w:val="18"/>
          <w:color w:val="auto"/>
        </w:rPr>
      </w:pPr>
    </w:p>
    <w:p>
      <w:pPr>
        <w:ind w:left="2040" w:hanging="668"/>
        <w:spacing w:after="0"/>
        <w:tabs>
          <w:tab w:leader="none" w:pos="20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ownership of any [*****]</w:t>
      </w:r>
    </w:p>
    <w:p>
      <w:pPr>
        <w:spacing w:after="0" w:line="130" w:lineRule="exact"/>
        <w:rPr>
          <w:rFonts w:ascii="Arial" w:cs="Arial" w:eastAsia="Arial" w:hAnsi="Arial"/>
          <w:sz w:val="18"/>
          <w:szCs w:val="18"/>
          <w:color w:val="auto"/>
        </w:rPr>
      </w:pPr>
    </w:p>
    <w:p>
      <w:pPr>
        <w:ind w:left="2040" w:hanging="668"/>
        <w:spacing w:after="0"/>
        <w:tabs>
          <w:tab w:leader="none" w:pos="20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Inventorship shall be determined in accordance [*****]</w:t>
      </w:r>
    </w:p>
    <w:p>
      <w:pPr>
        <w:spacing w:after="0" w:line="127" w:lineRule="exact"/>
        <w:rPr>
          <w:sz w:val="20"/>
          <w:szCs w:val="20"/>
          <w:color w:val="auto"/>
        </w:rPr>
      </w:pPr>
    </w:p>
    <w:p>
      <w:pPr>
        <w:jc w:val="both"/>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Disclosure</w:t>
      </w:r>
      <w:r>
        <w:rPr>
          <w:rFonts w:ascii="Arial" w:cs="Arial" w:eastAsia="Arial" w:hAnsi="Arial"/>
          <w:sz w:val="18"/>
          <w:szCs w:val="18"/>
          <w:color w:val="auto"/>
        </w:rPr>
        <w:t>. Each Party shall promptly disclose to the other Party all inventions and Know-How, including all invention disclosures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submitted to such Party by its, or its Affiliates’ employees, agents or independent contractors describing the inventions and Know-How created under Section 9.1(b).</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Prosecution and Maintenance of AC Immune Tau Protein Imaging IP and Jointly Owned Collaboration IP</w:t>
      </w:r>
      <w:r>
        <w:rPr>
          <w:rFonts w:ascii="Arial" w:cs="Arial" w:eastAsia="Arial" w:hAnsi="Arial"/>
          <w:sz w:val="16"/>
          <w:szCs w:val="16"/>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270" w:right="2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right="100" w:hanging="575"/>
        <w:spacing w:after="0" w:line="282" w:lineRule="auto"/>
        <w:tabs>
          <w:tab w:leader="none" w:pos="13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AC Immune and Piramal Imaging SA shall select a mutually agreeable outside counsel (“</w:t>
      </w:r>
      <w:r>
        <w:rPr>
          <w:rFonts w:ascii="Arial" w:cs="Arial" w:eastAsia="Arial" w:hAnsi="Arial"/>
          <w:sz w:val="18"/>
          <w:szCs w:val="18"/>
          <w:b w:val="1"/>
          <w:bCs w:val="1"/>
          <w:color w:val="auto"/>
        </w:rPr>
        <w:t>Outside Patent Counsel</w:t>
      </w:r>
      <w:r>
        <w:rPr>
          <w:rFonts w:ascii="Arial" w:cs="Arial" w:eastAsia="Arial" w:hAnsi="Arial"/>
          <w:sz w:val="18"/>
          <w:szCs w:val="18"/>
          <w:color w:val="auto"/>
        </w:rPr>
        <w:t>’’) to be responsible for the [*****]</w:t>
      </w:r>
    </w:p>
    <w:p>
      <w:pPr>
        <w:spacing w:after="0" w:line="71" w:lineRule="exact"/>
        <w:rPr>
          <w:rFonts w:ascii="Arial" w:cs="Arial" w:eastAsia="Arial" w:hAnsi="Arial"/>
          <w:sz w:val="18"/>
          <w:szCs w:val="18"/>
          <w:color w:val="auto"/>
        </w:rPr>
      </w:pPr>
    </w:p>
    <w:p>
      <w:pPr>
        <w:ind w:left="1380" w:right="40" w:hanging="575"/>
        <w:spacing w:after="0" w:line="277" w:lineRule="auto"/>
        <w:tabs>
          <w:tab w:leader="none" w:pos="13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 respect to Patents within the AC Immune Tau Protein Imaging IP and Jointly Owned Collaboration IP, the Parties shall cooperate and assist each in the Prosecution and Maintenance of such Patents, including [*****]</w:t>
      </w:r>
    </w:p>
    <w:p>
      <w:pPr>
        <w:spacing w:after="0" w:line="75" w:lineRule="exact"/>
        <w:rPr>
          <w:rFonts w:ascii="Arial" w:cs="Arial" w:eastAsia="Arial" w:hAnsi="Arial"/>
          <w:sz w:val="18"/>
          <w:szCs w:val="18"/>
          <w:color w:val="auto"/>
        </w:rPr>
      </w:pPr>
    </w:p>
    <w:p>
      <w:pPr>
        <w:ind w:left="1380" w:right="100" w:hanging="575"/>
        <w:spacing w:after="0" w:line="259" w:lineRule="auto"/>
        <w:tabs>
          <w:tab w:leader="none" w:pos="13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 Immune Tau Protein Imaging IP or Jointly Owned Collaboration IP, it shall promptly inform the other Party thereof. With respect thereto, the Parties shall promptly engage the Outside Patent Counsel to draft a patent application for such invention and to make a preliminary determination of inventors and scope of claims.</w:t>
      </w:r>
    </w:p>
    <w:p>
      <w:pPr>
        <w:spacing w:after="0" w:line="92" w:lineRule="exact"/>
        <w:rPr>
          <w:rFonts w:ascii="Arial" w:cs="Arial" w:eastAsia="Arial" w:hAnsi="Arial"/>
          <w:sz w:val="18"/>
          <w:szCs w:val="18"/>
          <w:color w:val="auto"/>
        </w:rPr>
      </w:pPr>
    </w:p>
    <w:p>
      <w:pPr>
        <w:ind w:left="1380" w:hanging="575"/>
        <w:spacing w:after="0" w:line="288" w:lineRule="auto"/>
        <w:tabs>
          <w:tab w:leader="none" w:pos="13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(iii) reasonably consider and incorporate comments of the Parties on documents filed with any patent office; and (iv) advise and consult with each Party promptly after receiving any substantial action or development in the prosecution of any such patent application. In addition, the Outside Patent Counsel shall provide the Parties with a report, no less frequently than once per calendar quarter (or as otherwise mutually agreed by the Parties), listing all Patents within AC Immune Tau Protein Imaging IP Rights and Jointly Owned Collaboration IP, identifying them by country and patent or application number, and briefly describing the status thereof.</w:t>
      </w:r>
    </w:p>
    <w:p>
      <w:pPr>
        <w:spacing w:after="0" w:line="74" w:lineRule="exact"/>
        <w:rPr>
          <w:rFonts w:ascii="Arial" w:cs="Arial" w:eastAsia="Arial" w:hAnsi="Arial"/>
          <w:sz w:val="16"/>
          <w:szCs w:val="16"/>
          <w:color w:val="auto"/>
        </w:rPr>
      </w:pPr>
    </w:p>
    <w:p>
      <w:pPr>
        <w:ind w:left="1380" w:right="880" w:hanging="575"/>
        <w:spacing w:after="0" w:line="308" w:lineRule="auto"/>
        <w:tabs>
          <w:tab w:leader="none" w:pos="13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Unless otherwise mutually agreed by the Parties, both during and after the Term of this Agreement, all costs of prosecuting and maintaining AC Immune Tau Protein Imaging IP and Jointly Owned Collaboration IP shall be borne [*****]</w:t>
      </w:r>
    </w:p>
    <w:p>
      <w:pPr>
        <w:spacing w:after="0" w:line="52" w:lineRule="exact"/>
        <w:rPr>
          <w:sz w:val="20"/>
          <w:szCs w:val="20"/>
          <w:color w:val="auto"/>
        </w:rPr>
      </w:pPr>
    </w:p>
    <w:p>
      <w:pPr>
        <w:ind w:left="800" w:right="640" w:hanging="796"/>
        <w:spacing w:after="0" w:line="277" w:lineRule="auto"/>
        <w:tabs>
          <w:tab w:leader="none" w:pos="7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Abandonment of Prosecution and Maintenance</w:t>
      </w:r>
      <w:r>
        <w:rPr>
          <w:rFonts w:ascii="Arial" w:cs="Arial" w:eastAsia="Arial" w:hAnsi="Arial"/>
          <w:sz w:val="18"/>
          <w:szCs w:val="18"/>
          <w:color w:val="auto"/>
        </w:rPr>
        <w:t>. With respect to Patents within the AC Immune Tau Protein Imaging IP and Jointly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IP, if a Party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70" w:right="2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Electing Party</w:t>
      </w:r>
      <w:r>
        <w:rPr>
          <w:rFonts w:ascii="Arial" w:cs="Arial" w:eastAsia="Arial" w:hAnsi="Arial"/>
          <w:sz w:val="16"/>
          <w:szCs w:val="16"/>
          <w:color w:val="auto"/>
        </w:rPr>
        <w:t>”) elects not to Prosecute and Maintain such Patents (whether worldwide or with respect to any particular country), or elects not to file such patents in certain Patent Filing Countries,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b w:val="1"/>
          <w:bCs w:val="1"/>
          <w:color w:val="auto"/>
        </w:rPr>
        <w:t>Non-Electing Party</w:t>
      </w:r>
      <w:r>
        <w:rPr>
          <w:rFonts w:ascii="Arial" w:cs="Arial" w:eastAsia="Arial" w:hAnsi="Arial"/>
          <w:sz w:val="16"/>
          <w:szCs w:val="16"/>
          <w:color w:val="auto"/>
        </w:rPr>
        <w:t>”) in writing (which such notice shall be at least [*****] days prior to the lapse or abandonment of any such Patent). Thereafter, the Non-Electing Party may, but is not required to, undertake, at its sole expense and in its sole discretion, the Prosecution and Maintenance of such Patents.</w:t>
      </w:r>
    </w:p>
    <w:p>
      <w:pPr>
        <w:spacing w:after="0" w:line="60" w:lineRule="exact"/>
        <w:rPr>
          <w:sz w:val="20"/>
          <w:szCs w:val="20"/>
          <w:color w:val="auto"/>
        </w:rPr>
      </w:pPr>
    </w:p>
    <w:p>
      <w:pPr>
        <w:ind w:left="800" w:right="40" w:hanging="796"/>
        <w:spacing w:after="0" w:line="266" w:lineRule="auto"/>
        <w:tabs>
          <w:tab w:leader="none" w:pos="7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color w:val="auto"/>
        </w:rPr>
        <w:t>Prosecution and Maintenance of Solely Owned Collaboration Patents</w:t>
      </w:r>
      <w:r>
        <w:rPr>
          <w:rFonts w:ascii="Arial" w:cs="Arial" w:eastAsia="Arial" w:hAnsi="Arial"/>
          <w:sz w:val="18"/>
          <w:szCs w:val="18"/>
          <w:color w:val="auto"/>
        </w:rPr>
        <w:t>. Each Party shall have the right, but not the obligation,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Prosecute and Maintain such Party’s Solely Owned Collaboration Patent. The Parties shall consult and cooperate in the Prosecution and Maintenance of Solely Owned Collaboration Patents.</w:t>
      </w:r>
    </w:p>
    <w:p>
      <w:pPr>
        <w:spacing w:after="0" w:line="82" w:lineRule="exact"/>
        <w:rPr>
          <w:sz w:val="20"/>
          <w:szCs w:val="20"/>
          <w:color w:val="auto"/>
        </w:rPr>
      </w:pPr>
    </w:p>
    <w:p>
      <w:pPr>
        <w:ind w:left="800" w:hanging="796"/>
        <w:spacing w:after="0" w:line="254" w:lineRule="auto"/>
        <w:tabs>
          <w:tab w:leader="none" w:pos="7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b w:val="1"/>
          <w:bCs w:val="1"/>
          <w:color w:val="auto"/>
        </w:rPr>
        <w:t>Defense of Third Party Infringement Claims</w:t>
      </w:r>
      <w:r>
        <w:rPr>
          <w:rFonts w:ascii="Arial" w:cs="Arial" w:eastAsia="Arial" w:hAnsi="Arial"/>
          <w:sz w:val="18"/>
          <w:szCs w:val="18"/>
          <w:color w:val="auto"/>
        </w:rPr>
        <w:t>. If the Product becomes the subject of a Third Party’s claim or assertion of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Development, Manufacture or Commercialization of the Product in the Field in the Territory (each, an “</w:t>
      </w:r>
      <w:r>
        <w:rPr>
          <w:rFonts w:ascii="Arial" w:cs="Arial" w:eastAsia="Arial" w:hAnsi="Arial"/>
          <w:sz w:val="18"/>
          <w:szCs w:val="18"/>
          <w:b w:val="1"/>
          <w:bCs w:val="1"/>
          <w:color w:val="auto"/>
        </w:rPr>
        <w:t>Infringement Claim</w:t>
      </w:r>
      <w:r>
        <w:rPr>
          <w:rFonts w:ascii="Arial" w:cs="Arial" w:eastAsia="Arial" w:hAnsi="Arial"/>
          <w:sz w:val="18"/>
          <w:szCs w:val="18"/>
          <w:color w:val="auto"/>
        </w:rPr>
        <w:t>”), the Party first having notice of the claim or assertion shall promptly notify the other Party, and the Parties shall promptly confer to consider the claim or assertion and the appropriate course of action. Unless the Parties otherwise agree in writing, Piramal Imaging SA shall have the right to defend any Infringement Claim using Commercially Reasonable Efforts, and AC Immune shall reasonably assist Piramal Imaging SA and cooperate in any such litigation at Piramal Imaging SA’s request and expense. Piramal Imaging SA shall keep AC Immune reasonably informed with respect to the progress of any such litigation. Piramal Imaging SA shall not enter into any settlement of any claim described in this Section 9.6 that adversely affects AC Immune’s rights and interests without AC Immune’s written consent, which consent shall not be unreasonably conditioned, withheld or delayed.</w:t>
      </w:r>
    </w:p>
    <w:p>
      <w:pPr>
        <w:spacing w:after="0" w:line="95" w:lineRule="exact"/>
        <w:rPr>
          <w:sz w:val="20"/>
          <w:szCs w:val="20"/>
          <w:color w:val="auto"/>
        </w:rPr>
      </w:pPr>
    </w:p>
    <w:p>
      <w:pPr>
        <w:ind w:left="800" w:right="100" w:hanging="796"/>
        <w:spacing w:after="0" w:line="270" w:lineRule="auto"/>
        <w:tabs>
          <w:tab w:leader="none" w:pos="7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b w:val="1"/>
          <w:bCs w:val="1"/>
          <w:color w:val="auto"/>
        </w:rPr>
        <w:t>Enforcement; Patent Challenge</w:t>
      </w:r>
      <w:r>
        <w:rPr>
          <w:rFonts w:ascii="Arial" w:cs="Arial" w:eastAsia="Arial" w:hAnsi="Arial"/>
          <w:sz w:val="17"/>
          <w:szCs w:val="17"/>
          <w:color w:val="auto"/>
        </w:rPr>
        <w:t>. Subject to the provisions of this Section 9.7, in the event that a Party reasonably believes that any AC Immune</w:t>
      </w:r>
      <w:r>
        <w:rPr>
          <w:rFonts w:ascii="Arial" w:cs="Arial" w:eastAsia="Arial" w:hAnsi="Arial"/>
          <w:sz w:val="17"/>
          <w:szCs w:val="17"/>
          <w:b w:val="1"/>
          <w:bCs w:val="1"/>
          <w:color w:val="auto"/>
        </w:rPr>
        <w:t xml:space="preserve"> </w:t>
      </w:r>
      <w:r>
        <w:rPr>
          <w:rFonts w:ascii="Arial" w:cs="Arial" w:eastAsia="Arial" w:hAnsi="Arial"/>
          <w:sz w:val="17"/>
          <w:szCs w:val="17"/>
          <w:color w:val="auto"/>
        </w:rPr>
        <w:t>Tau Protein Imaging Patent or Collaboration Patent is being infringed by a Third Party in the Field or is subject to a declaratory judgment action arising from such infringement (“</w:t>
      </w:r>
      <w:r>
        <w:rPr>
          <w:rFonts w:ascii="Arial" w:cs="Arial" w:eastAsia="Arial" w:hAnsi="Arial"/>
          <w:sz w:val="17"/>
          <w:szCs w:val="17"/>
          <w:b w:val="1"/>
          <w:bCs w:val="1"/>
          <w:color w:val="auto"/>
        </w:rPr>
        <w:t>Declaratory Judgment</w:t>
      </w:r>
      <w:r>
        <w:rPr>
          <w:rFonts w:ascii="Arial" w:cs="Arial" w:eastAsia="Arial" w:hAnsi="Arial"/>
          <w:sz w:val="17"/>
          <w:szCs w:val="17"/>
          <w:color w:val="auto"/>
        </w:rPr>
        <w:t>”) or becomes aware of any actual or threatened challenge by a Third Party with respect to the scope, validity or enforceability of any such Patent in the Territory (“</w:t>
      </w:r>
      <w:r>
        <w:rPr>
          <w:rFonts w:ascii="Arial" w:cs="Arial" w:eastAsia="Arial" w:hAnsi="Arial"/>
          <w:sz w:val="17"/>
          <w:szCs w:val="17"/>
          <w:b w:val="1"/>
          <w:bCs w:val="1"/>
          <w:color w:val="auto"/>
        </w:rPr>
        <w:t>Third Party Challenge</w:t>
      </w:r>
      <w:r>
        <w:rPr>
          <w:rFonts w:ascii="Arial" w:cs="Arial" w:eastAsia="Arial" w:hAnsi="Arial"/>
          <w:sz w:val="17"/>
          <w:szCs w:val="17"/>
          <w:color w:val="auto"/>
        </w:rPr>
        <w:t>”), such Party shall promptly notify the other Party. In such event, Piramal shall have the sole right (but not the obligation) to enforce such Patents with respect to such infringement, to defend any such Declaratory Judgment or Third Party Challenge (an “</w:t>
      </w:r>
      <w:r>
        <w:rPr>
          <w:rFonts w:ascii="Arial" w:cs="Arial" w:eastAsia="Arial" w:hAnsi="Arial"/>
          <w:sz w:val="17"/>
          <w:szCs w:val="17"/>
          <w:b w:val="1"/>
          <w:bCs w:val="1"/>
          <w:color w:val="auto"/>
        </w:rPr>
        <w:t>Enforcement Action</w:t>
      </w:r>
      <w:r>
        <w:rPr>
          <w:rFonts w:ascii="Arial" w:cs="Arial" w:eastAsia="Arial" w:hAnsi="Arial"/>
          <w:sz w:val="17"/>
          <w:szCs w:val="17"/>
          <w:color w:val="auto"/>
        </w:rPr>
        <w:t>”), at Piramal Imaging SA’s expense and using Commercially Reasonable Efforts. AC Immune shall have the right to join any such Enforcement Action at its own expense. If Piramal Imaging SA does not bring an Enforcement Action within [*****] days after notification after the Declaratory Judgment or Third Party Challenge, then AC Immune shall have the right to initiate an Enforcement Action against the Third Party. In such event, [*****] shall bear all costs and expenses with respect to any such Enforcement Action. With respect to AC Immune Tau Protein Imaging Patent or Jointly Owned Collaboration Patents filed by a Party in a country that is not a Patent Filing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70" w:right="2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Country, such Party shall have the sole right (but not the obligation) to enforce and defend such Patents.</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b w:val="1"/>
          <w:bCs w:val="1"/>
          <w:color w:val="auto"/>
        </w:rPr>
        <w:t>Recoveries</w:t>
      </w:r>
      <w:r>
        <w:rPr>
          <w:rFonts w:ascii="Arial" w:cs="Arial" w:eastAsia="Arial" w:hAnsi="Arial"/>
          <w:sz w:val="16"/>
          <w:szCs w:val="16"/>
          <w:color w:val="auto"/>
        </w:rPr>
        <w:t>. Any recovery received as a result of any Enforcement Action pursuant to Section 9.7 shall be used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4" w:lineRule="exact"/>
        <w:rPr>
          <w:sz w:val="20"/>
          <w:szCs w:val="20"/>
          <w:color w:val="auto"/>
        </w:rPr>
      </w:pPr>
    </w:p>
    <w:p>
      <w:pPr>
        <w:ind w:left="800" w:right="20" w:hanging="796"/>
        <w:spacing w:after="0" w:line="287"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Confidentiality; Exceptions</w:t>
      </w:r>
      <w:r>
        <w:rPr>
          <w:rFonts w:ascii="Arial" w:cs="Arial" w:eastAsia="Arial" w:hAnsi="Arial"/>
          <w:sz w:val="16"/>
          <w:szCs w:val="16"/>
          <w:color w:val="auto"/>
        </w:rPr>
        <w:t>. Except to the extent expressly authorized by this Agreement or otherwise agreed by the Parties in writing,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for [*****] years thereafter, the Parties agree that the receiving Party shall keep confidential and shall not publish or otherwise disclose or use for any purpose other than as provided for in this Agreement any Confidential Information furnished to it by the other Party pursuant to this Agreement. For clarity, Confidential Information of a Party shall include all information and materials disclosed by such Party or its designee that</w:t>
      </w:r>
    </w:p>
    <w:p>
      <w:pPr>
        <w:spacing w:after="0" w:line="3" w:lineRule="exact"/>
        <w:rPr>
          <w:sz w:val="20"/>
          <w:szCs w:val="20"/>
          <w:color w:val="auto"/>
        </w:rPr>
      </w:pPr>
    </w:p>
    <w:p>
      <w:pPr>
        <w:ind w:left="1040" w:hanging="235"/>
        <w:spacing w:after="0"/>
        <w:tabs>
          <w:tab w:leader="none" w:pos="10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disclosed in writing or other tangible form, is marked as “Confidential,” “Proprietary” or with similar designation at the time of disclosure,</w:t>
      </w:r>
    </w:p>
    <w:p>
      <w:pPr>
        <w:spacing w:after="0" w:line="20" w:lineRule="exact"/>
        <w:rPr>
          <w:rFonts w:ascii="Arial" w:cs="Arial" w:eastAsia="Arial" w:hAnsi="Arial"/>
          <w:sz w:val="17"/>
          <w:szCs w:val="17"/>
          <w:color w:val="auto"/>
        </w:rPr>
      </w:pPr>
    </w:p>
    <w:p>
      <w:pPr>
        <w:ind w:left="800" w:right="60" w:firstLine="5"/>
        <w:spacing w:after="0" w:line="254" w:lineRule="auto"/>
        <w:tabs>
          <w:tab w:leader="none" w:pos="10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disclosed verbally or in other intangible form, is indicated upon first disclosure as being confidential or (c) by its nature can reasonably be expected to be considered Confidential Information by the recipient. Notwithstanding the foregoing, Confidential Information shall not be deemed to include information or materials to the extent that it can be established by written documentation by the receiving Party that such information or material:</w:t>
      </w:r>
    </w:p>
    <w:p>
      <w:pPr>
        <w:spacing w:after="0" w:line="95" w:lineRule="exact"/>
        <w:rPr>
          <w:sz w:val="20"/>
          <w:szCs w:val="20"/>
          <w:color w:val="auto"/>
        </w:rPr>
      </w:pPr>
    </w:p>
    <w:p>
      <w:pPr>
        <w:ind w:left="1380" w:right="340" w:hanging="575"/>
        <w:spacing w:after="0" w:line="264" w:lineRule="auto"/>
        <w:tabs>
          <w:tab w:leader="none" w:pos="13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was already known to or possessed by the receiving Party, other than under an obligation of confidentiality (except to the extent such obligation has expired or an exception is applicable under the relevant agreement pursuant to which such obligation established), at the time of disclosure;</w:t>
      </w:r>
    </w:p>
    <w:p>
      <w:pPr>
        <w:spacing w:after="0" w:line="86" w:lineRule="exact"/>
        <w:rPr>
          <w:rFonts w:ascii="Arial" w:cs="Arial" w:eastAsia="Arial" w:hAnsi="Arial"/>
          <w:sz w:val="18"/>
          <w:szCs w:val="18"/>
          <w:color w:val="auto"/>
        </w:rPr>
      </w:pPr>
    </w:p>
    <w:p>
      <w:pPr>
        <w:ind w:left="1380" w:hanging="575"/>
        <w:spacing w:after="0"/>
        <w:tabs>
          <w:tab w:leader="none" w:pos="13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first disclosure to the receiving Party;</w:t>
      </w:r>
    </w:p>
    <w:p>
      <w:pPr>
        <w:spacing w:after="0" w:line="142" w:lineRule="exact"/>
        <w:rPr>
          <w:rFonts w:ascii="Arial" w:cs="Arial" w:eastAsia="Arial" w:hAnsi="Arial"/>
          <w:sz w:val="17"/>
          <w:szCs w:val="17"/>
          <w:color w:val="auto"/>
        </w:rPr>
      </w:pPr>
    </w:p>
    <w:p>
      <w:pPr>
        <w:ind w:left="1380" w:right="540" w:hanging="575"/>
        <w:spacing w:after="0" w:line="277" w:lineRule="auto"/>
        <w:tabs>
          <w:tab w:leader="none" w:pos="13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75" w:lineRule="exact"/>
        <w:rPr>
          <w:rFonts w:ascii="Arial" w:cs="Arial" w:eastAsia="Arial" w:hAnsi="Arial"/>
          <w:sz w:val="18"/>
          <w:szCs w:val="18"/>
          <w:color w:val="auto"/>
        </w:rPr>
      </w:pPr>
    </w:p>
    <w:p>
      <w:pPr>
        <w:ind w:left="1380" w:right="380" w:hanging="575"/>
        <w:spacing w:after="0" w:line="277" w:lineRule="auto"/>
        <w:tabs>
          <w:tab w:leader="none" w:pos="13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75" w:lineRule="exact"/>
        <w:rPr>
          <w:rFonts w:ascii="Arial" w:cs="Arial" w:eastAsia="Arial" w:hAnsi="Arial"/>
          <w:sz w:val="18"/>
          <w:szCs w:val="18"/>
          <w:color w:val="auto"/>
        </w:rPr>
      </w:pPr>
    </w:p>
    <w:p>
      <w:pPr>
        <w:ind w:left="1380" w:right="560" w:hanging="575"/>
        <w:spacing w:after="0" w:line="277" w:lineRule="auto"/>
        <w:tabs>
          <w:tab w:leader="none" w:pos="13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269"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Authorized Use and Disclosure</w:t>
      </w:r>
      <w:r>
        <w:rPr>
          <w:rFonts w:ascii="Arial" w:cs="Arial" w:eastAsia="Arial" w:hAnsi="Arial"/>
          <w:sz w:val="16"/>
          <w:szCs w:val="16"/>
          <w:color w:val="auto"/>
        </w:rPr>
        <w:t>. Each Party may use and disclose Confidential Information of the other Party as follows:</w:t>
      </w:r>
    </w:p>
    <w:p>
      <w:pPr>
        <w:spacing w:after="0" w:line="135" w:lineRule="exact"/>
        <w:rPr>
          <w:sz w:val="20"/>
          <w:szCs w:val="20"/>
          <w:color w:val="auto"/>
        </w:rPr>
      </w:pPr>
    </w:p>
    <w:p>
      <w:pPr>
        <w:ind w:left="1380" w:right="140" w:hanging="575"/>
        <w:spacing w:after="0" w:line="277" w:lineRule="auto"/>
        <w:tabs>
          <w:tab w:leader="none" w:pos="1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under appropriate confidentiality provisions substantially equivalent to those in this Agreement, in connection with the performance of its obligations or exercise of rights granted to such Party in this Agreement; and</w:t>
      </w:r>
    </w:p>
    <w:p>
      <w:pPr>
        <w:spacing w:after="0" w:line="75" w:lineRule="exact"/>
        <w:rPr>
          <w:rFonts w:ascii="Arial" w:cs="Arial" w:eastAsia="Arial" w:hAnsi="Arial"/>
          <w:sz w:val="18"/>
          <w:szCs w:val="18"/>
          <w:color w:val="auto"/>
        </w:rPr>
      </w:pPr>
    </w:p>
    <w:p>
      <w:pPr>
        <w:ind w:left="1380" w:hanging="575"/>
        <w:spacing w:after="0" w:line="270" w:lineRule="auto"/>
        <w:tabs>
          <w:tab w:leader="none" w:pos="13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to the extent such disclosure is reasonably necessary in Prosecuting and Maintaining Patents, copyrights and trademarks (including applications therefor) in accordance with this Agreement, prosecuting or defending litigation, complying with applicable governmental regulations, filing for, conducting Development hereunder, obtaining and maintaining Regulatory Approvals, or otherwise required by Law, the rules of a recognized stock exchange or automated quotation system applicable to such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Party is required by Law, the rules of a recognized stock exchange or automated quotation system (collectively, “</w:t>
      </w:r>
      <w:r>
        <w:rPr>
          <w:rFonts w:ascii="Arial" w:cs="Arial" w:eastAsia="Arial" w:hAnsi="Arial"/>
          <w:sz w:val="17"/>
          <w:szCs w:val="17"/>
          <w:b w:val="1"/>
          <w:bCs w:val="1"/>
          <w:color w:val="auto"/>
        </w:rPr>
        <w:t>Securities Laws</w:t>
      </w:r>
      <w:r>
        <w:rPr>
          <w:rFonts w:ascii="Arial" w:cs="Arial" w:eastAsia="Arial" w:hAnsi="Arial"/>
          <w:sz w:val="17"/>
          <w:szCs w:val="17"/>
          <w:color w:val="auto"/>
        </w:rPr>
        <w:t>”) applicable to such Party to make any such disclosure of the other Party’s Confidential Information it will, except where prohibited by Law or impracticable for necessary disclosures (for example, in the event of medical emergency), give reasonable advance notice to the other Party of such disclosure requirement and, except to the extent inappropriate in the case of Patent applications, will use its reasonable efforts to secure confidential treatment of such Confidential Information required to be disclosed.</w:t>
      </w:r>
    </w:p>
    <w:p>
      <w:pPr>
        <w:spacing w:after="0" w:line="83" w:lineRule="exact"/>
        <w:rPr>
          <w:sz w:val="20"/>
          <w:szCs w:val="20"/>
          <w:color w:val="auto"/>
        </w:rPr>
      </w:pPr>
    </w:p>
    <w:p>
      <w:pPr>
        <w:ind w:left="800" w:right="40" w:hanging="796"/>
        <w:spacing w:after="0" w:line="25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color w:val="auto"/>
        </w:rPr>
        <w:t>Injunctive Relief</w:t>
      </w:r>
      <w:r>
        <w:rPr>
          <w:rFonts w:ascii="Arial" w:cs="Arial" w:eastAsia="Arial" w:hAnsi="Arial"/>
          <w:sz w:val="18"/>
          <w:szCs w:val="18"/>
          <w:color w:val="auto"/>
        </w:rPr>
        <w:t>. Given the nature of the Confidential Information and the competitive damage that would result to a Party upon unauthorized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use or transfer of its Confidential Information to any Third Party, the Parties agree that monetary damages may not be a sufficient remedy for any breach of this Article 10. In addition to all other remedies, a disclosing Party shall be entitled to seek specific performance and injunctive and other equitable relief as a remedy for any breach or threatened breach of this Article 10. Receiving Party waives its right to post any bond for the injunctive relief in a court of law.</w:t>
      </w:r>
    </w:p>
    <w:p>
      <w:pPr>
        <w:spacing w:after="0" w:line="89" w:lineRule="exact"/>
        <w:rPr>
          <w:sz w:val="20"/>
          <w:szCs w:val="20"/>
          <w:color w:val="auto"/>
        </w:rPr>
      </w:pPr>
    </w:p>
    <w:p>
      <w:pPr>
        <w:ind w:left="800" w:right="480" w:hanging="796"/>
        <w:spacing w:after="0" w:line="347"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Terms of Agreement</w:t>
      </w:r>
      <w:r>
        <w:rPr>
          <w:rFonts w:ascii="Arial" w:cs="Arial" w:eastAsia="Arial" w:hAnsi="Arial"/>
          <w:sz w:val="16"/>
          <w:szCs w:val="16"/>
          <w:color w:val="auto"/>
        </w:rPr>
        <w:t>. The Parties shall treat the existence and material terms of this Agreement as confidential and shall not disclose such</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Third Parties without the prior written consent of the other Parties or except as provided in Section 10.2 or as provided below.</w:t>
      </w:r>
    </w:p>
    <w:p>
      <w:pPr>
        <w:spacing w:after="0" w:line="22" w:lineRule="exact"/>
        <w:rPr>
          <w:sz w:val="20"/>
          <w:szCs w:val="20"/>
          <w:color w:val="auto"/>
        </w:rPr>
      </w:pPr>
    </w:p>
    <w:p>
      <w:pPr>
        <w:ind w:left="800" w:right="120" w:hanging="796"/>
        <w:spacing w:after="0" w:line="295"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Publications</w:t>
      </w:r>
      <w:r>
        <w:rPr>
          <w:rFonts w:ascii="Arial" w:cs="Arial" w:eastAsia="Arial" w:hAnsi="Arial"/>
          <w:sz w:val="16"/>
          <w:szCs w:val="16"/>
          <w:color w:val="auto"/>
        </w:rPr>
        <w:t>. The Parties recognize that independent investigators, hospitals and universities may be entrusted with the conduct of Clinical Trials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Product. Such independent investigators, hospitals and universities are understood to operate in an academic environment and shall be allowed to release information regarding such Clinical Trials of the Product in a manner consistent with academic standards; however, such Third Parties must be strictly monitored to prevent any adverse effect from premature publication or dissemination of results of the activities hereunder. All such publications and presentations shall be made in a manner and have content consistent with the publication strategy developed by the JSC (the “</w:t>
      </w:r>
      <w:r>
        <w:rPr>
          <w:rFonts w:ascii="Arial" w:cs="Arial" w:eastAsia="Arial" w:hAnsi="Arial"/>
          <w:sz w:val="16"/>
          <w:szCs w:val="16"/>
          <w:b w:val="1"/>
          <w:bCs w:val="1"/>
          <w:color w:val="auto"/>
        </w:rPr>
        <w:t>Publication Strategy</w:t>
      </w:r>
      <w:r>
        <w:rPr>
          <w:rFonts w:ascii="Arial" w:cs="Arial" w:eastAsia="Arial" w:hAnsi="Arial"/>
          <w:sz w:val="16"/>
          <w:szCs w:val="16"/>
          <w:color w:val="auto"/>
        </w:rPr>
        <w:t>”). The following shall apply with respect to any publications and presentations: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69" w:right="2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00" w:hanging="575"/>
        <w:spacing w:after="0" w:line="286" w:lineRule="auto"/>
        <w:tabs>
          <w:tab w:leader="none" w:pos="13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either Party, its employees or consultants wishing to make a scientific or medical publication that contains Confidential Information of the other Party (the “</w:t>
      </w:r>
      <w:r>
        <w:rPr>
          <w:rFonts w:ascii="Arial" w:cs="Arial" w:eastAsia="Arial" w:hAnsi="Arial"/>
          <w:sz w:val="17"/>
          <w:szCs w:val="17"/>
          <w:b w:val="1"/>
          <w:bCs w:val="1"/>
          <w:color w:val="auto"/>
        </w:rPr>
        <w:t>Reviewing Party</w:t>
      </w:r>
      <w:r>
        <w:rPr>
          <w:rFonts w:ascii="Arial" w:cs="Arial" w:eastAsia="Arial" w:hAnsi="Arial"/>
          <w:sz w:val="17"/>
          <w:szCs w:val="17"/>
          <w:color w:val="auto"/>
        </w:rPr>
        <w:t>”) shall, to the extent practicable, deliver to the Reviewing Party a copy of the proposed written publication or an outline of an oral disclosure at least [*****] days prior to submission for publication or presentation;</w:t>
      </w:r>
    </w:p>
    <w:p>
      <w:pPr>
        <w:spacing w:after="0" w:line="70" w:lineRule="exact"/>
        <w:rPr>
          <w:rFonts w:ascii="Arial" w:cs="Arial" w:eastAsia="Arial" w:hAnsi="Arial"/>
          <w:sz w:val="17"/>
          <w:szCs w:val="17"/>
          <w:color w:val="auto"/>
        </w:rPr>
      </w:pPr>
    </w:p>
    <w:p>
      <w:pPr>
        <w:ind w:left="1380" w:right="500" w:hanging="575"/>
        <w:spacing w:after="0" w:line="277" w:lineRule="auto"/>
        <w:tabs>
          <w:tab w:leader="none" w:pos="13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Reviewing Party shall have the right to require a delay up to [*****] days in publication or presentation in order to enable Patent applications protecting each Party’s rights in such Confidential Information to be filed;</w:t>
      </w:r>
    </w:p>
    <w:p>
      <w:pPr>
        <w:spacing w:after="0" w:line="75" w:lineRule="exact"/>
        <w:rPr>
          <w:rFonts w:ascii="Arial" w:cs="Arial" w:eastAsia="Arial" w:hAnsi="Arial"/>
          <w:sz w:val="18"/>
          <w:szCs w:val="18"/>
          <w:color w:val="auto"/>
        </w:rPr>
      </w:pPr>
    </w:p>
    <w:p>
      <w:pPr>
        <w:ind w:left="1380" w:right="920" w:hanging="575"/>
        <w:spacing w:after="0" w:line="277" w:lineRule="auto"/>
        <w:tabs>
          <w:tab w:leader="none" w:pos="13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shall have the right to prohibit disclosure of any of its Confidential Information in any such proposed publication or presentation;</w:t>
      </w:r>
    </w:p>
    <w:p>
      <w:pPr>
        <w:spacing w:after="0" w:line="75" w:lineRule="exact"/>
        <w:rPr>
          <w:rFonts w:ascii="Arial" w:cs="Arial" w:eastAsia="Arial" w:hAnsi="Arial"/>
          <w:sz w:val="18"/>
          <w:szCs w:val="18"/>
          <w:color w:val="auto"/>
        </w:rPr>
      </w:pPr>
    </w:p>
    <w:p>
      <w:pPr>
        <w:ind w:left="1380" w:right="840" w:hanging="575"/>
        <w:spacing w:after="0" w:line="277" w:lineRule="auto"/>
        <w:tabs>
          <w:tab w:leader="none" w:pos="13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will consider in good faith any reasonable comments provided by the other Party with respect to such publications or presentations;</w:t>
      </w:r>
    </w:p>
    <w:p>
      <w:pPr>
        <w:spacing w:after="0" w:line="75" w:lineRule="exact"/>
        <w:rPr>
          <w:rFonts w:ascii="Arial" w:cs="Arial" w:eastAsia="Arial" w:hAnsi="Arial"/>
          <w:sz w:val="18"/>
          <w:szCs w:val="18"/>
          <w:color w:val="auto"/>
        </w:rPr>
      </w:pPr>
    </w:p>
    <w:p>
      <w:pPr>
        <w:ind w:left="1380" w:right="920" w:hanging="575"/>
        <w:spacing w:after="0" w:line="277" w:lineRule="auto"/>
        <w:tabs>
          <w:tab w:leader="none" w:pos="13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will each comply with standard academic practice regarding authorship of scientific publications and recognition of contribution of other parties in any publications; and</w:t>
      </w:r>
    </w:p>
    <w:p>
      <w:pPr>
        <w:spacing w:after="0" w:line="75" w:lineRule="exact"/>
        <w:rPr>
          <w:rFonts w:ascii="Arial" w:cs="Arial" w:eastAsia="Arial" w:hAnsi="Arial"/>
          <w:sz w:val="18"/>
          <w:szCs w:val="18"/>
          <w:color w:val="auto"/>
        </w:rPr>
      </w:pPr>
    </w:p>
    <w:p>
      <w:pPr>
        <w:ind w:left="1380" w:right="720" w:hanging="575"/>
        <w:spacing w:after="0" w:line="277" w:lineRule="auto"/>
        <w:tabs>
          <w:tab w:leader="none" w:pos="13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Piramal shall have the right to prohibit any such publication or presentation by AC Immune in the event it is inconsistent with the Publication Strategy or Piramal’s commercial strategy with respect to the Product.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Notwithstanding the foregoing, except with respect to including Compound structures in any patent filings, AC Immune shall not publish, present or otherwise disclose Compound structures until the earlier of (i) publication by the patent office of the Patent on such Compound structure, (ii) [*****] months after the Effective Date, or (iii) upon mutual consent of both parties.</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Publicity.</w:t>
      </w:r>
    </w:p>
    <w:p>
      <w:pPr>
        <w:spacing w:after="0" w:line="131" w:lineRule="exact"/>
        <w:rPr>
          <w:sz w:val="20"/>
          <w:szCs w:val="20"/>
          <w:color w:val="auto"/>
        </w:rPr>
      </w:pPr>
    </w:p>
    <w:p>
      <w:pPr>
        <w:ind w:left="1380" w:right="20" w:hanging="575"/>
        <w:spacing w:after="0" w:line="273" w:lineRule="auto"/>
        <w:tabs>
          <w:tab w:leader="none" w:pos="1380" w:val="left"/>
        </w:tabs>
        <w:numPr>
          <w:ilvl w:val="0"/>
          <w:numId w:val="283"/>
        </w:numPr>
        <w:rPr>
          <w:rFonts w:ascii="Arial" w:cs="Arial" w:eastAsia="Arial" w:hAnsi="Arial"/>
          <w:sz w:val="17"/>
          <w:szCs w:val="17"/>
          <w:color w:val="auto"/>
        </w:rPr>
      </w:pPr>
      <w:r>
        <w:rPr>
          <w:rFonts w:ascii="Arial" w:cs="Arial" w:eastAsia="Arial" w:hAnsi="Arial"/>
          <w:sz w:val="17"/>
          <w:szCs w:val="17"/>
          <w:b w:val="1"/>
          <w:bCs w:val="1"/>
          <w:color w:val="auto"/>
        </w:rPr>
        <w:t>Press Releases</w:t>
      </w:r>
      <w:r>
        <w:rPr>
          <w:rFonts w:ascii="Arial" w:cs="Arial" w:eastAsia="Arial" w:hAnsi="Arial"/>
          <w:sz w:val="17"/>
          <w:szCs w:val="17"/>
          <w:color w:val="auto"/>
        </w:rPr>
        <w:t>. Except as otherwise mutually agreed by the Parties or as required by applicable Law or the rules of any stock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 Party shall issue or cause the publication of any other press release or public announcement with respect to the transactions contemplated by this Agreement without the express prior approval of the other Party, which approval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Party may make any 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Parties pursuant to this Section 10.6 and which do not reveal non-public information about the other Party.</w:t>
      </w:r>
    </w:p>
    <w:p>
      <w:pPr>
        <w:spacing w:after="0" w:line="77" w:lineRule="exact"/>
        <w:rPr>
          <w:rFonts w:ascii="Arial" w:cs="Arial" w:eastAsia="Arial" w:hAnsi="Arial"/>
          <w:sz w:val="17"/>
          <w:szCs w:val="17"/>
          <w:color w:val="auto"/>
        </w:rPr>
      </w:pPr>
    </w:p>
    <w:p>
      <w:pPr>
        <w:jc w:val="both"/>
        <w:ind w:left="1380" w:right="260" w:hanging="575"/>
        <w:spacing w:after="0" w:line="266" w:lineRule="auto"/>
        <w:tabs>
          <w:tab w:leader="none" w:pos="138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Required Disclosures</w:t>
      </w:r>
      <w:r>
        <w:rPr>
          <w:rFonts w:ascii="Arial" w:cs="Arial" w:eastAsia="Arial" w:hAnsi="Arial"/>
          <w:sz w:val="18"/>
          <w:szCs w:val="18"/>
          <w:color w:val="auto"/>
        </w:rPr>
        <w:t>. With respect to complying with the disclosure requirements of Securities Laws applicable to a Party,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consult with each other concerning which terms of this Agreement shall be requested to be redacted in any public disclosure of the Agreement by the agency, and each Party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270" w:right="2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00"/>
        <w:spacing w:after="0" w:line="277" w:lineRule="auto"/>
        <w:rPr>
          <w:sz w:val="20"/>
          <w:szCs w:val="20"/>
          <w:color w:val="auto"/>
        </w:rPr>
      </w:pPr>
      <w:r>
        <w:rPr>
          <w:rFonts w:ascii="Arial" w:cs="Arial" w:eastAsia="Arial" w:hAnsi="Arial"/>
          <w:sz w:val="18"/>
          <w:szCs w:val="18"/>
          <w:color w:val="auto"/>
        </w:rPr>
        <w:t>shall seek confidential treatment by the agency in public disclosure of the Agreement by the agency for all sensitive commercial, financial and technical information, including any dollar amounts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This Agreement is effective as of the Effective Date and, unless earlier terminated pursuant to the other provisions of this Article 11,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date of expiration of the last to expire Royalty Term.</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Termination.</w:t>
      </w:r>
    </w:p>
    <w:p>
      <w:pPr>
        <w:spacing w:after="0" w:line="131" w:lineRule="exact"/>
        <w:rPr>
          <w:sz w:val="20"/>
          <w:szCs w:val="20"/>
          <w:color w:val="auto"/>
        </w:rPr>
      </w:pPr>
    </w:p>
    <w:p>
      <w:pPr>
        <w:ind w:left="1380" w:right="40" w:hanging="575"/>
        <w:spacing w:after="0" w:line="284" w:lineRule="auto"/>
        <w:tabs>
          <w:tab w:leader="none" w:pos="1380" w:val="left"/>
        </w:tabs>
        <w:numPr>
          <w:ilvl w:val="0"/>
          <w:numId w:val="284"/>
        </w:numPr>
        <w:rPr>
          <w:rFonts w:ascii="Arial" w:cs="Arial" w:eastAsia="Arial" w:hAnsi="Arial"/>
          <w:sz w:val="16"/>
          <w:szCs w:val="16"/>
          <w:color w:val="auto"/>
        </w:rPr>
      </w:pPr>
      <w:r>
        <w:rPr>
          <w:rFonts w:ascii="Arial" w:cs="Arial" w:eastAsia="Arial" w:hAnsi="Arial"/>
          <w:sz w:val="16"/>
          <w:szCs w:val="16"/>
          <w:b w:val="1"/>
          <w:bCs w:val="1"/>
          <w:color w:val="auto"/>
        </w:rPr>
        <w:t>Breach</w:t>
      </w:r>
      <w:r>
        <w:rPr>
          <w:rFonts w:ascii="Arial" w:cs="Arial" w:eastAsia="Arial" w:hAnsi="Arial"/>
          <w:sz w:val="16"/>
          <w:szCs w:val="16"/>
          <w:color w:val="auto"/>
        </w:rPr>
        <w:t>. Either Party may terminate the Agreement, in its entirety or on a country by country basis, at any time upon an uncured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of the other Party in the fulfillment of its obligations under or in connection with this Agreement by giving written notice to the other Party specifying the nature of the default not less than [*****] days prior to the date the non-defaulting Party intends to terminate the Agreement. If such default has been cured by such defaulting Party within such [*****] day period, no such termination shall occur. If such default has not been cured by the defaulting Party within such [*****] day period, then the non-defaulting Party shall be entitled to terminate this Agreement with immediate effect upon delivery to the defaulting Party of a written notice terminating the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Party accused of defaulting notifies the accusing Party in writing (i) within such [*****] day cure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accused Party disputes that it is in default, or (ii) within [*****] days after delivery of a termination notice for failure to cure a default, that the accused Party contends it cured such default, then in either such case no such termination shall become effective until</w:t>
      </w:r>
    </w:p>
    <w:p>
      <w:pPr>
        <w:spacing w:after="0" w:line="3" w:lineRule="exact"/>
        <w:rPr>
          <w:rFonts w:ascii="Arial" w:cs="Arial" w:eastAsia="Arial" w:hAnsi="Arial"/>
          <w:sz w:val="16"/>
          <w:szCs w:val="16"/>
          <w:color w:val="auto"/>
        </w:rPr>
      </w:pPr>
    </w:p>
    <w:p>
      <w:pPr>
        <w:ind w:left="1380" w:right="60"/>
        <w:spacing w:after="0" w:line="255" w:lineRule="auto"/>
        <w:rPr>
          <w:rFonts w:ascii="Arial" w:cs="Arial" w:eastAsia="Arial" w:hAnsi="Arial"/>
          <w:sz w:val="16"/>
          <w:szCs w:val="16"/>
          <w:color w:val="auto"/>
        </w:rPr>
      </w:pPr>
      <w:r>
        <w:rPr>
          <w:rFonts w:ascii="Arial" w:cs="Arial" w:eastAsia="Arial" w:hAnsi="Arial"/>
          <w:sz w:val="18"/>
          <w:szCs w:val="18"/>
          <w:color w:val="auto"/>
        </w:rPr>
        <w:t>(A) a final, binding determination pursuant to Article 14 (Binding Arbitration) that the accused Party was in default and failed to cure such default during the [*****] day cure period, and (B) the accusing Party’s delivery to the accused Party, after such determination, of a written notice terminating the Agreement.</w:t>
      </w:r>
    </w:p>
    <w:p>
      <w:pPr>
        <w:spacing w:after="0" w:line="91" w:lineRule="exact"/>
        <w:rPr>
          <w:rFonts w:ascii="Arial" w:cs="Arial" w:eastAsia="Arial" w:hAnsi="Arial"/>
          <w:sz w:val="16"/>
          <w:szCs w:val="16"/>
          <w:color w:val="auto"/>
        </w:rPr>
      </w:pPr>
    </w:p>
    <w:p>
      <w:pPr>
        <w:ind w:left="1380" w:right="320" w:hanging="575"/>
        <w:spacing w:after="0" w:line="289" w:lineRule="auto"/>
        <w:tabs>
          <w:tab w:leader="none" w:pos="1380" w:val="left"/>
        </w:tabs>
        <w:numPr>
          <w:ilvl w:val="0"/>
          <w:numId w:val="284"/>
        </w:numPr>
        <w:rPr>
          <w:rFonts w:ascii="Arial" w:cs="Arial" w:eastAsia="Arial" w:hAnsi="Arial"/>
          <w:sz w:val="17"/>
          <w:szCs w:val="17"/>
          <w:color w:val="auto"/>
        </w:rPr>
      </w:pPr>
      <w:r>
        <w:rPr>
          <w:rFonts w:ascii="Arial" w:cs="Arial" w:eastAsia="Arial" w:hAnsi="Arial"/>
          <w:sz w:val="17"/>
          <w:szCs w:val="17"/>
          <w:b w:val="1"/>
          <w:bCs w:val="1"/>
          <w:color w:val="auto"/>
        </w:rPr>
        <w:t>Insolvency</w:t>
      </w:r>
      <w:r>
        <w:rPr>
          <w:rFonts w:ascii="Arial" w:cs="Arial" w:eastAsia="Arial" w:hAnsi="Arial"/>
          <w:sz w:val="17"/>
          <w:szCs w:val="17"/>
          <w:color w:val="auto"/>
        </w:rPr>
        <w:t>. Either Party may terminate the Agreement if the other Party becomes insolvent, makes a voluntary or involuntary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its assets for the benefit of creditors, a petition in bankruptcy is filed by or against the other Party and is not dismissed in [*****] days, or a receiver or trustee is appointed for all or any part of the other Party’s property.</w:t>
      </w:r>
    </w:p>
    <w:p>
      <w:pPr>
        <w:spacing w:after="0" w:line="63" w:lineRule="exact"/>
        <w:rPr>
          <w:rFonts w:ascii="Arial" w:cs="Arial" w:eastAsia="Arial" w:hAnsi="Arial"/>
          <w:sz w:val="17"/>
          <w:szCs w:val="17"/>
          <w:color w:val="auto"/>
        </w:rPr>
      </w:pPr>
    </w:p>
    <w:p>
      <w:pPr>
        <w:ind w:left="1380" w:hanging="575"/>
        <w:spacing w:after="0" w:line="282" w:lineRule="auto"/>
        <w:tabs>
          <w:tab w:leader="none" w:pos="138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Termination by Piramal Without Cause</w:t>
      </w:r>
      <w:r>
        <w:rPr>
          <w:rFonts w:ascii="Arial" w:cs="Arial" w:eastAsia="Arial" w:hAnsi="Arial"/>
          <w:sz w:val="18"/>
          <w:szCs w:val="18"/>
          <w:color w:val="auto"/>
        </w:rPr>
        <w:t>. Piramal shall have the right to terminate this Agreement without cause at any time after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 months from the Effective Date of this Agreement upon [*****] months prior written notice.</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Consequences of Termination.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270" w:right="239" w:bottom="1440" w:gutter="0" w:footer="0" w:header="0"/>
        </w:sectPr>
      </w:pPr>
    </w:p>
    <w:bookmarkStart w:id="401" w:name="page402"/>
    <w:bookmarkEnd w:id="401"/>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78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580" w:hanging="575"/>
        <w:spacing w:after="0" w:line="268" w:lineRule="auto"/>
        <w:tabs>
          <w:tab w:leader="none" w:pos="580" w:val="left"/>
        </w:tabs>
        <w:numPr>
          <w:ilvl w:val="0"/>
          <w:numId w:val="285"/>
        </w:numPr>
        <w:rPr>
          <w:rFonts w:ascii="Arial" w:cs="Arial" w:eastAsia="Arial" w:hAnsi="Arial"/>
          <w:sz w:val="17"/>
          <w:szCs w:val="17"/>
          <w:color w:val="auto"/>
        </w:rPr>
      </w:pPr>
      <w:r>
        <w:rPr>
          <w:rFonts w:ascii="Arial" w:cs="Arial" w:eastAsia="Arial" w:hAnsi="Arial"/>
          <w:sz w:val="17"/>
          <w:szCs w:val="17"/>
          <w:b w:val="1"/>
          <w:bCs w:val="1"/>
          <w:color w:val="auto"/>
        </w:rPr>
        <w:t>Effect of Termination by Piramal Without Cause</w:t>
      </w:r>
      <w:r>
        <w:rPr>
          <w:rFonts w:ascii="Arial" w:cs="Arial" w:eastAsia="Arial" w:hAnsi="Arial"/>
          <w:sz w:val="17"/>
          <w:szCs w:val="17"/>
          <w:color w:val="auto"/>
        </w:rPr>
        <w:t>. Upon termination by Piramal without cause pursuant to Section 11.2(c), the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licenses granted by AC Immune to Piramal shall terminate in their entirety on the effective date of termination. All rights granted to Piramal shall automatically revert back to AC Immune. In order for AC Immune to decide whether or not to continue Development and Commercialization of Product(s), Piramal will provide the necessary documentation (i.e., clinical trial protocols, clinical trial reports and any filings with Regulatory Authorities) concerning the results obtained by Piramal in Piramal’s Development efforts. If AC Immune elects to continue Development and Commercialization of the Product, Piramal shall transfer all Regulatory Approvals and Regulatory Materials, all clinical study reports and protocols, Manufacturing processes and all other relevant Product data necessary for AC Immune to continue Development and Commercialization of Product(s). Piramal shall grant to AC Immune (i) a non-exclusive license under Piramal Background IP solely to the extent required and necessary for AC Immune to continue the Development and Commercialization of the Product as the Product existed at the time of termination of this Agreement, and (ii) an exclusive license under the Collaboration IP Controlled by Piramal (with right to sublicense) in order to allow such Development and Commercialization of the Product, with such license royalty bearing at the following royalty rates: [*****] The Parties shall negotiate the definitive license in good faith, taking into the account the stage of Development or Commercialization of Product at the time of Piramal’s termination. Furthermore, Piramal shall not assert any rights and claims against AC Immune, its licensees and customers to the extent the Product is developed and/or commercialized by them.</w:t>
      </w:r>
    </w:p>
    <w:p>
      <w:pPr>
        <w:spacing w:after="0" w:line="88" w:lineRule="exact"/>
        <w:rPr>
          <w:rFonts w:ascii="Arial" w:cs="Arial" w:eastAsia="Arial" w:hAnsi="Arial"/>
          <w:sz w:val="17"/>
          <w:szCs w:val="17"/>
          <w:color w:val="auto"/>
        </w:rPr>
      </w:pPr>
    </w:p>
    <w:p>
      <w:pPr>
        <w:ind w:left="580" w:right="180" w:hanging="575"/>
        <w:spacing w:after="0" w:line="347" w:lineRule="auto"/>
        <w:tabs>
          <w:tab w:leader="none" w:pos="580" w:val="left"/>
        </w:tabs>
        <w:numPr>
          <w:ilvl w:val="0"/>
          <w:numId w:val="285"/>
        </w:numPr>
        <w:rPr>
          <w:rFonts w:ascii="Arial" w:cs="Arial" w:eastAsia="Arial" w:hAnsi="Arial"/>
          <w:sz w:val="16"/>
          <w:szCs w:val="16"/>
          <w:color w:val="auto"/>
        </w:rPr>
      </w:pPr>
      <w:r>
        <w:rPr>
          <w:rFonts w:ascii="Arial" w:cs="Arial" w:eastAsia="Arial" w:hAnsi="Arial"/>
          <w:sz w:val="16"/>
          <w:szCs w:val="16"/>
          <w:b w:val="1"/>
          <w:bCs w:val="1"/>
          <w:color w:val="auto"/>
        </w:rPr>
        <w:t>Effect of Termination by AC Immune for Breach by Piramal</w:t>
      </w:r>
      <w:r>
        <w:rPr>
          <w:rFonts w:ascii="Arial" w:cs="Arial" w:eastAsia="Arial" w:hAnsi="Arial"/>
          <w:sz w:val="16"/>
          <w:szCs w:val="16"/>
          <w:color w:val="auto"/>
        </w:rPr>
        <w:t>. Upon termination by AC Immune for uncured breach by Piramal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effects are the same as set forth in Section 11.3(a) hereinabove, and AC Immune shall be entitled to seek remedies and to claim damages.</w:t>
      </w:r>
    </w:p>
    <w:p>
      <w:pPr>
        <w:spacing w:after="0" w:line="21" w:lineRule="exact"/>
        <w:rPr>
          <w:rFonts w:ascii="Arial" w:cs="Arial" w:eastAsia="Arial" w:hAnsi="Arial"/>
          <w:sz w:val="16"/>
          <w:szCs w:val="16"/>
          <w:color w:val="auto"/>
        </w:rPr>
      </w:pPr>
    </w:p>
    <w:p>
      <w:pPr>
        <w:ind w:left="580" w:right="160" w:hanging="575"/>
        <w:spacing w:after="0" w:line="256" w:lineRule="auto"/>
        <w:tabs>
          <w:tab w:leader="none" w:pos="58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by Piramal for Breach by AC Immune. </w:t>
      </w:r>
      <w:r>
        <w:rPr>
          <w:rFonts w:ascii="Arial" w:cs="Arial" w:eastAsia="Arial" w:hAnsi="Arial"/>
          <w:sz w:val="18"/>
          <w:szCs w:val="18"/>
          <w:color w:val="auto"/>
        </w:rPr>
        <w:t>Upon termination by Piramal for uncured breach by AC Immune or</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of AC Immune, upon written notice from Piramal to AC Immune: (i) the licenses granted by AC Immune to Piramal in Section 3.1, and (ii) the payment obligations, reporting and audit rights in Article 8, in each case shall continue in full force and effect in accordance with the terms therein, with Piramal agreeing to use Commercially Reasonable Efforts to itself or through its Affiliates or sublicensees Commercialize the Product in the Field in the Territory, and Piramal shall be entitled to seek remedies and to claim damages with respect to AC Immune’s uncured breach.</w:t>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0620"/>
          </w:cols>
          <w:pgMar w:left="1040" w:top="270" w:right="23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right="120" w:hanging="575"/>
        <w:spacing w:after="0" w:line="266" w:lineRule="auto"/>
        <w:tabs>
          <w:tab w:leader="none" w:pos="138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Accrued Obligations</w:t>
      </w:r>
      <w:r>
        <w:rPr>
          <w:rFonts w:ascii="Arial" w:cs="Arial" w:eastAsia="Arial" w:hAnsi="Arial"/>
          <w:sz w:val="18"/>
          <w:szCs w:val="18"/>
          <w:color w:val="auto"/>
        </w:rPr>
        <w:t>. Expiration or termination of this Agreement for any reason shall not release any Party of any obligation or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of such expiration or termination, has already accrued or which is attributable to a period prior to such expiration or termination.</w:t>
      </w:r>
    </w:p>
    <w:p>
      <w:pPr>
        <w:spacing w:after="0" w:line="81" w:lineRule="exact"/>
        <w:rPr>
          <w:rFonts w:ascii="Arial" w:cs="Arial" w:eastAsia="Arial" w:hAnsi="Arial"/>
          <w:sz w:val="18"/>
          <w:szCs w:val="18"/>
          <w:color w:val="auto"/>
        </w:rPr>
      </w:pPr>
    </w:p>
    <w:p>
      <w:pPr>
        <w:ind w:left="1380" w:right="360" w:hanging="575"/>
        <w:spacing w:after="0" w:line="282" w:lineRule="auto"/>
        <w:tabs>
          <w:tab w:leader="none" w:pos="138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Ancillary Agreements</w:t>
      </w:r>
      <w:r>
        <w:rPr>
          <w:rFonts w:ascii="Arial" w:cs="Arial" w:eastAsia="Arial" w:hAnsi="Arial"/>
          <w:sz w:val="18"/>
          <w:szCs w:val="18"/>
          <w:color w:val="auto"/>
        </w:rPr>
        <w:t>. Unless otherwise agreed in writing by the Parties, the termination of this Agreement shall cause the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all ancillary agreements referenced in Sections 6.2 [*****] and 6.3 (Supply of [*****]).</w:t>
      </w:r>
    </w:p>
    <w:p>
      <w:pPr>
        <w:spacing w:after="0" w:line="67" w:lineRule="exact"/>
        <w:rPr>
          <w:rFonts w:ascii="Arial" w:cs="Arial" w:eastAsia="Arial" w:hAnsi="Arial"/>
          <w:sz w:val="18"/>
          <w:szCs w:val="18"/>
          <w:color w:val="auto"/>
        </w:rPr>
      </w:pPr>
    </w:p>
    <w:p>
      <w:pPr>
        <w:ind w:left="1380" w:right="480" w:hanging="575"/>
        <w:spacing w:after="0" w:line="282" w:lineRule="auto"/>
        <w:tabs>
          <w:tab w:leader="none" w:pos="138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Non-Exclusive Remedy</w:t>
      </w:r>
      <w:r>
        <w:rPr>
          <w:rFonts w:ascii="Arial" w:cs="Arial" w:eastAsia="Arial" w:hAnsi="Arial"/>
          <w:sz w:val="18"/>
          <w:szCs w:val="18"/>
          <w:color w:val="auto"/>
        </w:rPr>
        <w:t>. Notwithstanding anything herein to the contrary, termination of this Agreement by a Party shall be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prejudice to other remedies such Party may have at law or equity.</w:t>
      </w:r>
    </w:p>
    <w:p>
      <w:pPr>
        <w:spacing w:after="0" w:line="67" w:lineRule="exact"/>
        <w:rPr>
          <w:rFonts w:ascii="Arial" w:cs="Arial" w:eastAsia="Arial" w:hAnsi="Arial"/>
          <w:sz w:val="18"/>
          <w:szCs w:val="18"/>
          <w:color w:val="auto"/>
        </w:rPr>
      </w:pPr>
    </w:p>
    <w:p>
      <w:pPr>
        <w:jc w:val="both"/>
        <w:ind w:left="1380" w:right="180" w:hanging="575"/>
        <w:spacing w:after="0" w:line="281" w:lineRule="auto"/>
        <w:tabs>
          <w:tab w:leader="none" w:pos="1380" w:val="left"/>
        </w:tabs>
        <w:numPr>
          <w:ilvl w:val="0"/>
          <w:numId w:val="286"/>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following provisions shall survive expiration or termination of this Agreement and continue to be enforceable: Article 10</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Article 13 (Indemnification, Insurance and Liability). Article 14 (Dispute Resolution), and Article 15 (Miscellaneous); and Sections 8.5(c) (Royalty Term) to the extent applicable, 9.1 (Ownership), 9.4 (Abandonment of Prosecution and Maintenance) solely with respect to the Jointly Owned Collaboration IP, and 11.3 (Consequences of Termination).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Representations, Warranties and Covenants By Both Parties</w:t>
      </w:r>
      <w:r>
        <w:rPr>
          <w:rFonts w:ascii="Arial" w:cs="Arial" w:eastAsia="Arial" w:hAnsi="Arial"/>
          <w:sz w:val="16"/>
          <w:szCs w:val="16"/>
          <w:color w:val="auto"/>
        </w:rPr>
        <w:t>. Each Party hereby severally represents, warrants and covenants to the other</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w:t>
      </w:r>
    </w:p>
    <w:p>
      <w:pPr>
        <w:spacing w:after="0" w:line="116" w:lineRule="exact"/>
        <w:rPr>
          <w:sz w:val="20"/>
          <w:szCs w:val="20"/>
          <w:color w:val="auto"/>
        </w:rPr>
      </w:pPr>
    </w:p>
    <w:p>
      <w:pPr>
        <w:ind w:left="1380" w:right="180" w:hanging="575"/>
        <w:spacing w:after="0" w:line="277" w:lineRule="auto"/>
        <w:tabs>
          <w:tab w:leader="none" w:pos="1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incorporation or continuance, as the case may be, and has full corporate power and authority to enter into this Agreement and to carry out the provisions hereof;</w:t>
      </w:r>
    </w:p>
    <w:p>
      <w:pPr>
        <w:spacing w:after="0" w:line="75" w:lineRule="exact"/>
        <w:rPr>
          <w:rFonts w:ascii="Arial" w:cs="Arial" w:eastAsia="Arial" w:hAnsi="Arial"/>
          <w:sz w:val="18"/>
          <w:szCs w:val="18"/>
          <w:color w:val="auto"/>
        </w:rPr>
      </w:pPr>
    </w:p>
    <w:p>
      <w:pPr>
        <w:ind w:left="1380" w:right="460" w:hanging="575"/>
        <w:spacing w:after="0" w:line="277" w:lineRule="auto"/>
        <w:tabs>
          <w:tab w:leader="none" w:pos="1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w:t>
      </w:r>
    </w:p>
    <w:p>
      <w:pPr>
        <w:spacing w:after="0" w:line="130" w:lineRule="exact"/>
        <w:rPr>
          <w:rFonts w:ascii="Arial" w:cs="Arial" w:eastAsia="Arial" w:hAnsi="Arial"/>
          <w:sz w:val="18"/>
          <w:szCs w:val="18"/>
          <w:color w:val="auto"/>
        </w:rPr>
      </w:pPr>
    </w:p>
    <w:p>
      <w:pPr>
        <w:ind w:left="1380" w:right="40" w:hanging="575"/>
        <w:spacing w:after="0" w:line="277" w:lineRule="auto"/>
        <w:tabs>
          <w:tab w:leader="none" w:pos="1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does not conflict with any agreement, instrument or understanding, oral or written, to which it is a party or by which it may be bound, nor violate, any material Applicable Law;</w:t>
      </w:r>
    </w:p>
    <w:p>
      <w:pPr>
        <w:spacing w:after="0" w:line="75" w:lineRule="exact"/>
        <w:rPr>
          <w:rFonts w:ascii="Arial" w:cs="Arial" w:eastAsia="Arial" w:hAnsi="Arial"/>
          <w:sz w:val="18"/>
          <w:szCs w:val="18"/>
          <w:color w:val="auto"/>
        </w:rPr>
      </w:pPr>
    </w:p>
    <w:p>
      <w:pPr>
        <w:ind w:left="1380" w:right="380" w:hanging="575"/>
        <w:spacing w:after="0" w:line="277" w:lineRule="auto"/>
        <w:tabs>
          <w:tab w:leader="none" w:pos="1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it has not granted, and shall not grant during the Term, any right to any Third Party which would conflict with the rights granted to the other Party hereunder;</w:t>
      </w:r>
    </w:p>
    <w:p>
      <w:pPr>
        <w:spacing w:after="0" w:line="75" w:lineRule="exact"/>
        <w:rPr>
          <w:rFonts w:ascii="Arial" w:cs="Arial" w:eastAsia="Arial" w:hAnsi="Arial"/>
          <w:sz w:val="18"/>
          <w:szCs w:val="18"/>
          <w:color w:val="auto"/>
        </w:rPr>
      </w:pPr>
    </w:p>
    <w:p>
      <w:pPr>
        <w:ind w:left="1380" w:right="520" w:hanging="575"/>
        <w:spacing w:after="0" w:line="277" w:lineRule="auto"/>
        <w:tabs>
          <w:tab w:leader="none" w:pos="1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it is not aware of any action, suit or inquiry or investigation instituted by any Person which questions or threatens the validity of this Agreement;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269" w:right="2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20" w:hanging="575"/>
        <w:spacing w:after="0" w:line="277" w:lineRule="auto"/>
        <w:tabs>
          <w:tab w:leader="none" w:pos="13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consent or approval from any Third Party (including any governmental or administrative body or court) is necessary to consummate this Agreement or, to its knowledge, to conduct the activities contemplated hereunder.</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AC Immune Representations, Warranties and Covenants</w:t>
      </w:r>
      <w:r>
        <w:rPr>
          <w:rFonts w:ascii="Arial" w:cs="Arial" w:eastAsia="Arial" w:hAnsi="Arial"/>
          <w:sz w:val="16"/>
          <w:szCs w:val="16"/>
          <w:color w:val="auto"/>
        </w:rPr>
        <w:t>. AC Immune hereby represents and warrants that as of the Effective Date: ·</w:t>
      </w:r>
    </w:p>
    <w:p>
      <w:pPr>
        <w:spacing w:after="0" w:line="135" w:lineRule="exact"/>
        <w:rPr>
          <w:sz w:val="20"/>
          <w:szCs w:val="20"/>
          <w:color w:val="auto"/>
        </w:rPr>
      </w:pPr>
    </w:p>
    <w:p>
      <w:pPr>
        <w:ind w:left="1380" w:right="240" w:hanging="575"/>
        <w:spacing w:after="0" w:line="264" w:lineRule="auto"/>
        <w:tabs>
          <w:tab w:leader="none" w:pos="13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its knowledge it does not own or otherwise control any Patents or Know-How other than the AC Immune Background IP and AC Immune Tau Protein Imaging IP that would be necessary for Piramal to exercise its rights under this Agreement, including to make, use, sell and import Products in the Field in the Territory;</w:t>
      </w:r>
    </w:p>
    <w:p>
      <w:pPr>
        <w:spacing w:after="0" w:line="86" w:lineRule="exact"/>
        <w:rPr>
          <w:rFonts w:ascii="Arial" w:cs="Arial" w:eastAsia="Arial" w:hAnsi="Arial"/>
          <w:sz w:val="18"/>
          <w:szCs w:val="18"/>
          <w:color w:val="auto"/>
        </w:rPr>
      </w:pPr>
    </w:p>
    <w:p>
      <w:pPr>
        <w:ind w:left="1380" w:right="60" w:hanging="575"/>
        <w:spacing w:after="0" w:line="342" w:lineRule="auto"/>
        <w:tabs>
          <w:tab w:leader="none" w:pos="13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it solely owns all right, title and interest in, to and under the AC Immune Tau Protein Imaging Patents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has not licensed the AC Immune Tau Protein Imaging Patents in the Field with respect to a PET Agent product to any Affiliate or any Third Party;</w:t>
      </w:r>
    </w:p>
    <w:p>
      <w:pPr>
        <w:spacing w:after="0" w:line="29" w:lineRule="exact"/>
        <w:rPr>
          <w:rFonts w:ascii="Arial" w:cs="Arial" w:eastAsia="Arial" w:hAnsi="Arial"/>
          <w:sz w:val="16"/>
          <w:szCs w:val="16"/>
          <w:color w:val="auto"/>
        </w:rPr>
      </w:pPr>
    </w:p>
    <w:p>
      <w:pPr>
        <w:ind w:left="1380" w:right="160" w:hanging="575"/>
        <w:spacing w:after="0" w:line="259" w:lineRule="auto"/>
        <w:tabs>
          <w:tab w:leader="none" w:pos="13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 has full legal rights and authority to grant the licenses and rights under the AC Immune Tau Protein Imaging IP and AC Immune Background IP granted under this Agreement and has not assigned, transferred, conveyed or licensed its right, title and interest in the AC Immune Tau Protein Imaging IP or AC Immune Background IP, including in any manner inconsistent with such license grant or the other terms of this Agreement;</w:t>
      </w:r>
    </w:p>
    <w:p>
      <w:pPr>
        <w:spacing w:after="0" w:line="92" w:lineRule="exact"/>
        <w:rPr>
          <w:rFonts w:ascii="Arial" w:cs="Arial" w:eastAsia="Arial" w:hAnsi="Arial"/>
          <w:sz w:val="18"/>
          <w:szCs w:val="18"/>
          <w:color w:val="auto"/>
        </w:rPr>
      </w:pPr>
    </w:p>
    <w:p>
      <w:pPr>
        <w:ind w:left="1380" w:right="120" w:hanging="575"/>
        <w:spacing w:after="0" w:line="259" w:lineRule="auto"/>
        <w:tabs>
          <w:tab w:leader="none" w:pos="13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is no pending litigation or, to the best of AC Immune’s knowledge, written threat of litigation that has been received by AC Immune (and has not been resolved by taking a license or otherwise), which alleges that AC Immune’s activities with respect to the AC Immune Tau Protein Imaging IP or AC Immune Background IP have infringed or misappropriated any of the intellectual property rights of any Third Party; and</w:t>
      </w:r>
    </w:p>
    <w:p>
      <w:pPr>
        <w:spacing w:after="0" w:line="92" w:lineRule="exact"/>
        <w:rPr>
          <w:rFonts w:ascii="Arial" w:cs="Arial" w:eastAsia="Arial" w:hAnsi="Arial"/>
          <w:sz w:val="18"/>
          <w:szCs w:val="18"/>
          <w:color w:val="auto"/>
        </w:rPr>
      </w:pPr>
    </w:p>
    <w:p>
      <w:pPr>
        <w:ind w:left="1380" w:right="160" w:hanging="575"/>
        <w:spacing w:after="0" w:line="264" w:lineRule="auto"/>
        <w:tabs>
          <w:tab w:leader="none" w:pos="13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best of AC Immune’s knowledge, the making, using, selling, or importing of Compounds claimed in the AC Immune Tau Protein Imaging IP and AC Immune Background IP as contemplated by this Agreement does not infringe any patent rights or misappropriate any other intellectual property owned by a Third Party.</w:t>
      </w:r>
    </w:p>
    <w:p>
      <w:pPr>
        <w:spacing w:after="0" w:line="83" w:lineRule="exact"/>
        <w:rPr>
          <w:sz w:val="20"/>
          <w:szCs w:val="20"/>
          <w:color w:val="auto"/>
        </w:rPr>
      </w:pPr>
    </w:p>
    <w:p>
      <w:pPr>
        <w:ind w:left="800" w:right="100" w:hanging="796"/>
        <w:spacing w:after="0" w:line="258" w:lineRule="auto"/>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b w:val="1"/>
          <w:bCs w:val="1"/>
          <w:color w:val="auto"/>
        </w:rPr>
        <w:t xml:space="preserve">Disclaimer. </w:t>
      </w:r>
      <w:r>
        <w:rPr>
          <w:rFonts w:ascii="Arial" w:cs="Arial" w:eastAsia="Arial" w:hAnsi="Arial"/>
          <w:sz w:val="18"/>
          <w:szCs w:val="18"/>
          <w:color w:val="auto"/>
        </w:rPr>
        <w:t>EXCEPT AS OTHER WISE EXPRESSLY SET FORTH IN SECTIONS 12.1 AND 12.2, THE PARTIES MAKE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EXTEND NO WARRANTIES OF ANY KIND, EITHER EXPRESS OR IMPLIED, AND PARTICULARLY THAT PRODUCTS WILL BE SUCCESSFULLY DEVELOPED HEREUNDER, AND IF PRODUCTS ARE DEVELOPED, WITH RESPECT TO SUCH PRODUCTS, AND TO THE EXTENT PERMITTED BY LAW THE PARTIES EXCLUDE ALL IMPLIED WARRANTIES OF TITLE, NON-INFRINGEMENT, MERCHANTABILITY AND FITNESS FOR A PARTICULAR PURPOSE.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INSURANCE AND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269" w:right="239" w:bottom="1440" w:gutter="0" w:footer="0" w:header="0"/>
        </w:sectPr>
      </w:pPr>
    </w:p>
    <w:bookmarkStart w:id="404" w:name="page405"/>
    <w:bookmarkEnd w:id="4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20" w:hanging="796"/>
        <w:spacing w:after="0" w:line="291"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Indemnification by AC Immune</w:t>
      </w:r>
      <w:r>
        <w:rPr>
          <w:rFonts w:ascii="Arial" w:cs="Arial" w:eastAsia="Arial" w:hAnsi="Arial"/>
          <w:sz w:val="16"/>
          <w:szCs w:val="16"/>
          <w:color w:val="auto"/>
        </w:rPr>
        <w:t>. AC Immune shall defend, indemnify and hold harmless Piramal and its officers, directors, employees,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successor and assigns (“</w:t>
      </w:r>
      <w:r>
        <w:rPr>
          <w:rFonts w:ascii="Arial" w:cs="Arial" w:eastAsia="Arial" w:hAnsi="Arial"/>
          <w:sz w:val="16"/>
          <w:szCs w:val="16"/>
          <w:b w:val="1"/>
          <w:bCs w:val="1"/>
          <w:color w:val="auto"/>
        </w:rPr>
        <w:t>Piramal Indemnitee</w:t>
      </w:r>
      <w:r>
        <w:rPr>
          <w:rFonts w:ascii="Arial" w:cs="Arial" w:eastAsia="Arial" w:hAnsi="Arial"/>
          <w:sz w:val="16"/>
          <w:szCs w:val="16"/>
          <w:color w:val="auto"/>
        </w:rPr>
        <w:t>”) from and against any liability or expense (including reasonable legal expenses, costs of litigation and attorneys’ fees), damages, or judgments, whether for money or equitable relief (collectively, “</w:t>
      </w:r>
      <w:r>
        <w:rPr>
          <w:rFonts w:ascii="Arial" w:cs="Arial" w:eastAsia="Arial" w:hAnsi="Arial"/>
          <w:sz w:val="16"/>
          <w:szCs w:val="16"/>
          <w:b w:val="1"/>
          <w:bCs w:val="1"/>
          <w:color w:val="auto"/>
        </w:rPr>
        <w:t>Losses</w:t>
      </w:r>
      <w:r>
        <w:rPr>
          <w:rFonts w:ascii="Arial" w:cs="Arial" w:eastAsia="Arial" w:hAnsi="Arial"/>
          <w:sz w:val="16"/>
          <w:szCs w:val="16"/>
          <w:color w:val="auto"/>
        </w:rPr>
        <w:t>”) resulting from suits, proceedings, claims, actions, demands, or threatened claims, actions or demands, in each case brought by a Third Party (each, a “</w:t>
      </w:r>
      <w:r>
        <w:rPr>
          <w:rFonts w:ascii="Arial" w:cs="Arial" w:eastAsia="Arial" w:hAnsi="Arial"/>
          <w:sz w:val="16"/>
          <w:szCs w:val="16"/>
          <w:b w:val="1"/>
          <w:bCs w:val="1"/>
          <w:color w:val="auto"/>
        </w:rPr>
        <w:t>Claim</w:t>
      </w:r>
      <w:r>
        <w:rPr>
          <w:rFonts w:ascii="Arial" w:cs="Arial" w:eastAsia="Arial" w:hAnsi="Arial"/>
          <w:sz w:val="16"/>
          <w:szCs w:val="16"/>
          <w:color w:val="auto"/>
        </w:rPr>
        <w:t>”) against a Piramal Indemnitee arising out of: (a) any negligent act or omission, or willful wrongdoing by AC Immune or its Affiliates in the performance of this Agreement, (b) the failure by AC Immune to comply with any applicable Law, or (c) any breach of any representation or warranty or covenant of AC Immune under this Agreement, except, in each case, to the extent any such Losses result from the gross negligence or willful misconduct of a Piramal Indemnitee, as applicable, or from the breach of any representation or warranty or obligation under this Agreement by Piramal.</w:t>
      </w:r>
    </w:p>
    <w:p>
      <w:pPr>
        <w:spacing w:after="0" w:line="66" w:lineRule="exact"/>
        <w:rPr>
          <w:sz w:val="20"/>
          <w:szCs w:val="20"/>
          <w:color w:val="auto"/>
        </w:rPr>
      </w:pPr>
    </w:p>
    <w:p>
      <w:pPr>
        <w:ind w:left="800" w:right="160" w:hanging="796"/>
        <w:spacing w:after="0" w:line="292"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Indemnification by Piramal</w:t>
      </w:r>
      <w:r>
        <w:rPr>
          <w:rFonts w:ascii="Arial" w:cs="Arial" w:eastAsia="Arial" w:hAnsi="Arial"/>
          <w:sz w:val="16"/>
          <w:szCs w:val="16"/>
          <w:color w:val="auto"/>
        </w:rPr>
        <w:t>. Piramal shall defend, indemnify and hold harmless AC Immune and its Affiliates, and its and their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employees, agents, representatives, successor and assigns (“</w:t>
      </w:r>
      <w:r>
        <w:rPr>
          <w:rFonts w:ascii="Arial" w:cs="Arial" w:eastAsia="Arial" w:hAnsi="Arial"/>
          <w:sz w:val="16"/>
          <w:szCs w:val="16"/>
          <w:b w:val="1"/>
          <w:bCs w:val="1"/>
          <w:color w:val="auto"/>
        </w:rPr>
        <w:t>AC Immune Indemnitee</w:t>
      </w:r>
      <w:r>
        <w:rPr>
          <w:rFonts w:ascii="Arial" w:cs="Arial" w:eastAsia="Arial" w:hAnsi="Arial"/>
          <w:sz w:val="16"/>
          <w:szCs w:val="16"/>
          <w:color w:val="auto"/>
        </w:rPr>
        <w:t>”) from and against any and all Losses resulting from Claims, including, bodily, injury, risk of bodily injury, death, property damage and product liability, against an AC Immune Indemnitee arising out of or relating to, directly or indirectly: (a) any negligent act or omission, or willful wrongdoing by Piramal in the performance of this Agreement, (b) the failure by Piramal to comply with any applicable Law, or (c) any breach of any representation or warranty or covenant of Piramal under this Agreement; except, in each case, to the extent any such Losses result from the gross negligence or willful misconduct of a AC Immune Indemnitee or from the breach of any representation or warranty or obligation under this Agreement by AC Immune.</w:t>
      </w:r>
    </w:p>
    <w:p>
      <w:pPr>
        <w:spacing w:after="0" w:line="67" w:lineRule="exact"/>
        <w:rPr>
          <w:sz w:val="20"/>
          <w:szCs w:val="20"/>
          <w:color w:val="auto"/>
        </w:rPr>
      </w:pPr>
    </w:p>
    <w:p>
      <w:pPr>
        <w:ind w:left="800" w:hanging="796"/>
        <w:spacing w:after="0" w:line="290" w:lineRule="auto"/>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Limitations on Indemnification</w:t>
      </w:r>
      <w:r>
        <w:rPr>
          <w:rFonts w:ascii="Arial" w:cs="Arial" w:eastAsia="Arial" w:hAnsi="Arial"/>
          <w:sz w:val="16"/>
          <w:szCs w:val="16"/>
          <w:color w:val="auto"/>
        </w:rPr>
        <w:t>. The obligations to indemnify, defend, and hold harmless set forth in Sections 13.1 and 13.2 shall be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Party seeking indemnification (the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(a) notifying the indemnifying Party of a claim, demand or suit within [*****] days of receipt of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Indemnitee’s failure or delay in providing such notice shall not relieve the indemnifying Party of its indemnification obligation except to the extent the indemnifying Party is prejudiced thereby; (b) allowing the indemnifying Party and/or its insurers the right to assume direction and control of the defense of any such claim, demand or suit; (c) using its best efforts to cooperate with the indemnifying Party and/or its insurers, at the indemnifying Party’s expense, in the defense of such claim, demand or suit; and (d) agreeing not to settle or compromise any claim, demand or suit without prior written authorization of the indemnifying Party. The Indemnitee shall have the right to participate in the defense of any such claim, demand or suit referred to in this Section utilizing attorneys of its choice, at its own expense,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indemnifying Party shall have full authority and control to handle any such claim, demand or suit.</w:t>
      </w:r>
    </w:p>
    <w:p>
      <w:pPr>
        <w:spacing w:after="0" w:line="65" w:lineRule="exact"/>
        <w:rPr>
          <w:sz w:val="20"/>
          <w:szCs w:val="20"/>
          <w:color w:val="auto"/>
        </w:rPr>
      </w:pPr>
    </w:p>
    <w:p>
      <w:pPr>
        <w:ind w:left="800" w:right="260" w:hanging="796"/>
        <w:spacing w:after="0" w:line="313" w:lineRule="auto"/>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b w:val="1"/>
          <w:bCs w:val="1"/>
          <w:color w:val="auto"/>
        </w:rPr>
        <w:t>Limitation on Liability</w:t>
      </w:r>
      <w:r>
        <w:rPr>
          <w:rFonts w:ascii="Arial" w:cs="Arial" w:eastAsia="Arial" w:hAnsi="Arial"/>
          <w:sz w:val="17"/>
          <w:szCs w:val="17"/>
          <w:color w:val="auto"/>
        </w:rPr>
        <w:t>. In no event shall any Party be liable to the other Party for any indirect, special, incidental, exemplary or consequential</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of any kind arising out of or in connection with this Agreement, however caused and on any theory of liability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270" w:right="239" w:bottom="1440" w:gutter="0" w:footer="0" w:header="0"/>
        </w:sectPr>
      </w:pPr>
    </w:p>
    <w:bookmarkStart w:id="405" w:name="page406"/>
    <w:bookmarkEnd w:id="4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20"/>
        <w:spacing w:after="0" w:line="279" w:lineRule="auto"/>
        <w:rPr>
          <w:sz w:val="20"/>
          <w:szCs w:val="20"/>
          <w:color w:val="auto"/>
        </w:rPr>
      </w:pPr>
      <w:r>
        <w:rPr>
          <w:rFonts w:ascii="Arial" w:cs="Arial" w:eastAsia="Arial" w:hAnsi="Arial"/>
          <w:sz w:val="17"/>
          <w:szCs w:val="17"/>
          <w:color w:val="auto"/>
        </w:rPr>
        <w:t>(whether in contract, tort (including negligence), strict liability or otherwise), even if such Party was advised or otherwise aware of the likelihood of such damages. The limitations set forth in this Section 13.4 shall not apply with respect to (a) the Party’s indemnification obligations under Sections 13.1 and 13.2, as applicable, (b) breach of Article 10, or (c) intentional misconduct of a Party. Nothing in this Section 13.4 shall exclude a Party’s liability for death or injury caused by that Party’s negligence, or fraud or fraudulent misrepresentation.</w:t>
      </w:r>
    </w:p>
    <w:p>
      <w:pPr>
        <w:spacing w:after="0" w:line="73" w:lineRule="exact"/>
        <w:rPr>
          <w:sz w:val="20"/>
          <w:szCs w:val="20"/>
          <w:color w:val="auto"/>
        </w:rPr>
      </w:pPr>
    </w:p>
    <w:p>
      <w:pPr>
        <w:jc w:val="both"/>
        <w:ind w:left="800" w:right="40" w:hanging="796"/>
        <w:spacing w:after="0" w:line="266"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b w:val="1"/>
          <w:bCs w:val="1"/>
          <w:color w:val="auto"/>
        </w:rPr>
        <w:t xml:space="preserve">Insurance. </w:t>
      </w:r>
      <w:r>
        <w:rPr>
          <w:rFonts w:ascii="Arial" w:cs="Arial" w:eastAsia="Arial" w:hAnsi="Arial"/>
          <w:sz w:val="18"/>
          <w:szCs w:val="18"/>
          <w:color w:val="auto"/>
        </w:rPr>
        <w:t>During the Term and for a period of [*****] years after the Term, each Party shall obtain and/or maintain,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policies, including product liability insurance, adequate to cover its obligations hereunder and which are consistent with normal business practices of prudent companies similarly situated.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34" w:lineRule="exact"/>
        <w:rPr>
          <w:sz w:val="20"/>
          <w:szCs w:val="20"/>
          <w:color w:val="auto"/>
        </w:rPr>
      </w:pPr>
    </w:p>
    <w:p>
      <w:pPr>
        <w:ind w:left="800" w:right="20" w:hanging="796"/>
        <w:spacing w:after="0" w:line="314" w:lineRule="auto"/>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Any controversy, claim or dispute arising out of or relating to this Agreement shall be settled, if possible, through good faith negotiations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If, however, the Parties are unable to settle such dispute after good faith negotiations, the matter shall be referred to the executive officers to be resolved by negotiation in good faith as soon as is practicable but in no event later than [*****] days after referral.</w:t>
      </w:r>
    </w:p>
    <w:p>
      <w:pPr>
        <w:spacing w:after="0" w:line="48" w:lineRule="exact"/>
        <w:rPr>
          <w:sz w:val="20"/>
          <w:szCs w:val="20"/>
          <w:color w:val="auto"/>
        </w:rPr>
      </w:pPr>
    </w:p>
    <w:p>
      <w:pPr>
        <w:ind w:left="800" w:right="240" w:hanging="796"/>
        <w:spacing w:after="0" w:line="261" w:lineRule="auto"/>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b w:val="1"/>
          <w:bCs w:val="1"/>
          <w:color w:val="auto"/>
        </w:rPr>
        <w:t xml:space="preserve">Failure of Executive Officers to Resolve Dispute. </w:t>
      </w:r>
      <w:r>
        <w:rPr>
          <w:rFonts w:ascii="Arial" w:cs="Arial" w:eastAsia="Arial" w:hAnsi="Arial"/>
          <w:sz w:val="18"/>
          <w:szCs w:val="18"/>
          <w:color w:val="auto"/>
        </w:rPr>
        <w:t>If the executive officers are unable to settle the dispute after good faith negotiation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set forth above, which matter is not a subject for which one of the Parties has final decision making authority pursuant to Section 2.3(c), the matter (a) shall be resolved in accordance with Section 14.3, and (b) either Party may seek injunctive or other equitable relief in any court in any jurisdiction where appropriate.</w:t>
      </w:r>
    </w:p>
    <w:p>
      <w:pPr>
        <w:spacing w:after="0" w:line="86" w:lineRule="exact"/>
        <w:rPr>
          <w:sz w:val="20"/>
          <w:szCs w:val="20"/>
          <w:color w:val="auto"/>
        </w:rPr>
      </w:pPr>
    </w:p>
    <w:p>
      <w:pPr>
        <w:ind w:left="800" w:right="180" w:hanging="796"/>
        <w:spacing w:after="0" w:line="289" w:lineRule="auto"/>
        <w:tabs>
          <w:tab w:leader="none" w:pos="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b w:val="1"/>
          <w:bCs w:val="1"/>
          <w:color w:val="auto"/>
        </w:rPr>
        <w:t xml:space="preserve">Binding Arbitration. </w:t>
      </w:r>
      <w:r>
        <w:rPr>
          <w:rFonts w:ascii="Arial" w:cs="Arial" w:eastAsia="Arial" w:hAnsi="Arial"/>
          <w:sz w:val="17"/>
          <w:szCs w:val="17"/>
          <w:color w:val="auto"/>
        </w:rPr>
        <w:t>Matters under Section 14.2 which are to be resolved through binding arbitration shall be resolved through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in London, United Kingdom administered by the International Chamber of Commerce (“</w:t>
      </w:r>
      <w:r>
        <w:rPr>
          <w:rFonts w:ascii="Arial" w:cs="Arial" w:eastAsia="Arial" w:hAnsi="Arial"/>
          <w:sz w:val="17"/>
          <w:szCs w:val="17"/>
          <w:b w:val="1"/>
          <w:bCs w:val="1"/>
          <w:color w:val="auto"/>
        </w:rPr>
        <w:t>ICC</w:t>
      </w:r>
      <w:r>
        <w:rPr>
          <w:rFonts w:ascii="Arial" w:cs="Arial" w:eastAsia="Arial" w:hAnsi="Arial"/>
          <w:sz w:val="17"/>
          <w:szCs w:val="17"/>
          <w:color w:val="auto"/>
        </w:rPr>
        <w:t>”) pursuant to the arbitration rules of the ICC then in effect (the “</w:t>
      </w:r>
      <w:r>
        <w:rPr>
          <w:rFonts w:ascii="Arial" w:cs="Arial" w:eastAsia="Arial" w:hAnsi="Arial"/>
          <w:sz w:val="17"/>
          <w:szCs w:val="17"/>
          <w:b w:val="1"/>
          <w:bCs w:val="1"/>
          <w:color w:val="auto"/>
        </w:rPr>
        <w:t>Rules</w:t>
      </w:r>
      <w:r>
        <w:rPr>
          <w:rFonts w:ascii="Arial" w:cs="Arial" w:eastAsia="Arial" w:hAnsi="Arial"/>
          <w:sz w:val="17"/>
          <w:szCs w:val="17"/>
          <w:color w:val="auto"/>
        </w:rPr>
        <w:t>”). The language of the arbitration (including all evidence and submissions) shall be in English.</w:t>
      </w:r>
    </w:p>
    <w:p>
      <w:pPr>
        <w:spacing w:after="0" w:line="64" w:lineRule="exact"/>
        <w:rPr>
          <w:sz w:val="20"/>
          <w:szCs w:val="20"/>
          <w:color w:val="auto"/>
        </w:rPr>
      </w:pPr>
    </w:p>
    <w:p>
      <w:pPr>
        <w:ind w:left="800" w:right="80" w:hanging="796"/>
        <w:spacing w:after="0" w:line="292" w:lineRule="auto"/>
        <w:tabs>
          <w:tab w:leader="none" w:pos="7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 xml:space="preserve">Arbitrators. </w:t>
      </w:r>
      <w:r>
        <w:rPr>
          <w:rFonts w:ascii="Arial" w:cs="Arial" w:eastAsia="Arial" w:hAnsi="Arial"/>
          <w:sz w:val="16"/>
          <w:szCs w:val="16"/>
          <w:color w:val="auto"/>
        </w:rPr>
        <w:t>There shall be [*****] arbitrator; provided that if either Party requests, the arbitration shall be conducted by a panel of [*****]</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arbitrators. Each arbitrator shall have experience in the pharmaceutical business. In the case of a sole arbitrator, the Parties shall attempt jointly to select such arbitrator within [*****] days after notice of arbitration is given. If the Parties cannot reach an agreement regarding the sole arbitrator within that time, ICC shall appoint the sole arbitrator. In the case of [*****] arbitrators, each Party shall appoint [*****] arbitrator meeting the foregoing criteria by written notice to the other Party and the [*****] Party-appointed arbitrators shall select the [*****] arbitrator within [*****] days of their appointment. If the Party-appointed arbitrators are unable to agree upon the third arbitrator or if either Party fails to appoint a Party-appointed arbitrator within [*****] days after notice of arbitration is given, the remaining arbitrator(s) shall be appointed by ICC.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270" w:right="239"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580" w:hanging="796"/>
        <w:spacing w:after="0" w:line="282" w:lineRule="auto"/>
        <w:tabs>
          <w:tab w:leader="none" w:pos="7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b w:val="1"/>
          <w:bCs w:val="1"/>
          <w:color w:val="auto"/>
        </w:rPr>
        <w:t xml:space="preserve">Judgment. </w:t>
      </w:r>
      <w:r>
        <w:rPr>
          <w:rFonts w:ascii="Arial" w:cs="Arial" w:eastAsia="Arial" w:hAnsi="Arial"/>
          <w:sz w:val="18"/>
          <w:szCs w:val="18"/>
          <w:color w:val="auto"/>
        </w:rPr>
        <w:t>Judgment upon the opinion rendered by such arbitrators shall be binding on the Parties and may be entered by any court having</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thereof.</w:t>
      </w:r>
    </w:p>
    <w:p>
      <w:pPr>
        <w:spacing w:after="0" w:line="67" w:lineRule="exact"/>
        <w:rPr>
          <w:sz w:val="20"/>
          <w:szCs w:val="20"/>
          <w:color w:val="auto"/>
        </w:rPr>
      </w:pPr>
    </w:p>
    <w:p>
      <w:pPr>
        <w:jc w:val="both"/>
        <w:ind w:left="800" w:right="260" w:hanging="796"/>
        <w:spacing w:after="0" w:line="303" w:lineRule="auto"/>
        <w:tabs>
          <w:tab w:leader="none" w:pos="7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Either Party may apply to the arbitrators for interim injunctive relief (including a temporary restraining order or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injunction) until the arbitration award is rendered or the controversy is otherwise resolved. Nothing in this Agreement shall prevent either Party from seeking provisional measures, including a temporary restraining order or preliminary injunction, from any court of competent jurisdiction, and any such request shall not be deemed incompatible with the agreement to arbitrate or a waiver of the right to arbitrate.</w:t>
      </w:r>
    </w:p>
    <w:p>
      <w:pPr>
        <w:spacing w:after="0" w:line="57" w:lineRule="exact"/>
        <w:rPr>
          <w:sz w:val="20"/>
          <w:szCs w:val="20"/>
          <w:color w:val="auto"/>
        </w:rPr>
      </w:pPr>
    </w:p>
    <w:p>
      <w:pPr>
        <w:jc w:val="both"/>
        <w:ind w:left="800" w:right="340" w:hanging="796"/>
        <w:spacing w:after="0" w:line="314" w:lineRule="auto"/>
        <w:tabs>
          <w:tab w:leader="none" w:pos="7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 xml:space="preserve">Award. </w:t>
      </w:r>
      <w:r>
        <w:rPr>
          <w:rFonts w:ascii="Arial" w:cs="Arial" w:eastAsia="Arial" w:hAnsi="Arial"/>
          <w:sz w:val="16"/>
          <w:szCs w:val="16"/>
          <w:color w:val="auto"/>
        </w:rPr>
        <w:t>The written decision of the arbitrators shall state the panel’s findings of material facts and the grounds for its conclusions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final, conclusive and binding on the Parties and enforceable by any court of competent jurisdiction. The arbitrators shall be required to comply with, and their award shall be limited by, any express provisions of this Agreement relating to damages or the limitation thereof.</w:t>
      </w:r>
    </w:p>
    <w:p>
      <w:pPr>
        <w:spacing w:after="0" w:line="48" w:lineRule="exact"/>
        <w:rPr>
          <w:sz w:val="20"/>
          <w:szCs w:val="20"/>
          <w:color w:val="auto"/>
        </w:rPr>
      </w:pPr>
    </w:p>
    <w:p>
      <w:pPr>
        <w:jc w:val="both"/>
        <w:ind w:left="800" w:right="60" w:hanging="796"/>
        <w:spacing w:after="0" w:line="261" w:lineRule="auto"/>
        <w:tabs>
          <w:tab w:leader="none" w:pos="7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color w:val="auto"/>
        </w:rPr>
        <w:t xml:space="preserve">Costs. </w:t>
      </w:r>
      <w:r>
        <w:rPr>
          <w:rFonts w:ascii="Arial" w:cs="Arial" w:eastAsia="Arial" w:hAnsi="Arial"/>
          <w:sz w:val="18"/>
          <w:szCs w:val="18"/>
          <w:color w:val="auto"/>
        </w:rPr>
        <w:t>Each Party shall bear its own costs and expenses (including legal fees and expenses) relating to the arbitration proceeding, except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fees of the arbitrators and other related costs of the arbitration shall be shared equally by the Parties, unless the arbitration panel determines that a Party has incurred unreasonable expenses due to vexatious or bad faith positions taken by the other Party, in which event the arbitration panel may make an award of all or any portion of such expenses so incurred.</w:t>
      </w:r>
    </w:p>
    <w:p>
      <w:pPr>
        <w:spacing w:after="0" w:line="86" w:lineRule="exact"/>
        <w:rPr>
          <w:sz w:val="20"/>
          <w:szCs w:val="20"/>
          <w:color w:val="auto"/>
        </w:rPr>
      </w:pPr>
    </w:p>
    <w:p>
      <w:pPr>
        <w:ind w:left="800" w:right="300" w:hanging="796"/>
        <w:spacing w:after="0" w:line="282" w:lineRule="auto"/>
        <w:tabs>
          <w:tab w:leader="none" w:pos="7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Except to the extent necessary to confirm an opinion or as may be required by applicable Law, neither Party nor any arbitrator</w:t>
      </w:r>
      <w:r>
        <w:rPr>
          <w:rFonts w:ascii="Arial" w:cs="Arial" w:eastAsia="Arial" w:hAnsi="Arial"/>
          <w:sz w:val="18"/>
          <w:szCs w:val="18"/>
          <w:b w:val="1"/>
          <w:bCs w:val="1"/>
          <w:color w:val="auto"/>
        </w:rPr>
        <w:t xml:space="preserve"> </w:t>
      </w:r>
      <w:r>
        <w:rPr>
          <w:rFonts w:ascii="Arial" w:cs="Arial" w:eastAsia="Arial" w:hAnsi="Arial"/>
          <w:sz w:val="18"/>
          <w:szCs w:val="18"/>
          <w:color w:val="auto"/>
        </w:rPr>
        <w:t>may disclose the existence, content, or results of an arbitration without the prior written consent of both Parties.</w:t>
      </w:r>
    </w:p>
    <w:p>
      <w:pPr>
        <w:spacing w:after="0" w:line="67" w:lineRule="exact"/>
        <w:rPr>
          <w:sz w:val="20"/>
          <w:szCs w:val="20"/>
          <w:color w:val="auto"/>
        </w:rPr>
      </w:pPr>
    </w:p>
    <w:p>
      <w:pPr>
        <w:ind w:left="800" w:right="440" w:hanging="796"/>
        <w:spacing w:after="0" w:line="282" w:lineRule="auto"/>
        <w:tabs>
          <w:tab w:leader="none" w:pos="78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8"/>
          <w:szCs w:val="18"/>
          <w:b w:val="1"/>
          <w:bCs w:val="1"/>
          <w:color w:val="auto"/>
        </w:rPr>
        <w:t xml:space="preserve">Patent Disputes. </w:t>
      </w:r>
      <w:r>
        <w:rPr>
          <w:rFonts w:ascii="Arial" w:cs="Arial" w:eastAsia="Arial" w:hAnsi="Arial"/>
          <w:sz w:val="18"/>
          <w:szCs w:val="18"/>
          <w:color w:val="auto"/>
        </w:rPr>
        <w:t>Any dispute, controversy or claim relating to the scope, validity, enforceability or infringement of any Patent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shall be submitted to a court of competent jurisdiction in the country in which such Patent exists.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any non-contractual obligations arising out of or in connection with it shall be governed by and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England and Wales without regard to conflict of law principles thereof.</w:t>
      </w:r>
    </w:p>
    <w:p>
      <w:pPr>
        <w:spacing w:after="0" w:line="67" w:lineRule="exact"/>
        <w:rPr>
          <w:sz w:val="20"/>
          <w:szCs w:val="20"/>
          <w:color w:val="auto"/>
        </w:rPr>
      </w:pPr>
    </w:p>
    <w:p>
      <w:pPr>
        <w:ind w:left="800" w:right="120" w:hanging="796"/>
        <w:spacing w:after="0" w:line="298" w:lineRule="auto"/>
        <w:tabs>
          <w:tab w:leader="none" w:pos="7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Each Party shall conduct its activities under this Agreement in accordance with Law and good business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Furthermore, each Party represents, warrants and agrees that it has been at all times and will continue to be in compliance with all potentially applicable anti-bribery and anti-corruption laws, including the U.S. Foreign Corrupt Practices Act of 1977 and the U.K.’s Bribery Act 2010. Each party represents, warrants and agrees that no bribes, payments, kickbacks, gifts, hospitality, donations, loans, or anything of value have been or will be made or received, offered, promised, or authorized, directly or indirectly, to improperly influence any act or decision of any person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270" w:right="23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460"/>
        <w:spacing w:after="0" w:line="277" w:lineRule="auto"/>
        <w:rPr>
          <w:sz w:val="20"/>
          <w:szCs w:val="20"/>
          <w:color w:val="auto"/>
        </w:rPr>
      </w:pPr>
      <w:r>
        <w:rPr>
          <w:rFonts w:ascii="Arial" w:cs="Arial" w:eastAsia="Arial" w:hAnsi="Arial"/>
          <w:sz w:val="18"/>
          <w:szCs w:val="18"/>
          <w:color w:val="auto"/>
        </w:rPr>
        <w:t>or entity, induce any person or entity to do or omit to do any act in violation of any person’s or entities’ lawful duties, or secure any improper advantage.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Assignment of Rights and Obligations.</w:t>
      </w:r>
    </w:p>
    <w:p>
      <w:pPr>
        <w:spacing w:after="0" w:line="131" w:lineRule="exact"/>
        <w:rPr>
          <w:sz w:val="20"/>
          <w:szCs w:val="20"/>
          <w:color w:val="auto"/>
        </w:rPr>
      </w:pPr>
    </w:p>
    <w:p>
      <w:pPr>
        <w:ind w:left="1380" w:right="120" w:hanging="575"/>
        <w:spacing w:after="0" w:line="282" w:lineRule="auto"/>
        <w:tabs>
          <w:tab w:leader="none" w:pos="138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This Agreement and its rights or obligations may not be assigned or otherwise transferred by either Party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Party.</w:t>
      </w:r>
    </w:p>
    <w:p>
      <w:pPr>
        <w:spacing w:after="0" w:line="67" w:lineRule="exact"/>
        <w:rPr>
          <w:rFonts w:ascii="Arial" w:cs="Arial" w:eastAsia="Arial" w:hAnsi="Arial"/>
          <w:sz w:val="18"/>
          <w:szCs w:val="18"/>
          <w:color w:val="auto"/>
        </w:rPr>
      </w:pPr>
    </w:p>
    <w:p>
      <w:pPr>
        <w:ind w:left="1380" w:right="20" w:hanging="575"/>
        <w:spacing w:after="0" w:line="258" w:lineRule="auto"/>
        <w:tabs>
          <w:tab w:leader="none" w:pos="138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 xml:space="preserve">Assignment in Case of a Change of Control and to Affiliates. </w:t>
      </w:r>
      <w:r>
        <w:rPr>
          <w:rFonts w:ascii="Arial" w:cs="Arial" w:eastAsia="Arial" w:hAnsi="Arial"/>
          <w:sz w:val="18"/>
          <w:szCs w:val="18"/>
          <w:color w:val="auto"/>
        </w:rPr>
        <w:t>Notwithstanding Section 15.3(a), either Party may, even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consent of the other Party, assign this Agreement or any of its rights or obligations (i) to any Affiliate, or (ii) in connection with a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Party’s rights and obligations under this Agreement shall be assumed in writing by its successor in interest in any such transaction and shall not be transferred separate from all or substantially all of its other business assets, including those business assets that are the subject of this Agreement.</w:t>
      </w:r>
    </w:p>
    <w:p>
      <w:pPr>
        <w:spacing w:after="0" w:line="89" w:lineRule="exact"/>
        <w:rPr>
          <w:sz w:val="20"/>
          <w:szCs w:val="20"/>
          <w:color w:val="auto"/>
        </w:rPr>
      </w:pPr>
    </w:p>
    <w:p>
      <w:pPr>
        <w:ind w:left="800" w:right="620" w:hanging="796"/>
        <w:spacing w:after="0" w:line="282" w:lineRule="auto"/>
        <w:tabs>
          <w:tab w:leader="none" w:pos="7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b w:val="1"/>
          <w:bCs w:val="1"/>
          <w:color w:val="auto"/>
        </w:rPr>
        <w:t xml:space="preserve">Further Actions.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the Agreement.</w:t>
      </w:r>
    </w:p>
    <w:p>
      <w:pPr>
        <w:spacing w:after="0" w:line="67" w:lineRule="exact"/>
        <w:rPr>
          <w:sz w:val="20"/>
          <w:szCs w:val="20"/>
          <w:color w:val="auto"/>
        </w:rPr>
      </w:pPr>
    </w:p>
    <w:p>
      <w:pPr>
        <w:ind w:left="800" w:right="60" w:hanging="796"/>
        <w:spacing w:after="0" w:line="291" w:lineRule="auto"/>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Except with respect to payment of money, no Party shall be liable to the other Party for failure or delay in the performance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w:t>
      </w:r>
      <w:r>
        <w:rPr>
          <w:rFonts w:ascii="Arial" w:cs="Arial" w:eastAsia="Arial" w:hAnsi="Arial"/>
          <w:sz w:val="16"/>
          <w:szCs w:val="16"/>
          <w:b w:val="1"/>
          <w:bCs w:val="1"/>
          <w:color w:val="auto"/>
        </w:rPr>
        <w:t>Force</w:t>
      </w:r>
      <w:r>
        <w:rPr>
          <w:rFonts w:ascii="Arial" w:cs="Arial" w:eastAsia="Arial" w:hAnsi="Arial"/>
          <w:sz w:val="16"/>
          <w:szCs w:val="16"/>
          <w:color w:val="auto"/>
        </w:rPr>
        <w:t xml:space="preserve"> </w:t>
      </w:r>
      <w:r>
        <w:rPr>
          <w:rFonts w:ascii="Arial" w:cs="Arial" w:eastAsia="Arial" w:hAnsi="Arial"/>
          <w:sz w:val="16"/>
          <w:szCs w:val="16"/>
          <w:b w:val="1"/>
          <w:bCs w:val="1"/>
          <w:color w:val="auto"/>
        </w:rPr>
        <w:t>Majeure</w:t>
      </w:r>
      <w:r>
        <w:rPr>
          <w:rFonts w:ascii="Arial" w:cs="Arial" w:eastAsia="Arial" w:hAnsi="Arial"/>
          <w:sz w:val="16"/>
          <w:szCs w:val="16"/>
          <w:color w:val="auto"/>
        </w:rPr>
        <w:t>”). The Party affected by such Force Majeure will provide the other Party with full particulars thereof as soon as it becomes aware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(including its best estimate of the likely extent and duration of the interference with its activities), and will use Commercially Reasonable Efforts to overcome the difficulties created thereby and to resume performance of its obligations as soon as practicable. If the performance of any such obligation under this Agreement is delayed owing to an event of Force Majeure for any continuous period of more than [*****] days, the Parties will consult with respect to an equitable solution, including the possibility of the termination of this Agreement.</w:t>
      </w:r>
    </w:p>
    <w:p>
      <w:pPr>
        <w:spacing w:after="0" w:line="66" w:lineRule="exact"/>
        <w:rPr>
          <w:sz w:val="20"/>
          <w:szCs w:val="20"/>
          <w:color w:val="auto"/>
        </w:rPr>
      </w:pPr>
    </w:p>
    <w:p>
      <w:pPr>
        <w:ind w:left="800" w:right="180" w:hanging="796"/>
        <w:spacing w:after="0" w:line="289" w:lineRule="auto"/>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b w:val="1"/>
          <w:bCs w:val="1"/>
          <w:color w:val="auto"/>
        </w:rPr>
        <w:t xml:space="preserve">Representation by Legal Counsel. </w:t>
      </w:r>
      <w:r>
        <w:rPr>
          <w:rFonts w:ascii="Arial" w:cs="Arial" w:eastAsia="Arial" w:hAnsi="Arial"/>
          <w:sz w:val="17"/>
          <w:szCs w:val="17"/>
          <w:color w:val="auto"/>
        </w:rPr>
        <w:t>Each Party hereto represents that it has been represented by legal counsel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64" w:lineRule="exact"/>
        <w:rPr>
          <w:sz w:val="20"/>
          <w:szCs w:val="20"/>
          <w:color w:val="auto"/>
        </w:rPr>
      </w:pPr>
    </w:p>
    <w:p>
      <w:pPr>
        <w:ind w:left="800" w:right="100" w:hanging="796"/>
        <w:spacing w:after="0" w:line="281" w:lineRule="auto"/>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request, delivery, approval or consent required or permitted to be given under this Agreement shall be in writing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sufficiently given if delivered in person, transmitted by facsimile (receipt verified) or by express courier service (signature required) or [*****] days after it was sent by registered letter, return receipt requested (or its equivalent), provided that no postal strike or other disruption is then in effect or comes into effect within [*****] days after such mailing,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269" w:right="23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Party to which it is directed at its address or facsimile number shown below or such other address or facsimile number as such Party will have last given by notice to the other Party.</w:t>
      </w:r>
    </w:p>
    <w:p>
      <w:pPr>
        <w:spacing w:after="0" w:line="18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860" w:type="dxa"/>
            <w:vAlign w:val="bottom"/>
            <w:gridSpan w:val="3"/>
          </w:tcPr>
          <w:p>
            <w:pPr>
              <w:spacing w:after="0"/>
              <w:rPr>
                <w:sz w:val="20"/>
                <w:szCs w:val="20"/>
                <w:color w:val="auto"/>
              </w:rPr>
            </w:pPr>
            <w:r>
              <w:rPr>
                <w:rFonts w:ascii="Arial" w:cs="Arial" w:eastAsia="Arial" w:hAnsi="Arial"/>
                <w:sz w:val="18"/>
                <w:szCs w:val="18"/>
                <w:color w:val="auto"/>
              </w:rPr>
              <w:t>If to Piramal Imaging:</w:t>
            </w:r>
          </w:p>
        </w:tc>
        <w:tc>
          <w:tcPr>
            <w:tcW w:w="3000" w:type="dxa"/>
            <w:vAlign w:val="bottom"/>
          </w:tcPr>
          <w:p>
            <w:pPr>
              <w:ind w:left="1260"/>
              <w:spacing w:after="0"/>
              <w:rPr>
                <w:sz w:val="20"/>
                <w:szCs w:val="20"/>
                <w:color w:val="auto"/>
              </w:rPr>
            </w:pPr>
            <w:r>
              <w:rPr>
                <w:rFonts w:ascii="Arial" w:cs="Arial" w:eastAsia="Arial" w:hAnsi="Arial"/>
                <w:sz w:val="18"/>
                <w:szCs w:val="18"/>
                <w:color w:val="auto"/>
              </w:rPr>
              <w:t>Piramal Imaging SA</w:t>
            </w:r>
          </w:p>
        </w:tc>
      </w:tr>
      <w:tr>
        <w:trPr>
          <w:trHeight w:val="222"/>
        </w:trPr>
        <w:tc>
          <w:tcPr>
            <w:tcW w:w="1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Route de l’Ecole 13</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1753 Matran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418"/>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Piramal Imaging Ltd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23, Science Park</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Cambridge-CB4 0EY</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418"/>
        </w:trPr>
        <w:tc>
          <w:tcPr>
            <w:tcW w:w="286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3000" w:type="dxa"/>
            <w:vAlign w:val="bottom"/>
          </w:tcPr>
          <w:p>
            <w:pPr>
              <w:ind w:left="1260"/>
              <w:spacing w:after="0"/>
              <w:rPr>
                <w:sz w:val="20"/>
                <w:szCs w:val="20"/>
                <w:color w:val="auto"/>
              </w:rPr>
            </w:pPr>
            <w:r>
              <w:rPr>
                <w:rFonts w:ascii="Arial" w:cs="Arial" w:eastAsia="Arial" w:hAnsi="Arial"/>
                <w:sz w:val="18"/>
                <w:szCs w:val="18"/>
                <w:color w:val="auto"/>
                <w:w w:val="91"/>
              </w:rPr>
              <w:t>Piramal Imaging GmbH</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Tegeler Straße 6-7</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13353 Berlin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392"/>
        </w:trPr>
        <w:tc>
          <w:tcPr>
            <w:tcW w:w="2860" w:type="dxa"/>
            <w:vAlign w:val="bottom"/>
            <w:gridSpan w:val="3"/>
          </w:tcPr>
          <w:p>
            <w:pPr>
              <w:spacing w:after="0"/>
              <w:rPr>
                <w:sz w:val="20"/>
                <w:szCs w:val="20"/>
                <w:color w:val="auto"/>
              </w:rPr>
            </w:pPr>
            <w:r>
              <w:rPr>
                <w:rFonts w:ascii="Arial" w:cs="Arial" w:eastAsia="Arial" w:hAnsi="Arial"/>
                <w:sz w:val="18"/>
                <w:szCs w:val="18"/>
                <w:color w:val="auto"/>
              </w:rPr>
              <w:t>If to AC Immune:</w:t>
            </w:r>
          </w:p>
        </w:tc>
        <w:tc>
          <w:tcPr>
            <w:tcW w:w="3000" w:type="dxa"/>
            <w:vAlign w:val="bottom"/>
          </w:tcPr>
          <w:p>
            <w:pPr>
              <w:ind w:left="1260"/>
              <w:spacing w:after="0"/>
              <w:rPr>
                <w:sz w:val="20"/>
                <w:szCs w:val="20"/>
                <w:color w:val="auto"/>
              </w:rPr>
            </w:pPr>
            <w:r>
              <w:rPr>
                <w:rFonts w:ascii="Arial" w:cs="Arial" w:eastAsia="Arial" w:hAnsi="Arial"/>
                <w:sz w:val="18"/>
                <w:szCs w:val="18"/>
                <w:color w:val="auto"/>
              </w:rPr>
              <w:t>AC Immune SA</w:t>
            </w:r>
          </w:p>
        </w:tc>
      </w:tr>
      <w:tr>
        <w:trPr>
          <w:trHeight w:val="222"/>
        </w:trPr>
        <w:tc>
          <w:tcPr>
            <w:tcW w:w="12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w w:val="98"/>
              </w:rPr>
              <w:t>EPFL Innovation Park</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Building B</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1015 Lausanne</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bl>
    <w:p>
      <w:pPr>
        <w:spacing w:after="0" w:line="225" w:lineRule="exact"/>
        <w:rPr>
          <w:sz w:val="20"/>
          <w:szCs w:val="20"/>
          <w:color w:val="auto"/>
        </w:rPr>
      </w:pPr>
    </w:p>
    <w:p>
      <w:pPr>
        <w:ind w:left="800" w:right="20" w:hanging="796"/>
        <w:spacing w:after="0" w:line="261" w:lineRule="auto"/>
        <w:tabs>
          <w:tab w:leader="none" w:pos="7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Parties hereto acknowledge that this Agreement, together with the Exhibits and Appendices attached hereto,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of the Parties hereto as to the subject matter hereof, and supersedes all prior and contemporaneous discussions, agreements and writings in respect. Except as required by statute, no terms shall be implied (whether by custom, usage or otherwise) into this Agreement. Each Party:</w:t>
      </w:r>
    </w:p>
    <w:p>
      <w:pPr>
        <w:spacing w:after="0" w:line="90" w:lineRule="exact"/>
        <w:rPr>
          <w:sz w:val="20"/>
          <w:szCs w:val="20"/>
          <w:color w:val="auto"/>
        </w:rPr>
      </w:pPr>
    </w:p>
    <w:p>
      <w:pPr>
        <w:ind w:left="1380" w:right="180" w:hanging="575"/>
        <w:spacing w:after="0" w:line="264" w:lineRule="auto"/>
        <w:tabs>
          <w:tab w:leader="none" w:pos="13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acknowledges that, in agreeing to enter into this Agreement, and save for any representation, undertaking or warranty contained in this Agreement, it has not relied on any express or implied representation, warranty, draft agreement, undertaking, promise collateral contract or other assurance or arrangement of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269" w:right="2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kind whether or not in writing made by or on behalf of any other party at any time before the signature of this agreement; and</w:t>
      </w:r>
    </w:p>
    <w:p>
      <w:pPr>
        <w:spacing w:after="0" w:line="131" w:lineRule="exact"/>
        <w:rPr>
          <w:sz w:val="20"/>
          <w:szCs w:val="20"/>
          <w:color w:val="auto"/>
        </w:rPr>
      </w:pPr>
    </w:p>
    <w:p>
      <w:pPr>
        <w:ind w:left="1380" w:right="280" w:hanging="575"/>
        <w:spacing w:after="0" w:line="277" w:lineRule="auto"/>
        <w:tabs>
          <w:tab w:leader="none" w:pos="13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waives all rights and remedies which, but for this subclause, might otherwise be available to it in respect of any such express or implied representation, warranty, collateral contract or other assurance.</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Nothing in this subclause limits or excludes any liability for fraud.</w:t>
      </w:r>
    </w:p>
    <w:p>
      <w:pPr>
        <w:spacing w:after="0" w:line="127" w:lineRule="exact"/>
        <w:rPr>
          <w:sz w:val="20"/>
          <w:szCs w:val="20"/>
          <w:color w:val="auto"/>
        </w:rPr>
      </w:pPr>
    </w:p>
    <w:p>
      <w:pPr>
        <w:ind w:left="800" w:right="280" w:hanging="796"/>
        <w:spacing w:after="0" w:line="282" w:lineRule="auto"/>
        <w:tabs>
          <w:tab w:leader="none" w:pos="7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b w:val="1"/>
          <w:bCs w:val="1"/>
          <w:color w:val="auto"/>
        </w:rPr>
        <w:t xml:space="preserve">Amendment. </w:t>
      </w:r>
      <w:r>
        <w:rPr>
          <w:rFonts w:ascii="Arial" w:cs="Arial" w:eastAsia="Arial" w:hAnsi="Arial"/>
          <w:sz w:val="18"/>
          <w:szCs w:val="18"/>
          <w:color w:val="auto"/>
        </w:rPr>
        <w:t>No amendment, modification or supplement of any provision of this Agreement shall be valid or effective unless made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a duly authorized officer of each Party.</w:t>
      </w:r>
    </w:p>
    <w:p>
      <w:pPr>
        <w:spacing w:after="0" w:line="67" w:lineRule="exact"/>
        <w:rPr>
          <w:sz w:val="20"/>
          <w:szCs w:val="20"/>
          <w:color w:val="auto"/>
        </w:rPr>
      </w:pPr>
    </w:p>
    <w:p>
      <w:pPr>
        <w:ind w:left="800" w:right="100" w:hanging="796"/>
        <w:spacing w:after="0" w:line="261" w:lineRule="auto"/>
        <w:tabs>
          <w:tab w:leader="none" w:pos="78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the Agreement shall be waived by any act, omission or knowledge of a Party or its agents or employees except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 writing expressly waiving such provision and signed by a duly authorized officer of the waiving Party. The waiver by any of the Parties of any breach of any provision hereof by another Party shall not be construed to be a waiver of any succeeding breach of such provision or a waiver of the provision itself.</w:t>
      </w:r>
    </w:p>
    <w:p>
      <w:pPr>
        <w:spacing w:after="0" w:line="86"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lf any clause or portion thereof in this Agreement is for any reason held to be invalid, illegal or unenforceable, the same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74" w:lineRule="exact"/>
        <w:rPr>
          <w:sz w:val="20"/>
          <w:szCs w:val="20"/>
          <w:color w:val="auto"/>
        </w:rPr>
      </w:pPr>
    </w:p>
    <w:p>
      <w:pPr>
        <w:ind w:left="800" w:right="80" w:hanging="796"/>
        <w:spacing w:after="0" w:line="277" w:lineRule="auto"/>
        <w:tabs>
          <w:tab w:leader="none" w:pos="78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7"/>
          <w:szCs w:val="17"/>
          <w:b w:val="1"/>
          <w:bCs w:val="1"/>
          <w:color w:val="auto"/>
        </w:rPr>
        <w:t xml:space="preserve">Relationship of the Parties. </w:t>
      </w:r>
      <w:r>
        <w:rPr>
          <w:rFonts w:ascii="Arial" w:cs="Arial" w:eastAsia="Arial" w:hAnsi="Arial"/>
          <w:sz w:val="17"/>
          <w:szCs w:val="17"/>
          <w:color w:val="auto"/>
        </w:rPr>
        <w:t>The Parties agree that the relationship of Piramal and AC Immune established by this Agreement is that of</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contractors. Furthermore, the Parties agree that this Agreement does not, is not intended to, and shall not be construed to, establish an employment, agency, partnership or any other relationship. Except as may be specifically provided herein, no Party shall have any right, power or authority, nor shall they represent themselves as having any authority to assume, create or incur any expense, liability or obligation, express or implied, on behalf of any other Party, or otherwise act as an agent for any other Party for any purpose.</w:t>
      </w:r>
    </w:p>
    <w:p>
      <w:pPr>
        <w:spacing w:after="0" w:line="74" w:lineRule="exact"/>
        <w:rPr>
          <w:sz w:val="20"/>
          <w:szCs w:val="20"/>
          <w:color w:val="auto"/>
        </w:rPr>
      </w:pPr>
    </w:p>
    <w:p>
      <w:pPr>
        <w:ind w:left="800" w:right="20" w:hanging="796"/>
        <w:spacing w:after="0" w:line="255" w:lineRule="auto"/>
        <w:tabs>
          <w:tab w:leader="none" w:pos="78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The captions and headings to this Agreement are for convenience only, and are to be of no force or effect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any of the provisions of this Agreement. Unless specified to the contrary, references to Articles, Sections, Exhibits or Appendices shall refer to the particular Articles, Sections, Exhibits or Appendices of or to this Agreement and references to this Agreement include all Exhibits and Appendices hereto. Unless context otherwise clearly requires, whenever used in this Agreement: (a) the words “include” or “including” shall be construed as incorporating, also, “but not limited to” or “without limitation;” (b) the word “notice” shall mean notice in writing (whether or not specifically stated) and shall include notices, consents, approvals and other written communications contemplated under this Agreement; (c) the word “hereof,”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270" w:right="2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20"/>
        <w:spacing w:after="0" w:line="276" w:lineRule="auto"/>
        <w:rPr>
          <w:sz w:val="20"/>
          <w:szCs w:val="20"/>
          <w:color w:val="auto"/>
        </w:rPr>
      </w:pPr>
      <w:r>
        <w:rPr>
          <w:rFonts w:ascii="Arial" w:cs="Arial" w:eastAsia="Arial" w:hAnsi="Arial"/>
          <w:sz w:val="17"/>
          <w:szCs w:val="17"/>
          <w:color w:val="auto"/>
        </w:rPr>
        <w:t>“herein,” “hereby” and derivative or similar word refers to this Agreement (including any Exhibits); (d) the word “or” shall have its inclusive meaning identified with the phrase “and/or;” (e) the words “will” and “shall” shall have the same obligatory meaning; (f) 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and (h) words using the singular or plural number also include the plural or singular number, respectively.</w:t>
      </w:r>
    </w:p>
    <w:p>
      <w:pPr>
        <w:spacing w:after="0" w:line="74" w:lineRule="exact"/>
        <w:rPr>
          <w:sz w:val="20"/>
          <w:szCs w:val="20"/>
          <w:color w:val="auto"/>
        </w:rPr>
      </w:pPr>
    </w:p>
    <w:p>
      <w:pPr>
        <w:ind w:left="800" w:right="100" w:hanging="796"/>
        <w:spacing w:after="0" w:line="292" w:lineRule="auto"/>
        <w:tabs>
          <w:tab w:leader="none" w:pos="78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b w:val="1"/>
          <w:bCs w:val="1"/>
          <w:color w:val="auto"/>
        </w:rPr>
        <w:t xml:space="preserve">Third Party Beneficiaries. </w:t>
      </w:r>
      <w:r>
        <w:rPr>
          <w:rFonts w:ascii="Arial" w:cs="Arial" w:eastAsia="Arial" w:hAnsi="Arial"/>
          <w:sz w:val="16"/>
          <w:szCs w:val="16"/>
          <w:color w:val="auto"/>
        </w:rPr>
        <w:t>Except for the rights to indemnification provided for a Party’s Indemnitees pursuant to Article 13, all rights,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and remedies under this Agreement are solely intended for the benefit of the Parties (including any successor in interest or permitted assigns), and except rights to indemnification expressly provided pursuant to Article 13, no Third Party shall have any rights whatsoever to (a) enforce any obligation contained in this Agreement (b) seek a benefit or remedy for any breach of this Agreement, or (c) take any other action relating to this Agreement under any legal theory, including but not limited to, actions in contract, tort (including but not limited to negligence, gross negligence and strict liability), or as a defense, setoff or counterclaim to any action or claim brought or made by the Parties. Without limiting the foregoing, a person who is not a Party to this Agreement may not enforce any of its terms under the Contracts (Rights of Third Parties) Act 1999.</w:t>
      </w:r>
    </w:p>
    <w:p>
      <w:pPr>
        <w:spacing w:after="0" w:line="67"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need not contain the signature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such counterparts taken together shall constitute one and the same agreement. Any signature page delivered by facsimile or electronic image transmission shall be binding to the same extent as an original signature page.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270" w:right="2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hereto have executed this Agreement by their duly authorized representatives as of the dates set forth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9, 2014</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9, 2014</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Piramal Imaging SA</w:t>
            </w:r>
          </w:p>
        </w:tc>
        <w:tc>
          <w:tcPr>
            <w:tcW w:w="6060" w:type="dxa"/>
            <w:vAlign w:val="bottom"/>
            <w:gridSpan w:val="3"/>
          </w:tcPr>
          <w:p>
            <w:pPr>
              <w:ind w:left="72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L. Dinkelborg</w:t>
            </w:r>
          </w:p>
        </w:tc>
        <w:tc>
          <w:tcPr>
            <w:tcW w:w="6060" w:type="dxa"/>
            <w:vAlign w:val="bottom"/>
            <w:gridSpan w:val="3"/>
          </w:tcPr>
          <w:p>
            <w:pPr>
              <w:ind w:left="720"/>
              <w:spacing w:after="0"/>
              <w:rPr>
                <w:sz w:val="20"/>
                <w:szCs w:val="20"/>
                <w:color w:val="auto"/>
              </w:rPr>
            </w:pPr>
            <w:r>
              <w:rPr>
                <w:rFonts w:ascii="Arial" w:cs="Arial" w:eastAsia="Arial" w:hAnsi="Arial"/>
                <w:sz w:val="18"/>
                <w:szCs w:val="18"/>
                <w:color w:val="auto"/>
              </w:rPr>
              <w:t>/s/ A. Pfeifer</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 Dinkelborg</w:t>
            </w: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Pfeifer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Director of the board</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09, 2014</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09, 2014</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Piramal Imaging SA</w:t>
            </w:r>
          </w:p>
        </w:tc>
        <w:tc>
          <w:tcPr>
            <w:tcW w:w="6060" w:type="dxa"/>
            <w:vAlign w:val="bottom"/>
            <w:gridSpan w:val="3"/>
          </w:tcPr>
          <w:p>
            <w:pPr>
              <w:ind w:left="72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Rajesh Laddha</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w w:val="97"/>
              </w:rPr>
              <w:t>/s/ A. Muhs</w:t>
            </w:r>
          </w:p>
        </w:tc>
        <w:tc>
          <w:tcPr>
            <w:tcW w:w="4440" w:type="dxa"/>
            <w:vAlign w:val="bottom"/>
          </w:tcPr>
          <w:p>
            <w:pPr>
              <w:spacing w:after="0"/>
              <w:rPr>
                <w:sz w:val="24"/>
                <w:szCs w:val="24"/>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Rajesh Laddha</w:t>
            </w: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Muhs</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CSO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 – AC Immune Tau Protein Imaging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 Initial Development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Appendix 1 – Selection Criteria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2 – Patent Filing Country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3 – Research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270" w:right="2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TAU PROTEIN IMAGING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269" w:right="2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b w:val="1"/>
                <w:bCs w:val="1"/>
                <w:color w:val="auto"/>
                <w:w w:val="94"/>
              </w:rPr>
              <w:t>Exhibit B</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b w:val="1"/>
                <w:bCs w:val="1"/>
                <w:color w:val="auto"/>
              </w:rPr>
              <w:t>INITIAL DEVELOPMENT PLAN</w:t>
            </w: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Task</w:t>
            </w:r>
          </w:p>
        </w:tc>
        <w:tc>
          <w:tcPr>
            <w:tcW w:w="1240" w:type="dxa"/>
            <w:vAlign w:val="bottom"/>
            <w:gridSpan w:val="2"/>
          </w:tcPr>
          <w:p>
            <w:pPr>
              <w:spacing w:after="0"/>
              <w:rPr>
                <w:sz w:val="24"/>
                <w:szCs w:val="24"/>
                <w:color w:val="auto"/>
              </w:rPr>
            </w:pPr>
          </w:p>
        </w:tc>
        <w:tc>
          <w:tcPr>
            <w:tcW w:w="6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 (months)</w:t>
            </w:r>
          </w:p>
        </w:tc>
        <w:tc>
          <w:tcPr>
            <w:tcW w:w="0" w:type="dxa"/>
            <w:vAlign w:val="bottom"/>
          </w:tcPr>
          <w:p>
            <w:pPr>
              <w:spacing w:after="0"/>
              <w:rPr>
                <w:sz w:val="1"/>
                <w:szCs w:val="1"/>
                <w:color w:val="auto"/>
              </w:rPr>
            </w:pPr>
          </w:p>
        </w:tc>
      </w:tr>
      <w:tr>
        <w:trPr>
          <w:trHeight w:val="204"/>
        </w:trPr>
        <w:tc>
          <w:tcPr>
            <w:tcW w:w="1840" w:type="dxa"/>
            <w:vAlign w:val="bottom"/>
            <w:vMerge w:val="restart"/>
          </w:tcPr>
          <w:p>
            <w:pPr>
              <w:jc w:val="right"/>
              <w:ind w:right="1170"/>
              <w:spacing w:after="0"/>
              <w:rPr>
                <w:sz w:val="20"/>
                <w:szCs w:val="20"/>
                <w:color w:val="auto"/>
              </w:rPr>
            </w:pPr>
            <w:r>
              <w:rPr>
                <w:rFonts w:ascii="Arial" w:cs="Arial" w:eastAsia="Arial" w:hAnsi="Arial"/>
                <w:sz w:val="18"/>
                <w:szCs w:val="18"/>
                <w:color w:val="auto"/>
              </w:rPr>
              <w:t>[*****]</w:t>
            </w:r>
          </w:p>
        </w:tc>
        <w:tc>
          <w:tcPr>
            <w:tcW w:w="1540" w:type="dxa"/>
            <w:vAlign w:val="bottom"/>
            <w:gridSpan w:val="3"/>
          </w:tcPr>
          <w:p>
            <w:pPr>
              <w:spacing w:after="0" w:line="204" w:lineRule="exact"/>
              <w:rPr>
                <w:sz w:val="20"/>
                <w:szCs w:val="20"/>
                <w:color w:val="auto"/>
              </w:rPr>
            </w:pPr>
            <w:r>
              <w:rPr>
                <w:rFonts w:ascii="Arial" w:cs="Arial" w:eastAsia="Arial" w:hAnsi="Arial"/>
                <w:sz w:val="18"/>
                <w:szCs w:val="18"/>
                <w:color w:val="auto"/>
              </w:rPr>
              <w:t>[*****]</w:t>
            </w:r>
          </w:p>
        </w:tc>
        <w:tc>
          <w:tcPr>
            <w:tcW w:w="53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Outcome</w:t>
            </w: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98"/>
              </w:rPr>
              <w:t>Design</w:t>
            </w: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640" w:type="dxa"/>
            <w:vAlign w:val="bottom"/>
            <w:gridSpan w:val="2"/>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8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color w:val="auto"/>
                <w:w w:val="86"/>
              </w:rPr>
              <w:t>Page 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270" w:right="239" w:bottom="1440" w:gutter="0" w:footer="0" w:header="0"/>
        </w:sectPr>
      </w:pPr>
    </w:p>
    <w:bookmarkStart w:id="415" w:name="page416"/>
    <w:bookmarkEnd w:id="415"/>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694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8"/>
              </w:rPr>
              <w:t>APPENDIX 1</w:t>
            </w:r>
          </w:p>
        </w:tc>
      </w:tr>
      <w:tr>
        <w:trPr>
          <w:trHeight w:val="432"/>
        </w:trPr>
        <w:tc>
          <w:tcPr>
            <w:tcW w:w="820" w:type="dxa"/>
            <w:vAlign w:val="bottom"/>
          </w:tcPr>
          <w:p>
            <w:pPr>
              <w:spacing w:after="0"/>
              <w:rPr>
                <w:sz w:val="24"/>
                <w:szCs w:val="24"/>
                <w:color w:val="auto"/>
              </w:rPr>
            </w:pPr>
          </w:p>
        </w:tc>
        <w:tc>
          <w:tcPr>
            <w:tcW w:w="69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rPr>
              <w:t>SELECTION CRITERIA</w:t>
            </w:r>
          </w:p>
        </w:tc>
      </w:tr>
      <w:tr>
        <w:trPr>
          <w:trHeight w:val="41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6940" w:type="dxa"/>
            <w:vAlign w:val="bottom"/>
            <w:gridSpan w:val="2"/>
          </w:tcPr>
          <w:p>
            <w:pPr>
              <w:jc w:val="center"/>
              <w:ind w:left="6094"/>
              <w:spacing w:after="0"/>
              <w:rPr>
                <w:sz w:val="20"/>
                <w:szCs w:val="20"/>
                <w:color w:val="auto"/>
              </w:rPr>
            </w:pPr>
            <w:r>
              <w:rPr>
                <w:rFonts w:ascii="Arial" w:cs="Arial" w:eastAsia="Arial" w:hAnsi="Arial"/>
                <w:sz w:val="14"/>
                <w:szCs w:val="14"/>
                <w:b w:val="1"/>
                <w:bCs w:val="1"/>
                <w:color w:val="auto"/>
              </w:rPr>
              <w:t>CRITERIA</w:t>
            </w:r>
          </w:p>
        </w:tc>
      </w:t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50"/>
        </w:trPr>
        <w:tc>
          <w:tcPr>
            <w:tcW w:w="820" w:type="dxa"/>
            <w:vAlign w:val="bottom"/>
          </w:tcPr>
          <w:p>
            <w:pPr>
              <w:spacing w:after="0"/>
              <w:rPr>
                <w:sz w:val="24"/>
                <w:szCs w:val="24"/>
                <w:color w:val="auto"/>
              </w:rPr>
            </w:pPr>
          </w:p>
        </w:tc>
        <w:tc>
          <w:tcPr>
            <w:tcW w:w="6940" w:type="dxa"/>
            <w:vAlign w:val="bottom"/>
            <w:gridSpan w:val="2"/>
          </w:tcPr>
          <w:p>
            <w:pPr>
              <w:jc w:val="center"/>
              <w:ind w:right="750"/>
              <w:spacing w:after="0"/>
              <w:rPr>
                <w:sz w:val="20"/>
                <w:szCs w:val="20"/>
                <w:color w:val="auto"/>
              </w:rPr>
            </w:pPr>
            <w:r>
              <w:rPr>
                <w:rFonts w:ascii="Arial" w:cs="Arial" w:eastAsia="Arial" w:hAnsi="Arial"/>
                <w:sz w:val="18"/>
                <w:szCs w:val="18"/>
                <w:color w:val="auto"/>
                <w:w w:val="86"/>
              </w:rPr>
              <w:t>Page 44</w:t>
            </w:r>
          </w:p>
        </w:tc>
      </w:tr>
    </w:tbl>
    <w:p>
      <w:pPr>
        <w:sectPr>
          <w:pgSz w:w="11900" w:h="16838" w:orient="portrait"/>
          <w:cols w:equalWidth="0" w:num="1">
            <w:col w:w="10220"/>
          </w:cols>
          <w:pgMar w:left="1440" w:top="270" w:right="2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FILING COUNTRY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270" w:right="2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8"/>
              </w:rPr>
              <w:t>APPENDIX 3</w:t>
            </w:r>
          </w:p>
        </w:tc>
      </w:tr>
      <w:tr>
        <w:trPr>
          <w:trHeight w:val="392"/>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1"/>
              </w:rPr>
              <w:t>Initial Research Plan</w:t>
            </w:r>
          </w:p>
        </w:tc>
      </w:tr>
      <w:tr>
        <w:trPr>
          <w:trHeight w:val="412"/>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Profiling of Lead Candidates</w:t>
            </w:r>
          </w:p>
        </w:tc>
        <w:tc>
          <w:tcPr>
            <w:tcW w:w="2800" w:type="dxa"/>
            <w:vAlign w:val="bottom"/>
            <w:gridSpan w:val="2"/>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Task</w:t>
            </w: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80" w:type="dxa"/>
            <w:vAlign w:val="bottom"/>
            <w:gridSpan w:val="2"/>
          </w:tcPr>
          <w:p>
            <w:pPr>
              <w:jc w:val="center"/>
              <w:ind w:left="1988"/>
              <w:spacing w:after="0"/>
              <w:rPr>
                <w:sz w:val="20"/>
                <w:szCs w:val="20"/>
                <w:color w:val="auto"/>
              </w:rPr>
            </w:pPr>
            <w:r>
              <w:rPr>
                <w:rFonts w:ascii="Arial" w:cs="Arial" w:eastAsia="Arial" w:hAnsi="Arial"/>
                <w:sz w:val="14"/>
                <w:szCs w:val="14"/>
                <w:b w:val="1"/>
                <w:bCs w:val="1"/>
                <w:color w:val="auto"/>
                <w:w w:val="96"/>
              </w:rPr>
              <w:t>Time (months)*</w:t>
            </w:r>
          </w:p>
        </w:tc>
      </w:tr>
      <w:tr>
        <w:trPr>
          <w:trHeight w:val="189"/>
        </w:trPr>
        <w:tc>
          <w:tcPr>
            <w:tcW w:w="1840" w:type="dxa"/>
            <w:vAlign w:val="bottom"/>
          </w:tcPr>
          <w:p>
            <w:pPr>
              <w:spacing w:after="0"/>
              <w:rPr>
                <w:sz w:val="16"/>
                <w:szCs w:val="16"/>
                <w:color w:val="auto"/>
              </w:rPr>
            </w:pPr>
          </w:p>
        </w:tc>
        <w:tc>
          <w:tcPr>
            <w:tcW w:w="3060" w:type="dxa"/>
            <w:vAlign w:val="bottom"/>
            <w:gridSpan w:val="3"/>
          </w:tcPr>
          <w:p>
            <w:pPr>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Candidate(s) selection</w:t>
            </w: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900" w:type="dxa"/>
            <w:vAlign w:val="bottom"/>
            <w:gridSpan w:val="4"/>
          </w:tcPr>
          <w:p>
            <w:pPr>
              <w:ind w:left="1840"/>
              <w:spacing w:after="0"/>
              <w:rPr>
                <w:sz w:val="20"/>
                <w:szCs w:val="20"/>
                <w:color w:val="auto"/>
              </w:rPr>
            </w:pPr>
            <w:r>
              <w:rPr>
                <w:rFonts w:ascii="Arial" w:cs="Arial" w:eastAsia="Arial" w:hAnsi="Arial"/>
                <w:sz w:val="18"/>
                <w:szCs w:val="18"/>
                <w:color w:val="auto"/>
              </w:rPr>
              <w:t>[*****]</w:t>
            </w:r>
          </w:p>
        </w:tc>
        <w:tc>
          <w:tcPr>
            <w:tcW w:w="4700" w:type="dxa"/>
            <w:vAlign w:val="bottom"/>
            <w:gridSpan w:val="3"/>
          </w:tcPr>
          <w:p>
            <w:pPr>
              <w:jc w:val="center"/>
              <w:ind w:left="3610"/>
              <w:spacing w:after="0"/>
              <w:rPr>
                <w:sz w:val="20"/>
                <w:szCs w:val="20"/>
                <w:color w:val="auto"/>
              </w:rPr>
            </w:pPr>
            <w:r>
              <w:rPr>
                <w:rFonts w:ascii="Arial" w:cs="Arial" w:eastAsia="Arial" w:hAnsi="Arial"/>
                <w:sz w:val="18"/>
                <w:szCs w:val="18"/>
                <w:color w:val="auto"/>
              </w:rPr>
              <w:t>[*****]</w:t>
            </w:r>
          </w:p>
        </w:tc>
      </w:tr>
      <w:tr>
        <w:trPr>
          <w:trHeight w:val="459"/>
        </w:trPr>
        <w:tc>
          <w:tcPr>
            <w:tcW w:w="18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color w:val="auto"/>
                <w:w w:val="86"/>
              </w:rPr>
              <w:t>Page 46</w:t>
            </w:r>
          </w:p>
        </w:tc>
      </w:tr>
    </w:tbl>
    <w:p>
      <w:pPr>
        <w:sectPr>
          <w:pgSz w:w="11900" w:h="16838" w:orient="portrait"/>
          <w:cols w:equalWidth="0" w:num="1">
            <w:col w:w="11420"/>
          </w:cols>
          <w:pgMar w:left="240" w:top="269"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270" w:right="2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JANSSEN PHARMACEUTICALS,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AC IMMUNE SA</w:t>
      </w:r>
    </w:p>
    <w:p>
      <w:pPr>
        <w:sectPr>
          <w:pgSz w:w="11900" w:h="16838" w:orient="portrait"/>
          <w:cols w:equalWidth="0" w:num="1">
            <w:col w:w="10220"/>
          </w:cols>
          <w:pgMar w:left="1440" w:top="121" w:right="239" w:bottom="1440" w:gutter="0" w:footer="0" w:header="0"/>
        </w:sectPr>
      </w:pPr>
    </w:p>
    <w:bookmarkStart w:id="420" w:name="page421"/>
    <w:bookmarkEnd w:id="4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This license, development and commercialization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December 24, 2014 and is between Janssen Pharmaceuticals, Inc., a Pennsylvania company (“Janssen”) and AC Immune SA, a Swiss company (“</w:t>
      </w:r>
      <w:r>
        <w:rPr>
          <w:rFonts w:ascii="Arial" w:cs="Arial" w:eastAsia="Arial" w:hAnsi="Arial"/>
          <w:sz w:val="18"/>
          <w:szCs w:val="18"/>
          <w:b w:val="1"/>
          <w:bCs w:val="1"/>
          <w:color w:val="auto"/>
        </w:rPr>
        <w:t>ACI</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ACI conducts research and develops therapeutics for the treatment of proteinopathy diseases including Alzheimer’s disease and other neurological disorders.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ACI has identified Tau specific peptides (“Tau peptides”)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Janssen develops and commercializes therapeutics in areas that include neurological disorders and wants to further develop and commercialize ACI’s Tau peptide-based vaccines which have desirable efficacy and safety.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want to conduct joint research to identify and develop Tau peptides for use as vaccines and have Janssen commercialize such Tau peptide-based vaccines which have desirable efficacy and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parties therefore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31" w:lineRule="exact"/>
        <w:rPr>
          <w:sz w:val="20"/>
          <w:szCs w:val="20"/>
          <w:color w:val="auto"/>
        </w:rPr>
      </w:pPr>
    </w:p>
    <w:p>
      <w:pPr>
        <w:ind w:left="580" w:right="2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Know-How</w:t>
      </w:r>
      <w:r>
        <w:rPr>
          <w:rFonts w:ascii="Arial" w:cs="Arial" w:eastAsia="Arial" w:hAnsi="Arial"/>
          <w:sz w:val="18"/>
          <w:szCs w:val="18"/>
          <w:color w:val="auto"/>
        </w:rPr>
        <w:t xml:space="preserve">” means all information, materials, Inventions and trade secrets, not generally known to the public, that do not fall within the ACI Patent Rights, and that are Controlled by ACI or any of its Affiliates (a) (i) as of the Effective Date, or (ii) are discovered, created or developed, in the course of ACI’s performance of activities under this Agreement, and (b) are related to the Research, Development, use, Manufacture or Commercialization of any Product;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“ACI Know-How” [*****].</w:t>
      </w:r>
    </w:p>
    <w:p>
      <w:pPr>
        <w:spacing w:after="0" w:line="86" w:lineRule="exact"/>
        <w:rPr>
          <w:sz w:val="20"/>
          <w:szCs w:val="20"/>
          <w:color w:val="auto"/>
        </w:rPr>
      </w:pPr>
    </w:p>
    <w:p>
      <w:pPr>
        <w:ind w:left="580" w:right="3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Patent Rights</w:t>
      </w:r>
      <w:r>
        <w:rPr>
          <w:rFonts w:ascii="Arial" w:cs="Arial" w:eastAsia="Arial" w:hAnsi="Arial"/>
          <w:sz w:val="18"/>
          <w:szCs w:val="18"/>
          <w:color w:val="auto"/>
        </w:rPr>
        <w:t xml:space="preserve">” means all Patent Rights Controlled by ACI or any of its Affiliates that would be infringed by the making, using, selling, offering for sale, or import of a Product, but for the licenses granted in this Agreement. ACI Patent Rights as of the Effective Date are set forth on </w:t>
      </w:r>
      <w:r>
        <w:rPr>
          <w:rFonts w:ascii="Arial" w:cs="Arial" w:eastAsia="Arial" w:hAnsi="Arial"/>
          <w:sz w:val="18"/>
          <w:szCs w:val="18"/>
          <w:u w:val="single" w:color="auto"/>
          <w:color w:val="auto"/>
        </w:rPr>
        <w:t>Schedule 10.1.5</w:t>
      </w:r>
      <w:r>
        <w:rPr>
          <w:rFonts w:ascii="Arial" w:cs="Arial" w:eastAsia="Arial" w:hAnsi="Arial"/>
          <w:sz w:val="18"/>
          <w:szCs w:val="18"/>
          <w:color w:val="auto"/>
        </w:rPr>
        <w:t>.</w:t>
      </w:r>
    </w:p>
    <w:p>
      <w:pPr>
        <w:spacing w:after="0" w:line="82" w:lineRule="exact"/>
        <w:rPr>
          <w:sz w:val="20"/>
          <w:szCs w:val="20"/>
          <w:color w:val="auto"/>
        </w:rPr>
      </w:pPr>
    </w:p>
    <w:p>
      <w:pPr>
        <w:ind w:left="580" w:right="6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 Indication</w:t>
      </w:r>
      <w:r>
        <w:rPr>
          <w:rFonts w:ascii="Arial" w:cs="Arial" w:eastAsia="Arial" w:hAnsi="Arial"/>
          <w:sz w:val="18"/>
          <w:szCs w:val="18"/>
          <w:color w:val="auto"/>
        </w:rPr>
        <w:t>” means any Alzheimer’s disease (AD) Indication listed under the header “INDICATIONS AND USAGE” of a Product’s approved label upon Regulatory Approval for the Product by a Regulatory Authority, including any patient group, population or subpopulation, including but not limited to an indication for preclinical or asymptomatic at risk, prodromal or mild cognitive impairment due to AD, mild, moderate or severe AD, familial AD, AD with mixed pathology or mixed AD with cardiovascular dementia.</w:t>
      </w:r>
    </w:p>
    <w:p>
      <w:pPr>
        <w:spacing w:after="0" w:line="86" w:lineRule="exact"/>
        <w:rPr>
          <w:sz w:val="20"/>
          <w:szCs w:val="20"/>
          <w:color w:val="auto"/>
        </w:rPr>
      </w:pPr>
    </w:p>
    <w:p>
      <w:pPr>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controls, is controlled by or is under direct or indirect common control with, such person. For purposes of this section 1.4, the term “control” means the possession, direct or indirect, of the power to direct or cause the direction of the management and policies of a person, whether through the ownership of voting securities, by contract or otherwise. Control of any person by another person will be presumed if fifty percent (50%) or more of the securities or other ownership interests representing the equity, the voting stock or general partnership interest of the first person are owned, controlled or held, directly or indirectly, by the other person, or by an Affiliate of the other person. A person, for the purpose of this definition, means any individual,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421" w:name="page422"/>
    <w:bookmarkEnd w:id="4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corporation, partnership, association, joint-stock company, trust, unincorporated organization or government or political subdivision thereof.</w:t>
      </w:r>
    </w:p>
    <w:p>
      <w:pPr>
        <w:spacing w:after="0" w:line="138" w:lineRule="exact"/>
        <w:rPr>
          <w:sz w:val="20"/>
          <w:szCs w:val="20"/>
          <w:color w:val="auto"/>
        </w:rPr>
      </w:pPr>
    </w:p>
    <w:p>
      <w:pPr>
        <w:ind w:left="580" w:right="40" w:hanging="566"/>
        <w:spacing w:after="0" w:line="255" w:lineRule="auto"/>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Biosimilar Product</w:t>
      </w:r>
      <w:r>
        <w:rPr>
          <w:rFonts w:ascii="Arial" w:cs="Arial" w:eastAsia="Arial" w:hAnsi="Arial"/>
          <w:sz w:val="18"/>
          <w:szCs w:val="18"/>
          <w:color w:val="auto"/>
        </w:rPr>
        <w:t>” means: (a) in respect of a Product sold in the United States, a biological product approved under the Public Health Service Act 351(k) that is highly similar to such Product, notwithstanding minor differences in clinically inactive components, and for which there are no clinically meaningful differences between the biosimilar and the Product in terms of the safety, purity and potency; (b) in respect of a Product sold in the EU, a biological product approved under Article 10(4) of Directive 2001/83/EC and Section 4, Part II, Annex I to such Directive based on the demonstration of the similar nature of such biological medicinal product and Product; and (c) in respect of a Product sold outside the United States and the EU, a biological product approved under a similar regulatory pathway as in the United States and in the European Union, if such pathway exists.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BLA</w:t>
      </w:r>
      <w:r>
        <w:rPr>
          <w:rFonts w:ascii="Arial" w:cs="Arial" w:eastAsia="Arial" w:hAnsi="Arial"/>
          <w:sz w:val="16"/>
          <w:szCs w:val="16"/>
          <w:color w:val="auto"/>
        </w:rPr>
        <w:t>” means a biologics license application, or similar application, submitted to a Regulatory Authority.</w:t>
      </w:r>
    </w:p>
    <w:p>
      <w:pPr>
        <w:spacing w:after="0" w:line="131" w:lineRule="exact"/>
        <w:rPr>
          <w:sz w:val="20"/>
          <w:szCs w:val="20"/>
          <w:color w:val="auto"/>
        </w:rPr>
      </w:pPr>
    </w:p>
    <w:p>
      <w:pPr>
        <w:ind w:left="580" w:hanging="566"/>
        <w:spacing w:after="0" w:line="314" w:lineRule="auto"/>
        <w:tabs>
          <w:tab w:leader="none" w:pos="5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xml:space="preserve">” means a calendar quarter during any Calendar Year based on the J&amp;J Universal Calendar (pursuant to </w:t>
      </w:r>
      <w:r>
        <w:rPr>
          <w:rFonts w:ascii="Arial" w:cs="Arial" w:eastAsia="Arial" w:hAnsi="Arial"/>
          <w:sz w:val="16"/>
          <w:szCs w:val="16"/>
          <w:u w:val="single" w:color="auto"/>
          <w:color w:val="auto"/>
        </w:rPr>
        <w:t>Schedule 1.7</w:t>
      </w:r>
      <w:r>
        <w:rPr>
          <w:rFonts w:ascii="Arial" w:cs="Arial" w:eastAsia="Arial" w:hAnsi="Arial"/>
          <w:sz w:val="16"/>
          <w:szCs w:val="16"/>
          <w:color w:val="auto"/>
        </w:rPr>
        <w:t>) for that year consistent with the J&amp;J Universal Calendar used for Janssen’s internal business purposes; provided, however that the last Calendar Quarter under this Agreement will extend from the first day of such Calendar Quarter until the effective date of the termination or expiration of this Agreement.</w:t>
      </w:r>
    </w:p>
    <w:p>
      <w:pPr>
        <w:spacing w:after="0" w:line="48" w:lineRule="exact"/>
        <w:rPr>
          <w:sz w:val="20"/>
          <w:szCs w:val="20"/>
          <w:color w:val="auto"/>
        </w:rPr>
      </w:pPr>
    </w:p>
    <w:p>
      <w:pPr>
        <w:ind w:left="580" w:right="2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a calendar year during the term of this Agreement based on the J&amp;J Universal Calendar for that year consistent with the J&amp;J Universal Calendar used for Janssen’s internal business purposes; provided, however that the last Calendar Year under this Agreement will extend from the first day of such Calendar Year until the effective date of the termination or expiration of this Agreement.</w:t>
      </w:r>
    </w:p>
    <w:p>
      <w:pPr>
        <w:spacing w:after="0" w:line="64" w:lineRule="exact"/>
        <w:rPr>
          <w:sz w:val="20"/>
          <w:szCs w:val="20"/>
          <w:color w:val="auto"/>
        </w:rPr>
      </w:pPr>
    </w:p>
    <w:p>
      <w:pPr>
        <w:ind w:left="580" w:right="120" w:hanging="566"/>
        <w:spacing w:after="0" w:line="256" w:lineRule="auto"/>
        <w:tabs>
          <w:tab w:leader="none" w:pos="5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cGCP</w:t>
      </w:r>
      <w:r>
        <w:rPr>
          <w:rFonts w:ascii="Arial" w:cs="Arial" w:eastAsia="Arial" w:hAnsi="Arial"/>
          <w:sz w:val="18"/>
          <w:szCs w:val="18"/>
          <w:color w:val="auto"/>
        </w:rPr>
        <w:t>” means the current Good Clinical Practice standards for the design, conduct, performance, monitoring, auditing, recording, analysis, and reporting of clinical trials, including: (a) the requirements in Parts 11, 50, 54, 56, 312, and 314 of Title 21 of the Code of Federal Regulations and all related guidance published by the FDA, that provide assurance that the data and reported results are credible and accurate, and that the rights, integrity, and confidentiality of trial subjects are protected, (b) as required by Law in countries other than the United States where Clinical Trials are conducted, and (c) as required by Law in countries other than the United States where data from Clinical Trials conducted in other countries may be used for Regulatory Approval.</w:t>
      </w:r>
    </w:p>
    <w:p>
      <w:pPr>
        <w:spacing w:after="0" w:line="93"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cGLP</w:t>
      </w:r>
      <w:r>
        <w:rPr>
          <w:rFonts w:ascii="Arial" w:cs="Arial" w:eastAsia="Arial" w:hAnsi="Arial"/>
          <w:sz w:val="18"/>
          <w:szCs w:val="18"/>
          <w:color w:val="auto"/>
        </w:rPr>
        <w:t>” means the current Good Laboratory Practices (a) the requirements in Part 58 of Title 21 of the Code of Federal Regulations and all related guidance published by the FDA, (b) as required by Law in countries other than the United States where non-clinical laboratory studies are conducted, and (c) as required by Law in countries other than the United States where data from non-clinical laboratory studies conducted in other countries may be used to obtain Regulatory Approval.</w:t>
      </w:r>
    </w:p>
    <w:p>
      <w:pPr>
        <w:spacing w:after="0" w:line="86" w:lineRule="exact"/>
        <w:rPr>
          <w:sz w:val="20"/>
          <w:szCs w:val="20"/>
          <w:color w:val="auto"/>
        </w:rPr>
      </w:pPr>
    </w:p>
    <w:p>
      <w:pPr>
        <w:ind w:left="580" w:right="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means the current practices for the Manufacture of Peptide or Product required: (a) if the Peptide or Product is to be supplied to a region covered by The International Conference on Harmonization of Technical Requirements for Registration of Pharmaceuticals for Human Use (“</w:t>
      </w:r>
      <w:r>
        <w:rPr>
          <w:rFonts w:ascii="Arial" w:cs="Arial" w:eastAsia="Arial" w:hAnsi="Arial"/>
          <w:sz w:val="18"/>
          <w:szCs w:val="18"/>
          <w:u w:val="single" w:color="auto"/>
          <w:color w:val="auto"/>
        </w:rPr>
        <w:t>ICH</w:t>
      </w:r>
      <w:r>
        <w:rPr>
          <w:rFonts w:ascii="Arial" w:cs="Arial" w:eastAsia="Arial" w:hAnsi="Arial"/>
          <w:sz w:val="18"/>
          <w:szCs w:val="18"/>
          <w:color w:val="auto"/>
        </w:rPr>
        <w:t>”), by the relevant ICH Quality Guidelines relating to good manufacturing practice; (b) if the manufacturing site is within the European Union or if the Peptide or Product is to be supplied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color w:val="auto"/>
        </w:rPr>
        <w:t>to a country within the European Union, by the principles and guidelines of good manufacturing practice in respect of medicinal products as laid down by Directive 2003/94/EC and the associated guidance set out in EudraLex -Volume 4 of the Rules Governing Medicinal Products in the European Union entitled “EU Guidelines to Good Manufacturing Practice Medicinal Products for Human and Veterinary Use”; (c) if the manufacturing site is in the United States of America or if the Peptide or Product is to be supplied to a country regulated by the FDA, by Parts 11, 210 and 211 of Title 21 of the Code of Federal Regulations and all related guidance published by the FDA; and (d) if the Peptide or Product is to be supplied to any other country not falling within (a), (b), or (c) above, by Laws promulgated by any Governmental Authority having jurisdiction over the Manufacture of Peptide or Product or any component of any of the foregoing and any guidance documents promulgated by any Governmental Authority having jurisdiction over the Manufacture of Peptide or Product (including advisory opinions, compliance policy guides and guidelines) which guidance documents are being implemented within the pharmaceutical manufacturing industry.</w:t>
      </w:r>
    </w:p>
    <w:p>
      <w:pPr>
        <w:spacing w:after="0" w:line="83"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transaction or series of related transactions that result in (a) the holders of outstanding voting securities of a Party immediately prior to such transaction ceasing to represent at least fifty percent (50%) of the combined outstanding voting power of the surviving entity immediately after such transaction; (b) any Third Party (other than a trustee or other fiduciary holding securities under an employee benefit plan) becoming the beneficial owner of fifty percent (50%) or more of the combined voting power of the outstanding securities of a Party; or (c) a sale or other disposition to a Third Party of all or substantially all of a Party’s assets or business.</w:t>
      </w:r>
    </w:p>
    <w:p>
      <w:pPr>
        <w:spacing w:after="0" w:line="74" w:lineRule="exact"/>
        <w:rPr>
          <w:sz w:val="20"/>
          <w:szCs w:val="20"/>
          <w:color w:val="auto"/>
        </w:rPr>
      </w:pPr>
    </w:p>
    <w:p>
      <w:pPr>
        <w:ind w:left="580" w:right="1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research study of a therapeutic product with human subjects designed to provide specific data to determine either or both the safety and efficacy of such product.</w:t>
      </w:r>
    </w:p>
    <w:p>
      <w:pPr>
        <w:spacing w:after="0" w:line="67" w:lineRule="exact"/>
        <w:rPr>
          <w:sz w:val="20"/>
          <w:szCs w:val="20"/>
          <w:color w:val="auto"/>
        </w:rPr>
      </w:pPr>
    </w:p>
    <w:p>
      <w:pPr>
        <w:ind w:left="580" w:right="2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CMC Work Plan</w:t>
      </w:r>
      <w:r>
        <w:rPr>
          <w:rFonts w:ascii="Arial" w:cs="Arial" w:eastAsia="Arial" w:hAnsi="Arial"/>
          <w:sz w:val="16"/>
          <w:szCs w:val="16"/>
          <w:color w:val="auto"/>
        </w:rPr>
        <w:t>” means the chemistry, manufacturing and controls (CMC) activities to be conducted by ACI for the Product, as may be updated or amended from time to time in accordance with the terms of this Agreement. The initial CMC Work Plan is attached as Schedule 1.14.</w:t>
      </w:r>
    </w:p>
    <w:p>
      <w:pPr>
        <w:spacing w:after="0" w:line="22"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action directed to marketing, promoting, distributing, importing or selling a pharmaceutical product, obtaining pricing or reimbursement approvals for that product and Clinical Trials of a Product conducted after Regulatory Approval for that Product, including label expansion, pricing/reimbursement, epidemiological, modeling and pharmacoeconomic, voluntary post-marketing surveillance and health economics studies.</w:t>
      </w:r>
    </w:p>
    <w:p>
      <w:pPr>
        <w:spacing w:after="0" w:line="86" w:lineRule="exact"/>
        <w:rPr>
          <w:sz w:val="20"/>
          <w:szCs w:val="20"/>
          <w:color w:val="auto"/>
        </w:rPr>
      </w:pPr>
    </w:p>
    <w:p>
      <w:pPr>
        <w:ind w:left="580" w:right="1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or data, including all scientific, pre-clinical, clinical, regulatory, manufacturing, marketing, financial and commercial information or data, whether communicated in writing, electronically or orally or by any other method, that is identified as confidential or, if disclosed orally, shall be confirmed in writing as being confidential within [*****] of its oral disclosure, which is provided by one Party to the other Party in connection with this Agreement.</w:t>
      </w:r>
    </w:p>
    <w:p>
      <w:pPr>
        <w:spacing w:after="0" w:line="86" w:lineRule="exact"/>
        <w:rPr>
          <w:sz w:val="20"/>
          <w:szCs w:val="20"/>
          <w:color w:val="auto"/>
        </w:rPr>
      </w:pPr>
    </w:p>
    <w:p>
      <w:pPr>
        <w:jc w:val="right"/>
        <w:ind w:right="120"/>
        <w:spacing w:after="0" w:line="276"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intellectual property, the ownership or other legal authority or right of a Party to grant a license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 of intellectual property to the other Party (a) without violating the terms of any agreement or other arrangement with any Third Party, and</w:t>
      </w:r>
    </w:p>
    <w:p>
      <w:pPr>
        <w:spacing w:after="0" w:line="1" w:lineRule="exact"/>
        <w:rPr>
          <w:sz w:val="20"/>
          <w:szCs w:val="20"/>
          <w:color w:val="auto"/>
        </w:rPr>
      </w:pPr>
    </w:p>
    <w:p>
      <w:pPr>
        <w:jc w:val="both"/>
        <w:ind w:left="580" w:right="40" w:hanging="5"/>
        <w:spacing w:after="0" w:line="255" w:lineRule="auto"/>
        <w:tabs>
          <w:tab w:leader="none" w:pos="83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without being required to make any additional payment or royalties to a Third Party in connection with such license or sublicense unless the other Party agrees to pay the additional payments or royalties to the Third Party. In the case of a Change of Control of ACI or an ACI Business Acquisition, or restructuring of ACI business, then with respect to any rights granted 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80"/>
        <w:spacing w:after="0" w:line="264" w:lineRule="auto"/>
        <w:rPr>
          <w:sz w:val="20"/>
          <w:szCs w:val="20"/>
          <w:color w:val="auto"/>
        </w:rPr>
      </w:pPr>
      <w:r>
        <w:rPr>
          <w:rFonts w:ascii="Arial" w:cs="Arial" w:eastAsia="Arial" w:hAnsi="Arial"/>
          <w:sz w:val="18"/>
          <w:szCs w:val="18"/>
          <w:color w:val="auto"/>
        </w:rPr>
        <w:t>ACI under this Agreement, “Controlled” shall not include, and the applicable license grant shall not include within its scope, the intellectual property of the surviving entity, or acquirer or Affiliate of the surviving entity or acquirer, that was not ACI’s intellectual property prior to the Change of Control or ACI Business Acquisition.</w:t>
      </w:r>
    </w:p>
    <w:p>
      <w:pPr>
        <w:spacing w:after="0" w:line="83"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Currency Hedge Rate</w:t>
      </w:r>
      <w:r>
        <w:rPr>
          <w:rFonts w:ascii="Arial" w:cs="Arial" w:eastAsia="Arial" w:hAnsi="Arial"/>
          <w:sz w:val="18"/>
          <w:szCs w:val="18"/>
          <w:color w:val="auto"/>
        </w:rPr>
        <w:t>” means the weighted average hedge rate of the outstanding external foreign currency forward hedge contract(s) of Johnson &amp; Johnson’s Global Treasury Services Center (“</w:t>
      </w:r>
      <w:r>
        <w:rPr>
          <w:rFonts w:ascii="Arial" w:cs="Arial" w:eastAsia="Arial" w:hAnsi="Arial"/>
          <w:sz w:val="18"/>
          <w:szCs w:val="18"/>
          <w:b w:val="1"/>
          <w:bCs w:val="1"/>
          <w:color w:val="auto"/>
        </w:rPr>
        <w:t>GTSC</w:t>
      </w:r>
      <w:r>
        <w:rPr>
          <w:rFonts w:ascii="Arial" w:cs="Arial" w:eastAsia="Arial" w:hAnsi="Arial"/>
          <w:sz w:val="18"/>
          <w:szCs w:val="18"/>
          <w:color w:val="auto"/>
        </w:rPr>
        <w:t>”) and its Affiliates with Third Party banks. The hedge contract(s) is entered into to protect the transactional foreign exchange risk exposures of Janssen by reducing the impact of foreign currency volatility through a systematic build-up of yearly currency hedge rates.</w:t>
      </w:r>
    </w:p>
    <w:p>
      <w:pPr>
        <w:spacing w:after="0" w:line="86" w:lineRule="exact"/>
        <w:rPr>
          <w:sz w:val="20"/>
          <w:szCs w:val="20"/>
          <w:color w:val="auto"/>
        </w:rPr>
      </w:pPr>
    </w:p>
    <w:p>
      <w:pPr>
        <w:ind w:left="580" w:right="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or “</w:t>
      </w:r>
      <w:r>
        <w:rPr>
          <w:rFonts w:ascii="Arial" w:cs="Arial" w:eastAsia="Arial" w:hAnsi="Arial"/>
          <w:sz w:val="18"/>
          <w:szCs w:val="18"/>
          <w:b w:val="1"/>
          <w:bCs w:val="1"/>
          <w:color w:val="auto"/>
        </w:rPr>
        <w:t>Develop</w:t>
      </w:r>
      <w:r>
        <w:rPr>
          <w:rFonts w:ascii="Arial" w:cs="Arial" w:eastAsia="Arial" w:hAnsi="Arial"/>
          <w:sz w:val="18"/>
          <w:szCs w:val="18"/>
          <w:color w:val="auto"/>
        </w:rPr>
        <w:t>” means any non-clinical and clinical drug development activities from the initiation of cGLP studies that are undertaken or planned in order to obtain or maintain Regulatory Approval.</w:t>
      </w:r>
    </w:p>
    <w:p>
      <w:pPr>
        <w:spacing w:after="0" w:line="67" w:lineRule="exact"/>
        <w:rPr>
          <w:sz w:val="20"/>
          <w:szCs w:val="20"/>
          <w:color w:val="auto"/>
        </w:rPr>
      </w:pPr>
    </w:p>
    <w:p>
      <w:pPr>
        <w:ind w:left="580" w:right="10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Development Plan</w:t>
      </w:r>
      <w:r>
        <w:rPr>
          <w:rFonts w:ascii="Arial" w:cs="Arial" w:eastAsia="Arial" w:hAnsi="Arial"/>
          <w:sz w:val="17"/>
          <w:szCs w:val="17"/>
          <w:color w:val="auto"/>
        </w:rPr>
        <w:t xml:space="preserve">” means the plan for the Development of Product as may be updated or amended from time to time in accordance with the terms of this Agreement. The initial Development Plan, which includes the Development activities and timeline, is attached as </w:t>
      </w:r>
      <w:r>
        <w:rPr>
          <w:rFonts w:ascii="Arial" w:cs="Arial" w:eastAsia="Arial" w:hAnsi="Arial"/>
          <w:sz w:val="17"/>
          <w:szCs w:val="17"/>
          <w:u w:val="single" w:color="auto"/>
          <w:color w:val="auto"/>
        </w:rPr>
        <w:t>Schedule 1.20</w:t>
      </w:r>
      <w:r>
        <w:rPr>
          <w:rFonts w:ascii="Arial" w:cs="Arial" w:eastAsia="Arial" w:hAnsi="Arial"/>
          <w:sz w:val="17"/>
          <w:szCs w:val="17"/>
          <w:color w:val="auto"/>
        </w:rPr>
        <w:t>.</w:t>
      </w:r>
    </w:p>
    <w:p>
      <w:pPr>
        <w:spacing w:after="0" w:line="44" w:lineRule="exact"/>
        <w:rPr>
          <w:sz w:val="20"/>
          <w:szCs w:val="20"/>
          <w:color w:val="auto"/>
        </w:rPr>
      </w:pPr>
    </w:p>
    <w:p>
      <w:pPr>
        <w:ind w:left="580" w:right="80" w:hanging="566"/>
        <w:spacing w:after="0" w:line="281" w:lineRule="auto"/>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Diligent Efforts</w:t>
      </w:r>
      <w:r>
        <w:rPr>
          <w:rFonts w:ascii="Arial" w:cs="Arial" w:eastAsia="Arial" w:hAnsi="Arial"/>
          <w:sz w:val="17"/>
          <w:szCs w:val="17"/>
          <w:color w:val="auto"/>
        </w:rPr>
        <w:t>” means those efforts and resources reasonably and normally used in the development and commercialization by major pharmaceutical companies for a product that is of similar market potential, at a similar stage in its development or product life, and that has a similar potential market opportunity as the applicable Product, taking into account issues of safety, efficacy, target product profile and proprietary position of the Product, and other relevant regulatory, scientific, technical, business, marketing, and commercial factors.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of the signature of the last Party to sign this Agreement.</w:t>
      </w:r>
    </w:p>
    <w:p>
      <w:pPr>
        <w:spacing w:after="0" w:line="131" w:lineRule="exact"/>
        <w:rPr>
          <w:sz w:val="20"/>
          <w:szCs w:val="20"/>
          <w:color w:val="auto"/>
        </w:rPr>
      </w:pPr>
    </w:p>
    <w:p>
      <w:pPr>
        <w:ind w:left="580" w:right="1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that is responsible for reviewing applications seeking approval for the sale of pharmaceuticals in the EU.</w:t>
      </w:r>
    </w:p>
    <w:p>
      <w:pPr>
        <w:spacing w:after="0" w:line="67" w:lineRule="exact"/>
        <w:rPr>
          <w:sz w:val="20"/>
          <w:szCs w:val="20"/>
          <w:color w:val="auto"/>
        </w:rPr>
      </w:pPr>
    </w:p>
    <w:p>
      <w:pPr>
        <w:ind w:left="580" w:right="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European Commission or any successor agency that is responsible for granting marketing approvals authorizing the sale of pharmaceuticals in the EU.</w:t>
      </w:r>
    </w:p>
    <w:p>
      <w:pPr>
        <w:spacing w:after="0" w:line="67" w:lineRule="exact"/>
        <w:rPr>
          <w:sz w:val="20"/>
          <w:szCs w:val="20"/>
          <w:color w:val="auto"/>
        </w:rPr>
      </w:pPr>
    </w:p>
    <w:p>
      <w:pPr>
        <w:ind w:left="580" w:right="1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countries of the European Union, as the European Union is constituted as of the Effective Date and as it may be modified from time to time.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has the meaning set forth in section 13.7.5.</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w:t>
      </w:r>
      <w:r>
        <w:rPr>
          <w:rFonts w:ascii="Arial" w:cs="Arial" w:eastAsia="Arial" w:hAnsi="Arial"/>
          <w:sz w:val="16"/>
          <w:szCs w:val="16"/>
          <w:color w:val="auto"/>
        </w:rPr>
        <w:t>” has the meaning set forth in section 13.7 .1.</w:t>
      </w:r>
    </w:p>
    <w:p>
      <w:pPr>
        <w:spacing w:after="0" w:line="131" w:lineRule="exact"/>
        <w:rPr>
          <w:sz w:val="20"/>
          <w:szCs w:val="20"/>
          <w:color w:val="auto"/>
        </w:rPr>
      </w:pPr>
    </w:p>
    <w:p>
      <w:pPr>
        <w:ind w:left="580" w:right="10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government agency that is responsible for approving the sale of pharmaceuticals in the United States.</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the [*****].</w:t>
      </w:r>
    </w:p>
    <w:p>
      <w:pPr>
        <w:spacing w:after="0" w:line="131" w:lineRule="exact"/>
        <w:rPr>
          <w:sz w:val="20"/>
          <w:szCs w:val="20"/>
          <w:color w:val="auto"/>
        </w:rPr>
      </w:pPr>
    </w:p>
    <w:p>
      <w:pPr>
        <w:ind w:left="580" w:right="1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Product, the first arm’s length sale of the Product to a Third Party in a country of the Territory by a Party, its Affiliate(s) or sublicensee(s) for use or consumption in such country following Regulatory Approval.</w:t>
      </w:r>
    </w:p>
    <w:p>
      <w:pPr>
        <w:spacing w:after="0" w:line="67" w:lineRule="exact"/>
        <w:rPr>
          <w:sz w:val="20"/>
          <w:szCs w:val="20"/>
          <w:color w:val="auto"/>
        </w:rPr>
      </w:pPr>
    </w:p>
    <w:p>
      <w:pPr>
        <w:ind w:left="580" w:right="2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tribunal, arbitrator, agency, legislative body, commission, official or other instrumentality of (a) any government of any country, (b) a federal,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 province, county, city or other political subdivision thereof or (c) any supranational body, including the EMA.</w:t>
      </w:r>
    </w:p>
    <w:p>
      <w:pPr>
        <w:spacing w:after="0" w:line="127"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(a) the Hart-Scott-Rodino Antitrust Improvements Act of 1976, as amended, and the rules and regulations promulgated thereunder, and (b) any applicable foreign equivalent thereof.</w:t>
      </w:r>
    </w:p>
    <w:p>
      <w:pPr>
        <w:spacing w:after="0" w:line="67" w:lineRule="exact"/>
        <w:rPr>
          <w:sz w:val="20"/>
          <w:szCs w:val="20"/>
          <w:color w:val="auto"/>
        </w:rPr>
      </w:pPr>
    </w:p>
    <w:p>
      <w:pPr>
        <w:ind w:left="580" w:right="5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Clearance Date</w:t>
      </w:r>
      <w:r>
        <w:rPr>
          <w:rFonts w:ascii="Arial" w:cs="Arial" w:eastAsia="Arial" w:hAnsi="Arial"/>
          <w:sz w:val="18"/>
          <w:szCs w:val="18"/>
          <w:color w:val="auto"/>
        </w:rPr>
        <w:t>” means the expiration or termination of all applicable waiting periods and requests for information (and any extensions thereof) under the HSR Act.</w:t>
      </w:r>
    </w:p>
    <w:p>
      <w:pPr>
        <w:spacing w:after="0" w:line="67"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filings by Janssen and ACI with the United States Federal Trade Commission and the Antitrust Division of the United States Department of Justice of a Notification and Report Form for Certain Mergers and Acquisitions (as that term is defined in the HSR Act) with respect to the matters set forth in this Agreement, together with all required documentary attachments thereto, or (b) equivalent filings with relevant foreign authorities.</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Indemnitor</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ind w:left="580" w:right="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disorder or condition which is recognized by the applicable Regulatory Authority in a given country or jurisdiction as a disease, disorder or condition. For the avoidance of doubt, all variants of a single disease, disorder or condition (whether classified by severity or otherwise) will be treated as the same Indication.</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Clinical Trial, the administration of the first dose to a subject or patient in that Clinical Trial.</w:t>
      </w:r>
    </w:p>
    <w:p>
      <w:pPr>
        <w:spacing w:after="0" w:line="131" w:lineRule="exact"/>
        <w:rPr>
          <w:sz w:val="20"/>
          <w:szCs w:val="20"/>
          <w:color w:val="auto"/>
        </w:rPr>
      </w:pPr>
    </w:p>
    <w:p>
      <w:pPr>
        <w:ind w:left="580" w:right="3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process, method, use, protocol, formula, data, composition of matter, article of manufacture, discovery or finding, in each case whether or not patentable.</w:t>
      </w:r>
    </w:p>
    <w:p>
      <w:pPr>
        <w:spacing w:after="0" w:line="67"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Janssen Know-How</w:t>
      </w:r>
      <w:r>
        <w:rPr>
          <w:rFonts w:ascii="Arial" w:cs="Arial" w:eastAsia="Arial" w:hAnsi="Arial"/>
          <w:sz w:val="17"/>
          <w:szCs w:val="17"/>
          <w:color w:val="auto"/>
        </w:rPr>
        <w:t xml:space="preserve">” means all information, materials, Inventions and trade secrets, not generally known to the public, that do not fall within the Janssen Patent Rights, and that are Controlled by Janssen or any of its Affiliates (a) (i) as of the Effective Date, or (ii) are discovered, created or developed by Janssen or any of its Affiliates (including any sublicensee pursuant to section 7.2) in the course of Janssen’s or such Affiliate’s performance of activities under this Agreement, and (b) are necessary for the Research, Development, use, Manufacture or Commercialization of any Peptide or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“Janssen Know-How” will not apply to [*****].</w:t>
      </w:r>
    </w:p>
    <w:p>
      <w:pPr>
        <w:spacing w:after="0" w:line="74" w:lineRule="exact"/>
        <w:rPr>
          <w:sz w:val="20"/>
          <w:szCs w:val="20"/>
          <w:color w:val="auto"/>
        </w:rPr>
      </w:pPr>
    </w:p>
    <w:p>
      <w:pPr>
        <w:ind w:left="580" w:right="3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Janssen Patent Rights</w:t>
      </w:r>
      <w:r>
        <w:rPr>
          <w:rFonts w:ascii="Arial" w:cs="Arial" w:eastAsia="Arial" w:hAnsi="Arial"/>
          <w:sz w:val="18"/>
          <w:szCs w:val="18"/>
          <w:color w:val="auto"/>
        </w:rPr>
        <w:t>” means all Patent Rights Controlled by Janssen or any of its Related Parties that (a) are necessary or useful for the Development, Manufacture and/or Commercialization of a Product or (b) claim or disclose Inventions Controlled by Janssen or any of its Related Parties that are conceived of or reduced to practice in the course of the Development, Manufacture or Commercialization of Products under this Agreement.</w:t>
      </w:r>
    </w:p>
    <w:p>
      <w:pPr>
        <w:spacing w:after="0" w:line="86" w:lineRule="exact"/>
        <w:rPr>
          <w:sz w:val="20"/>
          <w:szCs w:val="20"/>
          <w:color w:val="auto"/>
        </w:rPr>
      </w:pPr>
    </w:p>
    <w:p>
      <w:pPr>
        <w:ind w:left="580" w:right="6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all information, materials, Inventions and trade secrets, not generally known to the public, that do not fall within the Joint Patent Rights, discovered, developed, or conceived of jointly by employees of Janssen and ACI or their Affiliates, or by others acting on behalf of Janssen and ACI, in the course of activities undertaken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425" w:name="page426"/>
    <w:bookmarkEnd w:id="42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440" w:right="118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3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Patent Rights</w:t>
      </w:r>
      <w:r>
        <w:rPr>
          <w:rFonts w:ascii="Arial" w:cs="Arial" w:eastAsia="Arial" w:hAnsi="Arial"/>
          <w:sz w:val="18"/>
          <w:szCs w:val="18"/>
          <w:color w:val="auto"/>
        </w:rPr>
        <w:t>” means Patent Rights that, recite a claim directed to an invention that was Joint Know-How at the time of the filing of the original patent application.</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all laws, statutes, rules, codes, regulations, orders, judgments, and ordinances of any Governmental Authority.</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MAA</w:t>
      </w:r>
      <w:r>
        <w:rPr>
          <w:rFonts w:ascii="Arial" w:cs="Arial" w:eastAsia="Arial" w:hAnsi="Arial"/>
          <w:sz w:val="16"/>
          <w:szCs w:val="16"/>
          <w:color w:val="auto"/>
        </w:rPr>
        <w:t>” means a marketing authorization application, or similar application, submitted to the EMA in the European Union.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w:t>
      </w:r>
      <w:r>
        <w:rPr>
          <w:rFonts w:ascii="Arial" w:cs="Arial" w:eastAsia="Arial" w:hAnsi="Arial"/>
          <w:sz w:val="17"/>
          <w:szCs w:val="17"/>
          <w:color w:val="auto"/>
        </w:rPr>
        <w:t>” means any of the United States, a Major Market Country of the EU and [*****].</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 Country of the EU</w:t>
      </w:r>
      <w:r>
        <w:rPr>
          <w:rFonts w:ascii="Arial" w:cs="Arial" w:eastAsia="Arial" w:hAnsi="Arial"/>
          <w:sz w:val="17"/>
          <w:szCs w:val="17"/>
          <w:color w:val="auto"/>
        </w:rPr>
        <w:t>” means any one of the following countries: [*****].</w:t>
      </w:r>
    </w:p>
    <w:p>
      <w:pPr>
        <w:spacing w:after="0" w:line="131" w:lineRule="exact"/>
        <w:rPr>
          <w:sz w:val="20"/>
          <w:szCs w:val="20"/>
          <w:color w:val="auto"/>
        </w:rPr>
      </w:pPr>
    </w:p>
    <w:p>
      <w:pPr>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w:t>
      </w:r>
      <w:r>
        <w:rPr>
          <w:rFonts w:ascii="Arial" w:cs="Arial" w:eastAsia="Arial" w:hAnsi="Arial"/>
          <w:sz w:val="18"/>
          <w:szCs w:val="18"/>
          <w:color w:val="auto"/>
        </w:rPr>
        <w:t>” or “</w:t>
      </w:r>
      <w:r>
        <w:rPr>
          <w:rFonts w:ascii="Arial" w:cs="Arial" w:eastAsia="Arial" w:hAnsi="Arial"/>
          <w:sz w:val="18"/>
          <w:szCs w:val="18"/>
          <w:b w:val="1"/>
          <w:bCs w:val="1"/>
          <w:color w:val="auto"/>
        </w:rPr>
        <w:t>Manufacture</w:t>
      </w:r>
      <w:r>
        <w:rPr>
          <w:rFonts w:ascii="Arial" w:cs="Arial" w:eastAsia="Arial" w:hAnsi="Arial"/>
          <w:sz w:val="18"/>
          <w:szCs w:val="18"/>
          <w:color w:val="auto"/>
        </w:rPr>
        <w:t>” means the activities relating to producing a Product, including purchasing raw materials and intermediates, producing peptides or other active ingredients, formulating and filling, and all related quality control and quality assurance activities and all storage, shipping, handling, packaging and manufacturing technical transfer activities.</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Event</w:t>
      </w:r>
      <w:r>
        <w:rPr>
          <w:rFonts w:ascii="Arial" w:cs="Arial" w:eastAsia="Arial" w:hAnsi="Arial"/>
          <w:sz w:val="16"/>
          <w:szCs w:val="16"/>
          <w:color w:val="auto"/>
        </w:rPr>
        <w:t>” has the meaning set forth in section 9 .2.1.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has the meaning set forth in section 9.2.1.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or similar application, submitted to the FDA in the United States.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69" w:right="419" w:bottom="1440" w:gutter="0" w:footer="0" w:header="0"/>
        </w:sectPr>
      </w:pPr>
    </w:p>
    <w:bookmarkStart w:id="426" w:name="page427"/>
    <w:bookmarkEnd w:id="42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Janssen or ACI, and “</w:t>
      </w:r>
      <w:r>
        <w:rPr>
          <w:rFonts w:ascii="Arial" w:cs="Arial" w:eastAsia="Arial" w:hAnsi="Arial"/>
          <w:sz w:val="16"/>
          <w:szCs w:val="16"/>
          <w:b w:val="1"/>
          <w:bCs w:val="1"/>
          <w:color w:val="auto"/>
        </w:rPr>
        <w:t>Parties</w:t>
      </w:r>
      <w:r>
        <w:rPr>
          <w:rFonts w:ascii="Arial" w:cs="Arial" w:eastAsia="Arial" w:hAnsi="Arial"/>
          <w:sz w:val="16"/>
          <w:szCs w:val="16"/>
          <w:color w:val="auto"/>
        </w:rPr>
        <w:t>” means Janssen and ACI.</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427" w:name="page428"/>
    <w:bookmarkEnd w:id="4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2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Proceeding</w:t>
      </w:r>
      <w:r>
        <w:rPr>
          <w:rFonts w:ascii="Arial" w:cs="Arial" w:eastAsia="Arial" w:hAnsi="Arial"/>
          <w:sz w:val="18"/>
          <w:szCs w:val="18"/>
          <w:color w:val="auto"/>
        </w:rPr>
        <w:t>” means any opposition, re-issue, and re-examination, and any contested case, including inter-partes review, post-grant review, interference, derivation or similar proceedings.</w:t>
      </w:r>
    </w:p>
    <w:p>
      <w:pPr>
        <w:spacing w:after="0" w:line="67" w:lineRule="exact"/>
        <w:rPr>
          <w:sz w:val="20"/>
          <w:szCs w:val="20"/>
          <w:color w:val="auto"/>
        </w:rPr>
      </w:pPr>
    </w:p>
    <w:p>
      <w:pPr>
        <w:ind w:left="580" w:right="2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national, regional and international patents and patent applications, including divisions, continuations, continuations-in-part, additions, re-issues, renewals, extensions, substitutions, re-examinations or restorations, registrations and revalidations, and supplementary protection certificates and equivalents to any of the foregoing.</w:t>
      </w:r>
    </w:p>
    <w:p>
      <w:pPr>
        <w:spacing w:after="0" w:line="82"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Peptide</w:t>
      </w:r>
      <w:r>
        <w:rPr>
          <w:rFonts w:ascii="Arial" w:cs="Arial" w:eastAsia="Arial" w:hAnsi="Arial"/>
          <w:sz w:val="18"/>
          <w:szCs w:val="18"/>
          <w:color w:val="auto"/>
        </w:rPr>
        <w:t>” means any amino acid sequence or peptide or protein that is derived from Tau, including variants, modifications, fragments or derivatives of Tau and that is (i) disclosed or claimed in the ACI Patent Rights, or (ii) identified by either ACI or Janssen (or jointly by ACI and Janssen) prior to the end of the Research Term. For clarity, a Peptide shall not include a monoclonal antibody protein or nonantigenic fragment, nonantigenic derivative or nonantigenic modification thereof.</w:t>
      </w:r>
    </w:p>
    <w:p>
      <w:pPr>
        <w:spacing w:after="0" w:line="86" w:lineRule="exact"/>
        <w:rPr>
          <w:sz w:val="20"/>
          <w:szCs w:val="20"/>
          <w:color w:val="auto"/>
        </w:rPr>
      </w:pPr>
    </w:p>
    <w:p>
      <w:pPr>
        <w:jc w:val="both"/>
        <w:ind w:left="580" w:right="8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 Clinical Trial generally consistent with 21 CFR §312.21(b) that is required for receipt of Regulatory Approval of a Product and which is conducted to evaluate the effectiveness and the appropriate dose range of a Product for a particular indication or indications in patients with the disease or condition under study and to determine the common short-term side effects and risks.</w:t>
      </w:r>
    </w:p>
    <w:p>
      <w:pPr>
        <w:spacing w:after="0" w:line="64" w:lineRule="exact"/>
        <w:rPr>
          <w:sz w:val="20"/>
          <w:szCs w:val="20"/>
          <w:color w:val="auto"/>
        </w:rPr>
      </w:pPr>
    </w:p>
    <w:p>
      <w:pPr>
        <w:jc w:val="center"/>
        <w:ind w:right="100"/>
        <w:spacing w:after="0"/>
        <w:tabs>
          <w:tab w:leader="none" w:pos="2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means a Clinical Trial generally consistent with 21 CFR §312.21(c) that is required for receipt of Regulatory Approval of a</w:t>
      </w:r>
    </w:p>
    <w:p>
      <w:pPr>
        <w:spacing w:after="0" w:line="27" w:lineRule="exact"/>
        <w:rPr>
          <w:sz w:val="20"/>
          <w:szCs w:val="20"/>
          <w:color w:val="auto"/>
        </w:rPr>
      </w:pPr>
    </w:p>
    <w:p>
      <w:pPr>
        <w:ind w:left="580" w:right="660"/>
        <w:spacing w:after="0" w:line="323" w:lineRule="auto"/>
        <w:rPr>
          <w:sz w:val="20"/>
          <w:szCs w:val="20"/>
          <w:color w:val="auto"/>
        </w:rPr>
      </w:pPr>
      <w:r>
        <w:rPr>
          <w:rFonts w:ascii="Arial" w:cs="Arial" w:eastAsia="Arial" w:hAnsi="Arial"/>
          <w:sz w:val="16"/>
          <w:szCs w:val="16"/>
          <w:color w:val="auto"/>
        </w:rPr>
        <w:t>Product and which is conducted after preliminary evidence suggesting effectiveness of the drug has been obtained, and are intended to gather additional information to evaluate the overall benefit-risk relationship of the drug and provide an adequate basis for physician labeling.</w:t>
      </w:r>
    </w:p>
    <w:p>
      <w:pPr>
        <w:spacing w:after="0" w:line="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w:t>
      </w:r>
    </w:p>
    <w:p>
      <w:pPr>
        <w:spacing w:after="0" w:line="131" w:lineRule="exact"/>
        <w:rPr>
          <w:sz w:val="20"/>
          <w:szCs w:val="20"/>
          <w:color w:val="auto"/>
        </w:rPr>
      </w:pPr>
    </w:p>
    <w:p>
      <w:pPr>
        <w:ind w:left="580" w:right="2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approval and authorization, by governmental entities, required for marketing and commercial sale of a Product in a country or region, such as an NDA or BLA in the United States, an MAA or BLA in the European Union and [*****].</w:t>
      </w:r>
    </w:p>
    <w:p>
      <w:pPr>
        <w:spacing w:after="0" w:line="67" w:lineRule="exact"/>
        <w:rPr>
          <w:sz w:val="20"/>
          <w:szCs w:val="20"/>
          <w:color w:val="auto"/>
        </w:rPr>
      </w:pPr>
    </w:p>
    <w:p>
      <w:pPr>
        <w:ind w:left="580" w:right="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Regulatory Approval in the Territory, including the FDA, EMA/European Commission [*****].</w:t>
      </w:r>
    </w:p>
    <w:p>
      <w:pPr>
        <w:spacing w:after="0" w:line="67" w:lineRule="exact"/>
        <w:rPr>
          <w:sz w:val="20"/>
          <w:szCs w:val="20"/>
          <w:color w:val="auto"/>
        </w:rPr>
      </w:pPr>
    </w:p>
    <w:p>
      <w:pPr>
        <w:ind w:left="580" w:right="44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Filing(s)</w:t>
      </w:r>
      <w:r>
        <w:rPr>
          <w:rFonts w:ascii="Arial" w:cs="Arial" w:eastAsia="Arial" w:hAnsi="Arial"/>
          <w:sz w:val="16"/>
          <w:szCs w:val="16"/>
          <w:color w:val="auto"/>
        </w:rPr>
        <w:t>” means acceptance by Regulatory Authorities of a marketing approval application and/or any other comparable filings or dossier as may be required by Regulatory Authorities to obtain Regulatory Approvals for marketing or use of a Product in the Field.</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each of Janssen’s Affiliates and permitted sublicensees.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w:t>
      </w:r>
      <w:r>
        <w:rPr>
          <w:rFonts w:ascii="Arial" w:cs="Arial" w:eastAsia="Arial" w:hAnsi="Arial"/>
          <w:sz w:val="17"/>
          <w:szCs w:val="17"/>
          <w:color w:val="auto"/>
        </w:rPr>
        <w:t>” means [*****].</w:t>
      </w:r>
    </w:p>
    <w:p>
      <w:pPr>
        <w:spacing w:after="0" w:line="131" w:lineRule="exact"/>
        <w:rPr>
          <w:sz w:val="20"/>
          <w:szCs w:val="20"/>
          <w:color w:val="auto"/>
        </w:rPr>
      </w:pPr>
    </w:p>
    <w:p>
      <w:pPr>
        <w:ind w:left="580" w:right="54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means the Research activities to be conducted by the Parties for the Product during the Research Term, as may be updated or amended from time to time in accordance with the terms of this Agreement. The initial Research Plan is attached as </w:t>
      </w:r>
      <w:r>
        <w:rPr>
          <w:rFonts w:ascii="Arial" w:cs="Arial" w:eastAsia="Arial" w:hAnsi="Arial"/>
          <w:sz w:val="16"/>
          <w:szCs w:val="16"/>
          <w:u w:val="single" w:color="auto"/>
          <w:color w:val="auto"/>
        </w:rPr>
        <w:t>Schedule 1.66</w:t>
      </w:r>
      <w:r>
        <w:rPr>
          <w:rFonts w:ascii="Arial" w:cs="Arial" w:eastAsia="Arial" w:hAnsi="Arial"/>
          <w:sz w:val="16"/>
          <w:szCs w:val="16"/>
          <w:color w:val="auto"/>
        </w:rPr>
        <w: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428" w:name="page429"/>
    <w:bookmarkEnd w:id="4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Term</w:t>
      </w:r>
      <w:r>
        <w:rPr>
          <w:rFonts w:ascii="Arial" w:cs="Arial" w:eastAsia="Arial" w:hAnsi="Arial"/>
          <w:sz w:val="16"/>
          <w:szCs w:val="16"/>
          <w:color w:val="auto"/>
        </w:rPr>
        <w:t>” means the three year period immediately following the Effective Date.</w:t>
      </w:r>
    </w:p>
    <w:p>
      <w:pPr>
        <w:spacing w:after="0" w:line="131"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Second Indication</w:t>
      </w:r>
      <w:r>
        <w:rPr>
          <w:rFonts w:ascii="Arial" w:cs="Arial" w:eastAsia="Arial" w:hAnsi="Arial"/>
          <w:sz w:val="18"/>
          <w:szCs w:val="18"/>
          <w:color w:val="auto"/>
        </w:rPr>
        <w:t>” means an Indication listed under the header “INDICATIONS AND USAGE” of a Product’s approved label upon Regulatory Approval for the Product by a Regulatory Authority other than the AD Indication. For purposes of the milestones that occur prior to receipt of Regulatory Approval, “Second Indication” means an Indication that is not the AD Indication and is intended to be included in the regulatory filing for such Product.</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Swiss Francs</w:t>
      </w:r>
      <w:r>
        <w:rPr>
          <w:rFonts w:ascii="Arial" w:cs="Arial" w:eastAsia="Arial" w:hAnsi="Arial"/>
          <w:sz w:val="16"/>
          <w:szCs w:val="16"/>
          <w:color w:val="auto"/>
        </w:rPr>
        <w:t>” or “</w:t>
      </w:r>
      <w:r>
        <w:rPr>
          <w:rFonts w:ascii="Arial" w:cs="Arial" w:eastAsia="Arial" w:hAnsi="Arial"/>
          <w:sz w:val="16"/>
          <w:szCs w:val="16"/>
          <w:b w:val="1"/>
          <w:bCs w:val="1"/>
          <w:color w:val="auto"/>
        </w:rPr>
        <w:t>CHF</w:t>
      </w:r>
      <w:r>
        <w:rPr>
          <w:rFonts w:ascii="Arial" w:cs="Arial" w:eastAsia="Arial" w:hAnsi="Arial"/>
          <w:sz w:val="16"/>
          <w:szCs w:val="16"/>
          <w:color w:val="auto"/>
        </w:rPr>
        <w:t>” means Swiss francs.</w:t>
      </w:r>
    </w:p>
    <w:p>
      <w:pPr>
        <w:spacing w:after="0" w:line="131" w:lineRule="exact"/>
        <w:rPr>
          <w:sz w:val="20"/>
          <w:szCs w:val="20"/>
          <w:color w:val="auto"/>
        </w:rPr>
      </w:pPr>
    </w:p>
    <w:p>
      <w:pPr>
        <w:ind w:left="580" w:right="3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Tau</w:t>
      </w:r>
      <w:r>
        <w:rPr>
          <w:rFonts w:ascii="Arial" w:cs="Arial" w:eastAsia="Arial" w:hAnsi="Arial"/>
          <w:sz w:val="18"/>
          <w:szCs w:val="18"/>
          <w:color w:val="auto"/>
        </w:rPr>
        <w:t>” means the microtubule-associated protein known as tau and all isoforms thereof, with Uniprot # P10636 for human microtubule-associated protein tan and human MAPT gene.</w:t>
      </w:r>
    </w:p>
    <w:p>
      <w:pPr>
        <w:spacing w:after="0" w:line="67" w:lineRule="exact"/>
        <w:rPr>
          <w:sz w:val="20"/>
          <w:szCs w:val="20"/>
          <w:color w:val="auto"/>
        </w:rPr>
      </w:pPr>
    </w:p>
    <w:p>
      <w:pPr>
        <w:ind w:left="580" w:right="2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present or future taxes, levies, imposts, duties, charges and assessments of any nature (including any interest thereon), but excluding any penalties imposed by any tax authority.</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all of the countries in the world, and their territories and possessions.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 entity other than Janssen and its Related Parties, and ACI and its Affiliates.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has the meaning set forth in section 13.1.1.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USD</w:t>
      </w:r>
      <w:r>
        <w:rPr>
          <w:rFonts w:ascii="Arial" w:cs="Arial" w:eastAsia="Arial" w:hAnsi="Arial"/>
          <w:sz w:val="16"/>
          <w:szCs w:val="16"/>
          <w:color w:val="auto"/>
        </w:rPr>
        <w:t>” or “</w:t>
      </w:r>
      <w:r>
        <w:rPr>
          <w:rFonts w:ascii="Arial" w:cs="Arial" w:eastAsia="Arial" w:hAnsi="Arial"/>
          <w:sz w:val="16"/>
          <w:szCs w:val="16"/>
          <w:b w:val="1"/>
          <w:bCs w:val="1"/>
          <w:color w:val="auto"/>
        </w:rPr>
        <w:t>U.S. Dollars</w:t>
      </w:r>
      <w:r>
        <w:rPr>
          <w:rFonts w:ascii="Arial" w:cs="Arial" w:eastAsia="Arial" w:hAnsi="Arial"/>
          <w:sz w:val="16"/>
          <w:szCs w:val="16"/>
          <w:color w:val="auto"/>
        </w:rPr>
        <w:t>” means United States dollars.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Vaccine</w:t>
      </w:r>
      <w:r>
        <w:rPr>
          <w:rFonts w:ascii="Arial" w:cs="Arial" w:eastAsia="Arial" w:hAnsi="Arial"/>
          <w:sz w:val="17"/>
          <w:szCs w:val="17"/>
          <w:color w:val="auto"/>
        </w:rPr>
        <w:t>” means [*****] Tau.</w:t>
      </w:r>
    </w:p>
    <w:p>
      <w:pPr>
        <w:spacing w:after="0" w:line="131" w:lineRule="exact"/>
        <w:rPr>
          <w:sz w:val="20"/>
          <w:szCs w:val="20"/>
          <w:color w:val="auto"/>
        </w:rPr>
      </w:pPr>
    </w:p>
    <w:p>
      <w:pPr>
        <w:ind w:left="580" w:hanging="566"/>
        <w:spacing w:after="0" w:line="292" w:lineRule="auto"/>
        <w:tabs>
          <w:tab w:leader="none" w:pos="5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claim of an issued unexpired patent that (i) has not been finally cancelled, withdrawn, abandoned or rejected by any administrative agency or other body of competent jurisdiction; (ii) has not been permanently revoked, or held invalid by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where such claim has been pending for a period of [*****] years or less. If a claim of a published patent application that ceased to be a Valid Claim under this subsection (b) of this section later issues or grants as a patent within the scope of subsection (a), then such claim is considered to be a Valid Claim from the date of such issue or grant.</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Safety Issue</w:t>
      </w:r>
      <w:r>
        <w:rPr>
          <w:rFonts w:ascii="Arial" w:cs="Arial" w:eastAsia="Arial" w:hAnsi="Arial"/>
          <w:sz w:val="16"/>
          <w:szCs w:val="16"/>
          <w:color w:val="auto"/>
        </w:rPr>
        <w:t>” has the meaning set forth in section 12.2.2.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6"/>
          <w:szCs w:val="16"/>
          <w:b w:val="1"/>
          <w:bCs w:val="1"/>
          <w:color w:val="auto"/>
        </w:rPr>
        <w:t>Additional Definitions</w:t>
      </w:r>
      <w:r>
        <w:rPr>
          <w:rFonts w:ascii="Arial" w:cs="Arial" w:eastAsia="Arial" w:hAnsi="Arial"/>
          <w:sz w:val="16"/>
          <w:szCs w:val="16"/>
          <w:color w:val="auto"/>
        </w:rPr>
        <w:t>. Each of the following definitions is set forth in the Section of this Agreement indicated below:</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6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780" w:type="dxa"/>
            <w:vAlign w:val="bottom"/>
            <w:gridSpan w:val="3"/>
          </w:tcPr>
          <w:p>
            <w:pPr>
              <w:ind w:left="1320"/>
              <w:spacing w:after="0"/>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gridSpan w:val="2"/>
          </w:tcPr>
          <w:p>
            <w:pPr>
              <w:spacing w:after="0"/>
              <w:rPr>
                <w:sz w:val="20"/>
                <w:szCs w:val="20"/>
                <w:color w:val="auto"/>
              </w:rPr>
            </w:pPr>
            <w:r>
              <w:rPr>
                <w:rFonts w:ascii="Arial" w:cs="Arial" w:eastAsia="Arial" w:hAnsi="Arial"/>
                <w:sz w:val="18"/>
                <w:szCs w:val="18"/>
                <w:color w:val="auto"/>
              </w:rPr>
              <w:t>ACI Business Acquisition</w:t>
            </w:r>
          </w:p>
        </w:tc>
        <w:tc>
          <w:tcPr>
            <w:tcW w:w="1340" w:type="dxa"/>
            <w:vAlign w:val="bottom"/>
            <w:vMerge w:val="continue"/>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29" w:name="page430"/>
    <w:bookmarkEnd w:id="42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94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800" w:type="dxa"/>
            <w:vAlign w:val="bottom"/>
            <w:gridSpan w:val="3"/>
          </w:tcPr>
          <w:p>
            <w:pPr>
              <w:ind w:left="124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360" w:type="dxa"/>
            <w:vAlign w:val="bottom"/>
            <w:vMerge w:val="restart"/>
          </w:tcPr>
          <w:p>
            <w:pPr>
              <w:ind w:left="80"/>
              <w:spacing w:after="0"/>
              <w:rPr>
                <w:sz w:val="20"/>
                <w:szCs w:val="20"/>
                <w:color w:val="auto"/>
              </w:rPr>
            </w:pPr>
            <w:r>
              <w:rPr>
                <w:rFonts w:ascii="Arial" w:cs="Arial" w:eastAsia="Arial" w:hAnsi="Arial"/>
                <w:sz w:val="18"/>
                <w:szCs w:val="18"/>
                <w:color w:val="auto"/>
              </w:rPr>
              <w:t>Product</w:t>
            </w:r>
          </w:p>
        </w:tc>
        <w:tc>
          <w:tcPr>
            <w:tcW w:w="1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84"/>
              </w:rPr>
              <w:t>Back-up</w:t>
            </w:r>
          </w:p>
        </w:tc>
        <w:tc>
          <w:tcPr>
            <w:tcW w:w="23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3"/>
              </w:rPr>
              <w:t>9.2.1(a)</w:t>
            </w:r>
          </w:p>
        </w:tc>
        <w:tc>
          <w:tcPr>
            <w:tcW w:w="0" w:type="dxa"/>
            <w:vAlign w:val="bottom"/>
          </w:tcPr>
          <w:p>
            <w:pPr>
              <w:spacing w:after="0"/>
              <w:rPr>
                <w:sz w:val="1"/>
                <w:szCs w:val="1"/>
                <w:color w:val="auto"/>
              </w:rPr>
            </w:pP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color w:val="auto"/>
              </w:rPr>
              <w:t>CMC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Completion</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FTE</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ISC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JRC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Lead Product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Outside Patent Counsel</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DILIGENCE</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2.1 Diligent Efforts</w:t>
      </w:r>
      <w:r>
        <w:rPr>
          <w:rFonts w:ascii="Arial" w:cs="Arial" w:eastAsia="Arial" w:hAnsi="Arial"/>
          <w:sz w:val="18"/>
          <w:szCs w:val="18"/>
          <w:color w:val="auto"/>
        </w:rPr>
        <w:t>. Janssen shall use Diligent Efforts to Develop, Manufacture and Commercialize a first Product for the AD Indication in each country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 Market.</w:t>
      </w:r>
    </w:p>
    <w:p>
      <w:pPr>
        <w:spacing w:after="0" w:line="16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2.2 ACI</w:t>
      </w:r>
      <w:r>
        <w:rPr>
          <w:rFonts w:ascii="Arial" w:cs="Arial" w:eastAsia="Arial" w:hAnsi="Arial"/>
          <w:sz w:val="16"/>
          <w:szCs w:val="16"/>
          <w:color w:val="auto"/>
        </w:rPr>
        <w:t>. ACI and its Affiliates will not Develop or Commercialize a Product except according to the terms of this Agreement. In the case of a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of ACI, or if ACI or an Affiliate of ACI acquires any Third Party, business or assets, or any interest therein (a “</w:t>
      </w:r>
      <w:r>
        <w:rPr>
          <w:rFonts w:ascii="Arial" w:cs="Arial" w:eastAsia="Arial" w:hAnsi="Arial"/>
          <w:sz w:val="16"/>
          <w:szCs w:val="16"/>
          <w:b w:val="1"/>
          <w:bCs w:val="1"/>
          <w:color w:val="auto"/>
        </w:rPr>
        <w:t>ACI Business Acquisition</w:t>
      </w:r>
      <w:r>
        <w:rPr>
          <w:rFonts w:ascii="Arial" w:cs="Arial" w:eastAsia="Arial" w:hAnsi="Arial"/>
          <w:sz w:val="16"/>
          <w:szCs w:val="16"/>
          <w:color w:val="auto"/>
        </w:rPr>
        <w:t>”), then the aforementioned restrictions shall not apply to any Development or Commercialization program of the surviving entity or Affiliate that was not ACI (prior to the Change of Control or ACI Business Acquisition) had ongoing as of immediately prior to the date of such Change of Control or ACI Business Acquisition.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JOINT RESEARCH COMMITTEE ACTIVITIES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3.1 Formation and Purpose</w:t>
      </w:r>
      <w:r>
        <w:rPr>
          <w:rFonts w:ascii="Arial" w:cs="Arial" w:eastAsia="Arial" w:hAnsi="Arial"/>
          <w:sz w:val="16"/>
          <w:szCs w:val="16"/>
          <w:color w:val="auto"/>
        </w:rPr>
        <w:t>. Within [*****] days after the Effective Date, the Parties will form a joint research committee (“</w:t>
      </w:r>
      <w:r>
        <w:rPr>
          <w:rFonts w:ascii="Arial" w:cs="Arial" w:eastAsia="Arial" w:hAnsi="Arial"/>
          <w:sz w:val="16"/>
          <w:szCs w:val="16"/>
          <w:b w:val="1"/>
          <w:bCs w:val="1"/>
          <w:color w:val="auto"/>
        </w:rPr>
        <w:t>JRC</w:t>
      </w:r>
      <w:r>
        <w:rPr>
          <w:rFonts w:ascii="Arial" w:cs="Arial" w:eastAsia="Arial" w:hAnsi="Arial"/>
          <w:sz w:val="16"/>
          <w:szCs w:val="16"/>
          <w:color w:val="auto"/>
        </w:rPr>
        <w:t>”) to oversee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under this Agreement during the Research Term. The purposes of the JRC will be to provide oversight of the Research Plan, to resolve matters relating to Research in which the Parties are unable to reach consensus, and to approve plans, budgets and resource allocation for the Research.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Specific Responsibilities of the JRC</w:t>
      </w:r>
      <w:r>
        <w:rPr>
          <w:rFonts w:ascii="Arial" w:cs="Arial" w:eastAsia="Arial" w:hAnsi="Arial"/>
          <w:sz w:val="18"/>
          <w:szCs w:val="18"/>
          <w:color w:val="auto"/>
        </w:rPr>
        <w:t>. As part of its overall responsibilities described in section 3.1, the JRC will:</w:t>
      </w:r>
    </w:p>
    <w:p>
      <w:pPr>
        <w:spacing w:after="0" w:line="135" w:lineRule="exact"/>
        <w:rPr>
          <w:sz w:val="20"/>
          <w:szCs w:val="20"/>
          <w:color w:val="auto"/>
        </w:rPr>
      </w:pPr>
    </w:p>
    <w:p>
      <w:pPr>
        <w:ind w:left="1940" w:hanging="568"/>
        <w:spacing w:after="0"/>
        <w:tabs>
          <w:tab w:leader="none" w:pos="19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review the progress of the Research activities, and if necessary, propose and approve changes to the Research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review and approve any changes to the allocation of responsibility for Research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430" w:name="page431"/>
    <w:bookmarkEnd w:id="4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right="300" w:hanging="568"/>
        <w:spacing w:after="0" w:line="277" w:lineRule="auto"/>
        <w:tabs>
          <w:tab w:leader="none" w:pos="1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review and approve the strategy for the filing, prosecution, and maintenance of the ACI Patent Rights, Janssen Patent Rights or Joint Patent Rights; and</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3.3 JRC Meetings</w:t>
      </w:r>
      <w:r>
        <w:rPr>
          <w:rFonts w:ascii="Arial" w:cs="Arial" w:eastAsia="Arial" w:hAnsi="Arial"/>
          <w:sz w:val="16"/>
          <w:szCs w:val="16"/>
          <w:color w:val="auto"/>
        </w:rPr>
        <w:t>. The JRC will meet at least quarterly during the Research Term. The first meeting of the JRC will be held as soon as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practicable, but in no event later than [*****] after the Effective Date. Meetings will be held at a place or places as are mutually agreed or by teleconference or videoconference, provided that at least [*****] of the meetings are in person annually. The JRC meetings will be co-chaired, one designated by each Party. The co-chairpersons of the JRC will be responsible for calling meetings, preparing and circulating an agenda in advance of each meeting of the JRC, and preparing and issuing minutes of each meeting within [*****] thereafter;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JRC co-chairperson will call a meeting promptly upon the request of the other co-chairperson to convene a JRC meeting. The minutes will not be finalized until both chairpersons review and approve them. The co-chairs will rotate the responsibility for recording, preparing and issuing draft minutes of each JRC meeting. [*****].</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3.4 Membership</w:t>
      </w:r>
      <w:r>
        <w:rPr>
          <w:rFonts w:ascii="Arial" w:cs="Arial" w:eastAsia="Arial" w:hAnsi="Arial"/>
          <w:sz w:val="17"/>
          <w:szCs w:val="17"/>
          <w:color w:val="auto"/>
        </w:rPr>
        <w:t>. The JRC will have [*****] co-chairpersons, one designated by each Party and an equal number of additional members from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such total number including co-chairpersons not to exceed [*****] from each Party, with any additional members invited to participate on an as-needed basis. The co-chairpersons of the JRC will mutually determine the number of such additional members of the JRC, which such number may be changed from time to time by the co-chairpersons. Each Party may replace its JRC representatives at any time upon written notice to the other Party. Each Party may change its respective designated co-chairperson(s) from time to time upon written notice to the other Party,</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3.5 Sub-committees</w:t>
      </w:r>
      <w:r>
        <w:rPr>
          <w:rFonts w:ascii="Arial" w:cs="Arial" w:eastAsia="Arial" w:hAnsi="Arial"/>
          <w:sz w:val="18"/>
          <w:szCs w:val="18"/>
          <w:color w:val="auto"/>
        </w:rPr>
        <w:t>. The JRC will establish joint sub-committees as needed, and will delegate duties to such joint sub-committees to oversee and direct</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projects or activities at an appropriate time of which specific responsibilities and operating procedures will be separately agreed by the Parties at the JRC. One such sub-committee may be a joint intellectual property committee for preparation of the strategy on the filing, prosecution, and maintenance of the ACI Patents, Janssen Patents or Joint Patents.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3.6 JRC Decision-Making</w:t>
      </w:r>
      <w:r>
        <w:rPr>
          <w:rFonts w:ascii="Arial" w:cs="Arial" w:eastAsia="Arial" w:hAnsi="Arial"/>
          <w:sz w:val="18"/>
          <w:szCs w:val="18"/>
          <w:color w:val="auto"/>
        </w:rPr>
        <w:t>. The JRC will take action by unanimous vote with each Party having a single vote, irrespective of the number of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actually in attendance at a meeting, or by a written resolution signed by all of the designated representatives of each of the Parties. If the JRC is unable to reach unanimous consent on a particular matter within [*****] (unless otherwise agreed) of its initial consideration of such matter, then the matter will be referred to the Executive Officers (or their respective designees;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such designee is not a member of the JRC and occupies a position senior to the positions occupied by the applicable Party’s members of the JRC) of the other Party for resolution. If the Executive Officers are unable to resolve a dispute pursuant to section 3.6 after good faith negotiations (not to extend beyond [*****] unless otherwise agreed), such issue will be decided consistent with [*****].</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RESEARCH</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4.1 Research Efforts</w:t>
      </w:r>
      <w:r>
        <w:rPr>
          <w:rFonts w:ascii="Arial" w:cs="Arial" w:eastAsia="Arial" w:hAnsi="Arial"/>
          <w:sz w:val="18"/>
          <w:szCs w:val="18"/>
          <w:color w:val="auto"/>
        </w:rPr>
        <w:t>. Each Party will use Diligent Efforts a) to execute and perform its obligations under the Research Plan during the Research Term, b)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and utilize for the conduct of Research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69" w:right="25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scientific staff, laboratories, offices and other facilities consistent with its commitment of FTEs herein, and c) to cooperate with each other in the conduct of the Research. “</w:t>
      </w:r>
      <w:r>
        <w:rPr>
          <w:rFonts w:ascii="Arial" w:cs="Arial" w:eastAsia="Arial" w:hAnsi="Arial"/>
          <w:sz w:val="16"/>
          <w:szCs w:val="16"/>
          <w:b w:val="1"/>
          <w:bCs w:val="1"/>
          <w:color w:val="auto"/>
        </w:rPr>
        <w:t>FTE</w:t>
      </w:r>
      <w:r>
        <w:rPr>
          <w:rFonts w:ascii="Arial" w:cs="Arial" w:eastAsia="Arial" w:hAnsi="Arial"/>
          <w:sz w:val="16"/>
          <w:szCs w:val="16"/>
          <w:color w:val="auto"/>
        </w:rPr>
        <w:t xml:space="preserve">” means the equivalent of the work of one employee with appropriate professional scientific and/or technical or managerial experience, working on a dedicated full time basis for [*****] (consisting of at least a total of [*****] hours per year of dedicated effort, excluding vacations and holidays) of work on or directly related to the activities under this Agreement. ACI shall take adequate measures to ensure that its employees conducting Research or Development activities under this Agreement will not be working on any other Tau [*****] Tau-active antibody [*****]; provided that the foregoing will not apply [*****]. A list of ACI employees who will be conducting Research or Development activities under this Agreement is attached as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The JRC will update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as needed if additional ACI employees conduct Research or Development activities during the Term.</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4.2 Research Costs</w:t>
      </w:r>
      <w:r>
        <w:rPr>
          <w:rFonts w:ascii="Arial" w:cs="Arial" w:eastAsia="Arial" w:hAnsi="Arial"/>
          <w:sz w:val="18"/>
          <w:szCs w:val="18"/>
          <w:color w:val="auto"/>
        </w:rPr>
        <w:t>. During the second year of the Research Term, and upon completion of the “analysis of sera (J&amp;J and ACI) on functionality” as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on part 1 of the Research Plan in Schedule 1.66, ACI will provide Janssen with a written invoice for [*****]. During the Research Term, ACI will provide Janssen with a report at the end of each Calendar Quarter providing an accounting of the Research activities conducted by ACI during the previous Calendar Quarter and the costs for conducting those Research activities. If ACI fails to perform a Research activity assigned to it under the then current Research Plan, then [*****]</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INFORMATION SHARING COMMITTEE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5.1 Formation and Purpose</w:t>
      </w:r>
      <w:r>
        <w:rPr>
          <w:rFonts w:ascii="Arial" w:cs="Arial" w:eastAsia="Arial" w:hAnsi="Arial"/>
          <w:sz w:val="18"/>
          <w:szCs w:val="18"/>
          <w:color w:val="auto"/>
        </w:rPr>
        <w:t>: Within [*****] after the Effective Date, the Parties will establish an Information Sharing Committee (the “ISC”) to monitor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Product. The ISC will review and discuss the Development activities to be undertaken with respect to the Product being Developed by Janssen and will provide a forum for ACI to provide input into such Development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Specific Responsibilities of the ISC: </w:t>
      </w:r>
      <w:r>
        <w:rPr>
          <w:rFonts w:ascii="Arial" w:cs="Arial" w:eastAsia="Arial" w:hAnsi="Arial"/>
          <w:sz w:val="18"/>
          <w:szCs w:val="18"/>
          <w:color w:val="auto"/>
        </w:rPr>
        <w:t>As part of its overall responsibilities described in section 5.1, the ISC will:</w:t>
      </w:r>
    </w:p>
    <w:p>
      <w:pPr>
        <w:spacing w:after="0" w:line="135" w:lineRule="exact"/>
        <w:rPr>
          <w:sz w:val="20"/>
          <w:szCs w:val="20"/>
          <w:color w:val="auto"/>
        </w:rPr>
      </w:pPr>
    </w:p>
    <w:p>
      <w:pPr>
        <w:ind w:left="1940" w:hanging="568"/>
        <w:spacing w:after="0"/>
        <w:tabs>
          <w:tab w:leader="none" w:pos="19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review the progress of the Development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review any changes to the Development Plan.</w:t>
      </w:r>
    </w:p>
    <w:p>
      <w:pPr>
        <w:spacing w:after="0" w:line="130" w:lineRule="exact"/>
        <w:rPr>
          <w:rFonts w:ascii="Arial" w:cs="Arial" w:eastAsia="Arial" w:hAnsi="Arial"/>
          <w:sz w:val="18"/>
          <w:szCs w:val="18"/>
          <w:color w:val="auto"/>
        </w:rPr>
      </w:pPr>
    </w:p>
    <w:p>
      <w:pPr>
        <w:ind w:left="5620" w:right="4840" w:hanging="4248"/>
        <w:spacing w:after="0" w:line="490" w:lineRule="auto"/>
        <w:tabs>
          <w:tab w:leader="none" w:pos="193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actively seek ACI input and consider all input in good faith; and 12</w:t>
      </w:r>
    </w:p>
    <w:p>
      <w:pPr>
        <w:sectPr>
          <w:pgSz w:w="11900" w:h="16838" w:orient="portrait"/>
          <w:cols w:equalWidth="0" w:num="1">
            <w:col w:w="11400"/>
          </w:cols>
          <w:pgMar w:left="240" w:top="270" w:right="259"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hanging="568"/>
        <w:spacing w:after="0"/>
        <w:tabs>
          <w:tab w:leader="none" w:pos="19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5.3 ISC Meetings: </w:t>
      </w:r>
      <w:r>
        <w:rPr>
          <w:rFonts w:ascii="Arial" w:cs="Arial" w:eastAsia="Arial" w:hAnsi="Arial"/>
          <w:sz w:val="17"/>
          <w:szCs w:val="17"/>
          <w:color w:val="auto"/>
        </w:rPr>
        <w:t>The ISC will meet [*****]. The first meeting of the ISC will be held as soon as reasonably practicable, but in no event later than [*****]</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the Effective Date. Meetings will be held at such place or places as are mutually agreed or by teleconference or videoconference, provided that at least [*****] of the meetings are in person annually. The ISC meetings will be chaired by Janssen. The chairperson of the ISC will be responsible for calling meetings, preparing and circulating an agenda in advance of each meeting of the ISC, and preparing and issuing minutes of each meeting within [*****] thereafter;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ISC chairperson will call a meeting promptly upon the request by ACI to convene an ISC meeting. The minutes will not be finalized until both Parties review and approve them. [*****] incurred by its ISC members or by any additional non-member participants of a Party in connection with their attendance at ISC meetings and other activities related to any ISC.</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5.4 ISC Decision-Making: </w:t>
      </w:r>
      <w:r>
        <w:rPr>
          <w:rFonts w:ascii="Arial" w:cs="Arial" w:eastAsia="Arial" w:hAnsi="Arial"/>
          <w:sz w:val="18"/>
          <w:szCs w:val="18"/>
          <w:color w:val="auto"/>
        </w:rPr>
        <w:t>If a disagreement relating to a particular matter of Development arises at the ISC, the Parties will discuss the matter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order to resolve the issue. If the members of the ISC are unable to resolve the matter within [*****] (unless otherwise agreed) of its initial consideration of the matter, then it will be referred to the Executive Officers (or their respective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designee is not a member of the ISC and occupies a position senior to the positions occupied by the applicable Party’s members of the ISC) for resolution. If the Executive Officers are unable to resolve a dispute pursuant to section 5.4 after good faith negotiations (not to extend beyond [*****] unless otherwise agreed), the issue will be decided consistent with [*****].</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DEVELOPMENT; COMMERCIALIZATION</w:t>
      </w:r>
    </w:p>
    <w:p>
      <w:pPr>
        <w:spacing w:after="0" w:line="11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6.1 Phase 1b Clinical Trial</w:t>
      </w:r>
      <w:r>
        <w:rPr>
          <w:rFonts w:ascii="Arial" w:cs="Arial" w:eastAsia="Arial" w:hAnsi="Arial"/>
          <w:sz w:val="18"/>
          <w:szCs w:val="18"/>
          <w:color w:val="auto"/>
        </w:rPr>
        <w:t>. ACI will conduct Development activities for Product on Janssen’s behalf until completion of the phase 1b Clinical Trial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Development Plan, which will include an extension of the ongoing phase 1b Clinical Trial in accordance with the Development Plan. [*****].</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6.2 Development Responsibility and Costs</w:t>
      </w:r>
      <w:r>
        <w:rPr>
          <w:rFonts w:ascii="Arial" w:cs="Arial" w:eastAsia="Arial" w:hAnsi="Arial"/>
          <w:sz w:val="18"/>
          <w:szCs w:val="18"/>
          <w:color w:val="auto"/>
        </w:rPr>
        <w:t>. Except as provided in Section 6.1, [*****]. Within [*****] days after the earlier of (a) completion 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Phase 2 Clinical Trial for a Product for PSP/FTD as described in the Development Plan, or (b) [*****] years after the Effective Date, Janssen will make a decision on whether to commit to using Diligent Efforts to Develop, Manufacture and Commercialize a Product for a Second Indication and shall notify ACI in writing of its decision. If Janssen notifies ACI that it commits to use Diligent Efforts to Develop, Manufacture and Commercialize a Product for a Second Indication, then Section 2.1 of this Agreement shall be amended to include the obligation to use Diligent Efforts to Develop, Manufacture and Commercialize a Product for a Second Indication. [*****]</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433" w:name="page434"/>
    <w:bookmarkEnd w:id="4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If ACI thereafter solely Develops a Product for a Second Indication (and not in collaboration with a Third Party), and provided that such Product shall not contain [*****] as the Product Janssen is Developing for the AD Indication, then ACI will give written notice to Janssen upon completion of a phase 2b Clinical Trial for such Second Indication of the Product and grant Janssen the exclusive right to negotiate an agreement to Develop and Commercialize the Product for the Second Indication. If the Parties are unable to reach such an agreement within [*****] days from Janssen’s receipt of ACI’s notice, ACI shall be free to enter into an agreement with any Third Party.</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6.3 Regulatory Approvals</w:t>
      </w:r>
      <w:r>
        <w:rPr>
          <w:rFonts w:ascii="Arial" w:cs="Arial" w:eastAsia="Arial" w:hAnsi="Arial"/>
          <w:sz w:val="18"/>
          <w:szCs w:val="18"/>
          <w:color w:val="auto"/>
        </w:rPr>
        <w:t>. Janssen is solely responsible for preparing and submitting registration dossiers for Regulatory Approval of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All Regulatory Approvals shall be held by and in the name of Janssen, and Janssen will own all submissions in connection with them. Janssen has sole discretion for the regulatory strategy and regulatory decision-making for all Products.</w:t>
      </w:r>
    </w:p>
    <w:p>
      <w:pPr>
        <w:spacing w:after="0" w:line="176"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6.4 CMC Work</w:t>
      </w:r>
      <w:r>
        <w:rPr>
          <w:rFonts w:ascii="Arial" w:cs="Arial" w:eastAsia="Arial" w:hAnsi="Arial"/>
          <w:sz w:val="16"/>
          <w:szCs w:val="16"/>
          <w:color w:val="auto"/>
        </w:rPr>
        <w:t>. ACI shall conduct CMC activities for the Product in accordance with the CMC Work Plan. ACI may not enter into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with any Third Party for performance of any activities under the CMC Work Plan without the prior written consent of Janssen. [*****].</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6.5 Commercialization</w:t>
      </w:r>
      <w:r>
        <w:rPr>
          <w:rFonts w:ascii="Arial" w:cs="Arial" w:eastAsia="Arial" w:hAnsi="Arial"/>
          <w:sz w:val="18"/>
          <w:szCs w:val="18"/>
          <w:color w:val="auto"/>
        </w:rPr>
        <w:t>. Janssen has the exclusive right to Manufacture and Commercialize Products in the Territory [*****]. All decisions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Commercialization of Products will be made solely by Janssen.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Trademarks</w:t>
      </w:r>
      <w:r>
        <w:rPr>
          <w:rFonts w:ascii="Arial" w:cs="Arial" w:eastAsia="Arial" w:hAnsi="Arial"/>
          <w:sz w:val="18"/>
          <w:szCs w:val="18"/>
          <w:color w:val="auto"/>
        </w:rPr>
        <w:t>. Janssen will develop, select, maintain, and own trademark(s) for the Product(s) in the Territory.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6.7 Compliance</w:t>
      </w:r>
      <w:r>
        <w:rPr>
          <w:rFonts w:ascii="Arial" w:cs="Arial" w:eastAsia="Arial" w:hAnsi="Arial"/>
          <w:sz w:val="17"/>
          <w:szCs w:val="17"/>
          <w:color w:val="auto"/>
        </w:rPr>
        <w:t>. ACI will, and will cause its Affiliates and Third Party subcontractors to, comply with all applicable Laws in performing ACI’s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CMC activities, including those pertaining to the use of laboratory animals, cGLP, cGMP or cGCP as appropriate, under the Reearch Plan, Development Plan and CMC Work Plan. ACI will, and will cause its Affiliates and Third Party subcontractors to, maintain complete and accurate records of all work conducted in the performance of the Research Plan, Development Plan and CMC Work Plan, and all results, data, inventions and developments made in the performance of the Research Plan, Development Plan and CMC Work Plan. The records will be in sufficient detail, in good scientific and, as appropriate, cGLP, cGCP, and cGMP manner suitable for patent preparation and filing and regulatory purposes. ACI will maintain such records and related information for a period of [*****] years from their creation.</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6.8 Audit</w:t>
      </w:r>
      <w:r>
        <w:rPr>
          <w:rFonts w:ascii="Arial" w:cs="Arial" w:eastAsia="Arial" w:hAnsi="Arial"/>
          <w:sz w:val="16"/>
          <w:szCs w:val="16"/>
          <w:color w:val="auto"/>
        </w:rPr>
        <w:t>. With respect to any facility or site at which ACI conducts Research, Development or CMC activities pursuant to the Research Plan,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CMC Work Plan, respectively, including, where commercially reasonable and within the control of ACI, subcontractor facilities or sites, Janssen will have the right exercisable no more than once per Calendar Year, or more often if there are material compliance issues, at its expense, upon reasonable written notice and during normal business hours, to inspect such site and facility and any records relating thereto, in each case, only to the extent reasonably necessary to verify ACI’s, or its subcontractors compliance with the terms of this Agreement relating to cGMP, cGLP and cGCP. Such inspection shall be subject to the confidentiality provisions of this Agreement. ACI agrees, to use reasonable efforts to include in any contract or other written arrangement with a subcontractor relating to such facilities and sites a clause permitting Janssen to exercise its rights under this Section. In the event that during an inspection visit by Janssen of the facilities of ACI or any subcontractor’s facilities appointed by ACI, the facilities are found to be non-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434" w:name="page435"/>
    <w:bookmarkEnd w:id="4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compliant with one or more cGMP, cGLP or cGCP standards, ACI shall submit a proposed recovery/corrective action plan within [*****] days after Janssen’s notification to ACI of noncompliance.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LICENSE</w:t>
      </w:r>
    </w:p>
    <w:p>
      <w:pPr>
        <w:spacing w:after="0" w:line="117"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7.1 License Grant</w:t>
      </w:r>
      <w:r>
        <w:rPr>
          <w:rFonts w:ascii="Arial" w:cs="Arial" w:eastAsia="Arial" w:hAnsi="Arial"/>
          <w:sz w:val="17"/>
          <w:szCs w:val="17"/>
          <w:color w:val="auto"/>
        </w:rPr>
        <w:t>. ACI hereby grants to Janssen an exclusive license in the Field in the Territory under ACI Know-How and ACI Patent Rights and ACI’s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under Joint Know-How and Joint Patent Rights to make, have made, use, sell, offer for sale, have sold, and import Products.</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7.2 Right to Sublicense</w:t>
      </w:r>
      <w:r>
        <w:rPr>
          <w:rFonts w:ascii="Arial" w:cs="Arial" w:eastAsia="Arial" w:hAnsi="Arial"/>
          <w:sz w:val="16"/>
          <w:szCs w:val="16"/>
          <w:color w:val="auto"/>
        </w:rPr>
        <w:t>. The rights granted to Janssen in section 7.1 include the right to grant sublicenses;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such sublicense obliges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 to comply with all the terms of this Agreement (except those provisions which, by their clear meaning, are not applicable to a sublicense) and that Janssen remains liable to ACI for all material acts and omissions of any such sublicensee. In addition, Janssen will provide written notice to ACI of any such sublicense, along with a summary of the principal non-financial terms of that sublicense including its scope, the sublicensee’s duties and representations.</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7.3 License Grant to ACI</w:t>
      </w:r>
      <w:r>
        <w:rPr>
          <w:rFonts w:ascii="Arial" w:cs="Arial" w:eastAsia="Arial" w:hAnsi="Arial"/>
          <w:sz w:val="18"/>
          <w:szCs w:val="18"/>
          <w:color w:val="auto"/>
        </w:rPr>
        <w:t>. Janssen grants to ACI a worldwide non-exclusive license under Janssen Patent Rights and Janssen Know-How, including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to Janssen by ACI under section 7.1, for ACI to conduct: (i) Research activities in accordance with the Research Plan, and (ii) Development and CMC activities in accordance with sections 6.1 and 6.4.</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7.4 No Implied Licenses</w:t>
      </w:r>
      <w:r>
        <w:rPr>
          <w:rFonts w:ascii="Arial" w:cs="Arial" w:eastAsia="Arial" w:hAnsi="Arial"/>
          <w:sz w:val="18"/>
          <w:szCs w:val="18"/>
          <w:color w:val="auto"/>
        </w:rPr>
        <w:t>. Only those licenses expressly granted in this Agreement have effect. No license or other intellectual property interest is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or any method that is not express.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CONFIDENTIALITY AND PUBLICATION</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8.1 Nondisclosure Obligation</w:t>
      </w:r>
      <w:r>
        <w:rPr>
          <w:rFonts w:ascii="Arial" w:cs="Arial" w:eastAsia="Arial" w:hAnsi="Arial"/>
          <w:sz w:val="18"/>
          <w:szCs w:val="18"/>
          <w:color w:val="auto"/>
        </w:rPr>
        <w:t>. All Confidential Information disclosed by one Party to the other Party will be maintained in confidence by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receiving Party will not disclose it to a Third Party except to the extent that such Confidential Information is:</w:t>
      </w:r>
    </w:p>
    <w:p>
      <w:pPr>
        <w:spacing w:after="0" w:line="71" w:lineRule="exact"/>
        <w:rPr>
          <w:sz w:val="20"/>
          <w:szCs w:val="20"/>
          <w:color w:val="auto"/>
        </w:rPr>
      </w:pPr>
    </w:p>
    <w:p>
      <w:pPr>
        <w:ind w:left="1940" w:hanging="568"/>
        <w:spacing w:after="0"/>
        <w:tabs>
          <w:tab w:leader="none" w:pos="19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information which, at the time of disclosure is published, known publicly or is otherwise in the public domain; or</w:t>
      </w:r>
    </w:p>
    <w:p>
      <w:pPr>
        <w:spacing w:after="0" w:line="130" w:lineRule="exact"/>
        <w:rPr>
          <w:rFonts w:ascii="Arial" w:cs="Arial" w:eastAsia="Arial" w:hAnsi="Arial"/>
          <w:sz w:val="18"/>
          <w:szCs w:val="18"/>
          <w:color w:val="auto"/>
        </w:rPr>
      </w:pPr>
    </w:p>
    <w:p>
      <w:pPr>
        <w:ind w:left="1940" w:right="420" w:hanging="568"/>
        <w:spacing w:after="0" w:line="277" w:lineRule="auto"/>
        <w:tabs>
          <w:tab w:leader="none" w:pos="19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information which, after disclosure, is published or becomes known publicly or otherwise becomes part of the public domain, through no fault of the receiving Party; or</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information which, prior to the time of disclosure, is known to the receiving Party, as evidenced by its written records; or</w:t>
      </w:r>
    </w:p>
    <w:p>
      <w:pPr>
        <w:spacing w:after="0" w:line="142" w:lineRule="exact"/>
        <w:rPr>
          <w:rFonts w:ascii="Arial" w:cs="Arial" w:eastAsia="Arial" w:hAnsi="Arial"/>
          <w:sz w:val="17"/>
          <w:szCs w:val="17"/>
          <w:color w:val="auto"/>
        </w:rPr>
      </w:pPr>
    </w:p>
    <w:p>
      <w:pPr>
        <w:ind w:left="1940" w:right="160" w:hanging="568"/>
        <w:spacing w:after="0" w:line="342" w:lineRule="auto"/>
        <w:tabs>
          <w:tab w:leader="none" w:pos="19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information which has been or is disclosed to the receiving Party in good faith by a Third Party who was not, or is not, under any obligation of confidence or secrecy to the disclosing Party at the time the Third Party discloses it to the receiving Party; or</w:t>
      </w:r>
    </w:p>
    <w:p>
      <w:pPr>
        <w:spacing w:after="0" w:line="29" w:lineRule="exact"/>
        <w:rPr>
          <w:rFonts w:ascii="Arial" w:cs="Arial" w:eastAsia="Arial" w:hAnsi="Arial"/>
          <w:sz w:val="16"/>
          <w:szCs w:val="16"/>
          <w:color w:val="auto"/>
        </w:rPr>
      </w:pPr>
    </w:p>
    <w:p>
      <w:pPr>
        <w:ind w:left="1940" w:right="120" w:hanging="568"/>
        <w:spacing w:after="0" w:line="264" w:lineRule="auto"/>
        <w:tabs>
          <w:tab w:leader="none" w:pos="19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disclosed to governmental or other regulatory agencies to comply with applicable law or regulations,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receiving Party or its Affiliate provides to the disclosing Party prompt prior written notice of its obligation to make such disclosure and takes reasonable and lawful actions to avoid or minimize the degree of such disclosure; or</w:t>
      </w:r>
    </w:p>
    <w:p>
      <w:pPr>
        <w:spacing w:after="0" w:line="86" w:lineRule="exact"/>
        <w:rPr>
          <w:rFonts w:ascii="Arial" w:cs="Arial" w:eastAsia="Arial" w:hAnsi="Arial"/>
          <w:sz w:val="18"/>
          <w:szCs w:val="18"/>
          <w:color w:val="auto"/>
        </w:rPr>
      </w:pPr>
    </w:p>
    <w:p>
      <w:pPr>
        <w:ind w:left="1940" w:hanging="568"/>
        <w:spacing w:after="0" w:line="277" w:lineRule="auto"/>
        <w:tabs>
          <w:tab w:leader="none" w:pos="19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the extent it is deemed necessary by Janssen or its Affiliate, in its reasonable judgment, to be disclosed to any Third Party for the research and Development, Manufacturing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435" w:name="page436"/>
    <w:bookmarkEnd w:id="4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left="1940" w:right="120"/>
        <w:spacing w:after="0" w:line="264" w:lineRule="auto"/>
        <w:rPr>
          <w:sz w:val="20"/>
          <w:szCs w:val="20"/>
          <w:color w:val="auto"/>
        </w:rPr>
      </w:pPr>
      <w:r>
        <w:rPr>
          <w:rFonts w:ascii="Arial" w:cs="Arial" w:eastAsia="Arial" w:hAnsi="Arial"/>
          <w:sz w:val="18"/>
          <w:szCs w:val="18"/>
          <w:color w:val="auto"/>
        </w:rPr>
        <w:t xml:space="preserve">and/or Commercialization of a Product (or for such entities to determine their interest in performing such activities) in accordance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Third Party agrees to be bound by confidentiality and non-use obligations that are no less stringent than those contained in this Agreement.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combination of features or disclosures will not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Party is required by judicial or administrative process to disclose Confidential Information that is subject to the non-disclosure provisions of this section 8.1, such Party shall promptly inform the other Party of the disclosure that is being sought in order to provide the other Party an opportunity to challenge or limit the disclosure obligations. Confidential Information that is disclosed by judicial or administrative process remains otherwise subject to the confidentiality and non-use provisions of this section 8.1, and the receiving Party shall co-operate with any reasonable attempts of the disclosing Party to limit the disclosure required by law, including by obtaining an order of confidentiality, to ensure the continued confidential treatment of such Confidential Information.</w:t>
      </w:r>
    </w:p>
    <w:p>
      <w:pPr>
        <w:spacing w:after="0" w:line="3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Publication</w:t>
      </w:r>
      <w:r>
        <w:rPr>
          <w:rFonts w:ascii="Arial" w:cs="Arial" w:eastAsia="Arial" w:hAnsi="Arial"/>
          <w:sz w:val="16"/>
          <w:szCs w:val="16"/>
          <w:color w:val="auto"/>
        </w:rPr>
        <w:t>.</w:t>
      </w:r>
    </w:p>
    <w:p>
      <w:pPr>
        <w:spacing w:after="0" w:line="117"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b w:val="1"/>
          <w:bCs w:val="1"/>
          <w:color w:val="auto"/>
        </w:rPr>
        <w:t xml:space="preserve">8.2.1 </w:t>
      </w:r>
      <w:r>
        <w:rPr>
          <w:rFonts w:ascii="Arial" w:cs="Arial" w:eastAsia="Arial" w:hAnsi="Arial"/>
          <w:sz w:val="17"/>
          <w:szCs w:val="17"/>
          <w:color w:val="auto"/>
        </w:rPr>
        <w:t>A Party, its employees or consultants wishing to publish or publicly present any information about a Product or the results of any activities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Product shall deliver to the other Party a copy of the proposed written publication or an outline of an oral disclosure at least [*****] days prior to submission for publication or presentation. The reviewing Party shall notify the other Party within [*****] days of receipt of the proposed publication whether the draft publication contains (i) information that is Confidential to the reviewing Party, or (ii) information that if published would have an adverse effect on a patent application covering the subject matter of this Agreement. The reviewing Party will propose modifications to the publication or presentation for patent reasons, confidentiality reasons or request a reasonable delay in publication or presentation in order to protect patentable information. If the reviewing Party requests a delay to protect patentable information, the other Party shall delay submission or presentation for a period not to exceed [*****] days to enable relevant patent applications to be filed. Upon expiration of such [*****] days, such Party shall be free to proceed with the publication or presentation. If the reviewing Party reasonably requests modifications to the publication or presentation to prevent disclosure of Confidential Information of such Party, the other Party will edit such publication to prevent the disclosure of such information prior to submission of the publication or presentation.</w:t>
      </w:r>
    </w:p>
    <w:p>
      <w:pPr>
        <w:spacing w:after="0" w:line="66"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Once a publication or presentation has been approved, the Parties may use the information contained in the publication or presentation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further approval.</w:t>
      </w:r>
    </w:p>
    <w:p>
      <w:pPr>
        <w:spacing w:after="0" w:line="54" w:lineRule="exact"/>
        <w:rPr>
          <w:sz w:val="20"/>
          <w:szCs w:val="20"/>
          <w:color w:val="auto"/>
        </w:rPr>
      </w:pPr>
    </w:p>
    <w:p>
      <w:pPr>
        <w:ind w:left="580" w:right="20"/>
        <w:spacing w:after="0" w:line="282"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The Parties will ascribe authorship of any proposed publication using accepted standards used in peer-reviewed, academic journals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publication.</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8.3 Publicity/Use of Names</w:t>
      </w:r>
      <w:r>
        <w:rPr>
          <w:rFonts w:ascii="Arial" w:cs="Arial" w:eastAsia="Arial" w:hAnsi="Arial"/>
          <w:sz w:val="17"/>
          <w:szCs w:val="17"/>
          <w:color w:val="auto"/>
        </w:rPr>
        <w:t>. The form of the initial press release that may be issued by ACI, is attached as Exhibit A. Each Party is free to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disclosed in the press release in any other format without further approval by the other Party, except no statements by any Party’s official or representatives (if included in the initial press release) shall be used out of context or for promotional purposes. Otherwise, neither Party shall disclose the existence of this Agreement or its terms nor shall they use the name, trademark, trade name or logo of the other Party or its employees in any publicity, news release or promotional materials relating to this Agreement or its subject matter, without the prior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436" w:name="page437"/>
    <w:bookmarkEnd w:id="4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express written permission of the other Party, except as may be required by applicable laws, regulations, or judicial order. The Party desiring to make the public announcement shall provide the other Party with a written copy of the proposed announcement in sufficient time prior to public release to allow the other Party to comment upon the announcement, prior to public release. Notwithstanding the foregoing, ACI shall have the right to disclose the existence of this Agreement and its terms, under confidentiality obligations no less restrictive than those contained herein, to its actual or prospective investors or acquirers, or as reasonably necessary to its prospective licensees or collaborators provided that ACI redacts sensitive information before providing to licensees or collaborators including, but not limited to, all financial and payment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PAYMENTS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Upfront Fee and Development Cost Sharing.</w:t>
      </w:r>
    </w:p>
    <w:p>
      <w:pPr>
        <w:spacing w:after="0" w:line="117" w:lineRule="exact"/>
        <w:rPr>
          <w:sz w:val="20"/>
          <w:szCs w:val="20"/>
          <w:color w:val="auto"/>
        </w:rPr>
      </w:pPr>
    </w:p>
    <w:p>
      <w:pPr>
        <w:ind w:left="580" w:right="280"/>
        <w:spacing w:after="0" w:line="266" w:lineRule="auto"/>
        <w:rPr>
          <w:sz w:val="20"/>
          <w:szCs w:val="20"/>
          <w:color w:val="auto"/>
        </w:rPr>
      </w:pPr>
      <w:r>
        <w:rPr>
          <w:rFonts w:ascii="Arial" w:cs="Arial" w:eastAsia="Arial" w:hAnsi="Arial"/>
          <w:sz w:val="18"/>
          <w:szCs w:val="18"/>
          <w:b w:val="1"/>
          <w:bCs w:val="1"/>
          <w:color w:val="auto"/>
        </w:rPr>
        <w:t>9.1.1 Upfront Fee</w:t>
      </w:r>
      <w:r>
        <w:rPr>
          <w:rFonts w:ascii="Arial" w:cs="Arial" w:eastAsia="Arial" w:hAnsi="Arial"/>
          <w:sz w:val="18"/>
          <w:szCs w:val="18"/>
          <w:color w:val="auto"/>
        </w:rPr>
        <w:t>. Janssen shall pay to ACI the amount of twenty-five million eight hundred fifty-six thousand three hundred CHF (CHF</w:t>
      </w:r>
      <w:r>
        <w:rPr>
          <w:rFonts w:ascii="Arial" w:cs="Arial" w:eastAsia="Arial" w:hAnsi="Arial"/>
          <w:sz w:val="18"/>
          <w:szCs w:val="18"/>
          <w:b w:val="1"/>
          <w:bCs w:val="1"/>
          <w:color w:val="auto"/>
        </w:rPr>
        <w:t xml:space="preserve"> </w:t>
      </w:r>
      <w:r>
        <w:rPr>
          <w:rFonts w:ascii="Arial" w:cs="Arial" w:eastAsia="Arial" w:hAnsi="Arial"/>
          <w:sz w:val="18"/>
          <w:szCs w:val="18"/>
          <w:color w:val="auto"/>
        </w:rPr>
        <w:t>25,856,300) as a one-time, non-refundable and non-creditable upfront fee, due on the Effective Date but payable within 45 days after the Effective Date.</w:t>
      </w:r>
    </w:p>
    <w:p>
      <w:pPr>
        <w:spacing w:after="0" w:line="68"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b w:val="1"/>
          <w:bCs w:val="1"/>
          <w:color w:val="auto"/>
        </w:rPr>
        <w:t>9.1.2 Development Cost Sharing</w:t>
      </w:r>
      <w:r>
        <w:rPr>
          <w:rFonts w:ascii="Arial" w:cs="Arial" w:eastAsia="Arial" w:hAnsi="Arial"/>
          <w:sz w:val="18"/>
          <w:szCs w:val="18"/>
          <w:color w:val="auto"/>
        </w:rPr>
        <w:t>. [*****]. Up until completion of the phase 1b Clinical Trial, each Party will provide the other Party with a report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each Calendar Quarter providing an accounting of its CMC and Development activities during the previous Calendar Quarter and the costs associated with such activities. In the event that at the end of any Calendar Year one Party has paid more than its share of the CMC and Development costs, such Party shall send a written notice and invoice to the other Party describing the overpayment against such Party’s share and requesting reimbursement for the overpayment amount. The Party receiving such invoice shall reimburse the other Party within [*****] of its receipt of the invoice.</w:t>
      </w:r>
    </w:p>
    <w:p>
      <w:pPr>
        <w:spacing w:after="0" w:line="3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Milestone Payments</w:t>
      </w:r>
      <w:r>
        <w:rPr>
          <w:rFonts w:ascii="Arial" w:cs="Arial" w:eastAsia="Arial" w:hAnsi="Arial"/>
          <w:sz w:val="15"/>
          <w:szCs w:val="15"/>
          <w:color w:val="auto"/>
        </w:rPr>
        <w:t>.</w:t>
      </w:r>
    </w:p>
    <w:p>
      <w:pPr>
        <w:spacing w:after="0" w:line="117"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Janssen shall pay to ACI one time only each of the amounts set forth in this section 9.2.1 (each, a “</w:t>
      </w:r>
      <w:r>
        <w:rPr>
          <w:rFonts w:ascii="Arial" w:cs="Arial" w:eastAsia="Arial" w:hAnsi="Arial"/>
          <w:sz w:val="18"/>
          <w:szCs w:val="18"/>
          <w:u w:val="single" w:color="auto"/>
          <w:color w:val="auto"/>
        </w:rPr>
        <w:t>Milestone Payment</w:t>
      </w:r>
      <w:r>
        <w:rPr>
          <w:rFonts w:ascii="Arial" w:cs="Arial" w:eastAsia="Arial" w:hAnsi="Arial"/>
          <w:sz w:val="18"/>
          <w:szCs w:val="18"/>
          <w:color w:val="auto"/>
        </w:rPr>
        <w:t>”) if such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event (each, a “</w:t>
      </w:r>
      <w:r>
        <w:rPr>
          <w:rFonts w:ascii="Arial" w:cs="Arial" w:eastAsia="Arial" w:hAnsi="Arial"/>
          <w:sz w:val="18"/>
          <w:szCs w:val="18"/>
          <w:u w:val="single" w:color="auto"/>
          <w:color w:val="auto"/>
        </w:rPr>
        <w:t>Milestone Event</w:t>
      </w:r>
      <w:r>
        <w:rPr>
          <w:rFonts w:ascii="Arial" w:cs="Arial" w:eastAsia="Arial" w:hAnsi="Arial"/>
          <w:sz w:val="18"/>
          <w:szCs w:val="18"/>
          <w:color w:val="auto"/>
        </w:rPr>
        <w:t>”) is achieved with a Product.</w:t>
      </w:r>
    </w:p>
    <w:p>
      <w:pPr>
        <w:spacing w:after="0" w:line="310" w:lineRule="exact"/>
        <w:rPr>
          <w:sz w:val="20"/>
          <w:szCs w:val="20"/>
          <w:color w:val="auto"/>
        </w:rPr>
      </w:pPr>
    </w:p>
    <w:p>
      <w:pPr>
        <w:ind w:left="1940" w:hanging="568"/>
        <w:spacing w:after="0"/>
        <w:tabs>
          <w:tab w:leader="none" w:pos="19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Milestone Events for AD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6"/>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r>
        <w:trPr>
          <w:trHeight w:val="365"/>
        </w:trPr>
        <w:tc>
          <w:tcPr>
            <w:tcW w:w="3320" w:type="dxa"/>
            <w:vAlign w:val="bottom"/>
          </w:tcPr>
          <w:p>
            <w:pPr>
              <w:spacing w:after="0"/>
              <w:rPr>
                <w:sz w:val="24"/>
                <w:szCs w:val="24"/>
                <w:color w:val="auto"/>
              </w:rPr>
            </w:pPr>
          </w:p>
        </w:tc>
        <w:tc>
          <w:tcPr>
            <w:tcW w:w="2580" w:type="dxa"/>
            <w:vAlign w:val="bottom"/>
          </w:tcPr>
          <w:p>
            <w:pPr>
              <w:jc w:val="right"/>
              <w:ind w:right="1396"/>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269" w:right="259" w:bottom="1440" w:gutter="0" w:footer="0" w:header="0"/>
        </w:sectPr>
      </w:pPr>
    </w:p>
    <w:bookmarkStart w:id="437" w:name="page438"/>
    <w:bookmarkEnd w:id="437"/>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13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138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581"/>
        </w:trPr>
        <w:tc>
          <w:tcPr>
            <w:tcW w:w="1760" w:type="dxa"/>
            <w:vAlign w:val="bottom"/>
            <w:gridSpan w:val="2"/>
          </w:tcPr>
          <w:p>
            <w:pPr>
              <w:ind w:left="1380"/>
              <w:spacing w:after="0"/>
              <w:rPr>
                <w:sz w:val="20"/>
                <w:szCs w:val="20"/>
                <w:color w:val="auto"/>
              </w:rPr>
            </w:pPr>
            <w:r>
              <w:rPr>
                <w:rFonts w:ascii="Arial" w:cs="Arial" w:eastAsia="Arial" w:hAnsi="Arial"/>
                <w:sz w:val="18"/>
                <w:szCs w:val="18"/>
                <w:b w:val="1"/>
                <w:bCs w:val="1"/>
                <w:color w:val="auto"/>
              </w:rPr>
              <w:t>(b)</w:t>
            </w:r>
          </w:p>
        </w:tc>
        <w:tc>
          <w:tcPr>
            <w:tcW w:w="57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Development Milestone Events for Second Indication</w:t>
            </w: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Milestone Event</w:t>
            </w:r>
          </w:p>
        </w:tc>
        <w:tc>
          <w:tcPr>
            <w:tcW w:w="260" w:type="dxa"/>
            <w:vAlign w:val="bottom"/>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270" w:right="1440" w:bottom="1440" w:gutter="0" w:footer="0" w:header="0"/>
        </w:sectPr>
      </w:pPr>
    </w:p>
    <w:bookmarkStart w:id="438" w:name="page439"/>
    <w:bookmarkEnd w:id="4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tabs>
          <w:tab w:leader="none" w:pos="5680" w:val="left"/>
          <w:tab w:leader="none" w:pos="8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1940" w:hanging="568"/>
        <w:spacing w:after="0"/>
        <w:tabs>
          <w:tab w:leader="none" w:pos="194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Milestone Events for AD Indication and Second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Maximum Milestone Payments.</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Milestone Payments are payable only once upon the initial achievement of the associated Milestone Event. Once a Milestone Event has been triggered and paid for a Product, no additional payment will be due for that particular Milestone Event regardless of the number of follow-on or back-up Products which may subsequently reach that same Milestone Event. Janssen shall promptly (but in no event more than [*****] days) provide ACI with written notice upon the achievement of each Milestone Event. The notice will indicate that the Milestone Event was achieved and request that ACI send a written invoice for the Milestone Amount to Janssen at a specific address, if the address is different than that indicated in section 13.5. Janssen shall pay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439" w:name="page440"/>
    <w:bookmarkEnd w:id="4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140"/>
        <w:spacing w:after="0" w:line="255" w:lineRule="auto"/>
        <w:rPr>
          <w:sz w:val="20"/>
          <w:szCs w:val="20"/>
          <w:color w:val="auto"/>
        </w:rPr>
      </w:pPr>
      <w:r>
        <w:rPr>
          <w:rFonts w:ascii="Arial" w:cs="Arial" w:eastAsia="Arial" w:hAnsi="Arial"/>
          <w:sz w:val="18"/>
          <w:szCs w:val="18"/>
          <w:color w:val="auto"/>
        </w:rPr>
        <w:t xml:space="preserve">each Milestone Amount to ACI within [*****] of Janssen’s receipt of ACI’s invoice for such Milestone Event. </w:t>
      </w:r>
      <w:r>
        <w:rPr>
          <w:rFonts w:ascii="Arial" w:cs="Arial" w:eastAsia="Arial" w:hAnsi="Arial"/>
          <w:sz w:val="18"/>
          <w:szCs w:val="18"/>
          <w:u w:val="single" w:color="auto"/>
          <w:color w:val="auto"/>
        </w:rPr>
        <w:t>Schedule 9.2.2</w:t>
      </w:r>
      <w:r>
        <w:rPr>
          <w:rFonts w:ascii="Arial" w:cs="Arial" w:eastAsia="Arial" w:hAnsi="Arial"/>
          <w:sz w:val="18"/>
          <w:szCs w:val="18"/>
          <w:color w:val="auto"/>
        </w:rPr>
        <w:t xml:space="preserve"> sets forth the relevant information of the Parties for payment of the Milestones. With regard to the Commercial Milestone Events in section 9.2.1(c), [*****]. If ACI believes any Milestone Payment is due in spite of not having received notice from Janssen, it shall so notify Janssen and provide to Janssen the data and information supporting its belief. Janssen shall have [*****] after receipt of the data and information from ACI to address ACI’s notification. If upon receipt of Janssen’s answer to ACI’s notification, ACI still believes such Milestone Payment is due, the matter will be referred to arbitration in accordance with Section 13.7.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9.3 Royalties. </w:t>
      </w:r>
      <w:r>
        <w:rPr>
          <w:rFonts w:ascii="Arial" w:cs="Arial" w:eastAsia="Arial" w:hAnsi="Arial"/>
          <w:sz w:val="18"/>
          <w:szCs w:val="18"/>
          <w:color w:val="auto"/>
        </w:rPr>
        <w:t>Janssen shall pay to ACI royalties on the Net Sales of Products as set out in this section 9.3.</w:t>
      </w:r>
    </w:p>
    <w:p>
      <w:pPr>
        <w:spacing w:after="0" w:line="3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6"/>
          <w:szCs w:val="16"/>
          <w:b w:val="1"/>
          <w:bCs w:val="1"/>
          <w:color w:val="auto"/>
        </w:rPr>
        <w:t>Royalty Rates.</w:t>
      </w:r>
    </w:p>
    <w:p>
      <w:pPr>
        <w:spacing w:after="0" w:line="131" w:lineRule="exact"/>
        <w:rPr>
          <w:sz w:val="20"/>
          <w:szCs w:val="20"/>
          <w:color w:val="auto"/>
        </w:rPr>
      </w:pPr>
    </w:p>
    <w:p>
      <w:pPr>
        <w:ind w:left="1940" w:hanging="568"/>
        <w:spacing w:after="0" w:line="291" w:lineRule="auto"/>
        <w:tabs>
          <w:tab w:leader="none" w:pos="1940"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Royalties Payable</w:t>
      </w:r>
      <w:r>
        <w:rPr>
          <w:rFonts w:ascii="Arial" w:cs="Arial" w:eastAsia="Arial" w:hAnsi="Arial"/>
          <w:sz w:val="16"/>
          <w:szCs w:val="16"/>
          <w:color w:val="auto"/>
        </w:rPr>
        <w:t>. Janssen shall pay ACI royalties on aggregate Net Sales of all Products in each Calendar Year in the Territory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royalty rates set out below. The period in which royalties are payable for a Product commences with the First Commercial Sale of the Product in a country and ends, with respect to that Product in that country upon the later to occur of (i) ten years from First Commercial Sale of the Product in that country or (ii) expiration of the last-to-expire Valid Claim of the ACI Patent Rights, Janssen Patent Rights as set out in clause b of the definition (and not those set out in clause a) or Joint Patent Rights in that country that but for the licenses granted herein, would be infringed by the making, using, selling, offering for sale, keeping or importing of such Product or (iii) expiration of regulatory or data exclusivity granted by a Regulatory Authority that prevents a Third Party from obtaining an approval to sell a Biosimilar Product having a Peptide for a use similar to a Product in that country.</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Back-</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Lead</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up</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Calendar Year Net Sales</w:t>
            </w: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5960" w:type="dxa"/>
            <w:vAlign w:val="bottom"/>
            <w:gridSpan w:val="2"/>
          </w:tcPr>
          <w:p>
            <w:pPr>
              <w:jc w:val="right"/>
              <w:ind w:right="85"/>
              <w:spacing w:after="0" w:line="158"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05"/>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520" w:type="dxa"/>
            <w:vAlign w:val="bottom"/>
          </w:tcPr>
          <w:p>
            <w:pPr>
              <w:spacing w:after="0"/>
              <w:rPr>
                <w:sz w:val="24"/>
                <w:szCs w:val="24"/>
                <w:color w:val="auto"/>
              </w:rPr>
            </w:pPr>
          </w:p>
        </w:tc>
        <w:tc>
          <w:tcPr>
            <w:tcW w:w="5380" w:type="dxa"/>
            <w:vAlign w:val="bottom"/>
          </w:tcPr>
          <w:p>
            <w:pPr>
              <w:jc w:val="right"/>
              <w:ind w:right="2399"/>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40" w:name="page441"/>
    <w:bookmarkEnd w:id="440"/>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4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800"/>
        <w:spacing w:after="0"/>
        <w:tabs>
          <w:tab w:leader="none" w:pos="7680" w:val="left"/>
          <w:tab w:leader="none" w:pos="8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1360" w:hanging="568"/>
        <w:spacing w:after="0"/>
        <w:tabs>
          <w:tab w:leader="none" w:pos="13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Generic Competition</w:t>
      </w:r>
      <w:r>
        <w:rPr>
          <w:rFonts w:ascii="Arial" w:cs="Arial" w:eastAsia="Arial" w:hAnsi="Arial"/>
          <w:sz w:val="18"/>
          <w:szCs w:val="18"/>
          <w:color w:val="auto"/>
        </w:rPr>
        <w:t>. The royalty rate applied in section 9.3.1(a)</w:t>
      </w:r>
      <w:r>
        <w:rPr>
          <w:rFonts w:ascii="Arial" w:cs="Arial" w:eastAsia="Arial" w:hAnsi="Arial"/>
          <w:sz w:val="18"/>
          <w:szCs w:val="18"/>
          <w:b w:val="1"/>
          <w:bCs w:val="1"/>
          <w:color w:val="auto"/>
        </w:rPr>
        <w:t xml:space="preserve"> [*****].</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Reduction. </w:t>
      </w:r>
      <w:r>
        <w:rPr>
          <w:rFonts w:ascii="Arial" w:cs="Arial" w:eastAsia="Arial" w:hAnsi="Arial"/>
          <w:sz w:val="18"/>
          <w:szCs w:val="18"/>
          <w:color w:val="auto"/>
        </w:rPr>
        <w:t>The royalties applicable in any country will be [*****]</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Off-Set for Third-Party Patents.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Maximum Deduction</w:t>
      </w:r>
      <w:r>
        <w:rPr>
          <w:rFonts w:ascii="Arial" w:cs="Arial" w:eastAsia="Arial" w:hAnsi="Arial"/>
          <w:sz w:val="16"/>
          <w:szCs w:val="16"/>
          <w:color w:val="auto"/>
        </w:rPr>
        <w:t>. Notwithstanding the foregoing, regardless of the deductions made to the royalties under Sections 9.3.1(b),</w:t>
      </w:r>
    </w:p>
    <w:p>
      <w:pPr>
        <w:spacing w:after="0" w:line="50" w:lineRule="exact"/>
        <w:rPr>
          <w:rFonts w:ascii="Arial" w:cs="Arial" w:eastAsia="Arial" w:hAnsi="Arial"/>
          <w:sz w:val="16"/>
          <w:szCs w:val="16"/>
          <w:b w:val="1"/>
          <w:bCs w:val="1"/>
          <w:color w:val="auto"/>
        </w:rPr>
      </w:pPr>
    </w:p>
    <w:p>
      <w:pPr>
        <w:ind w:left="1360"/>
        <w:spacing w:after="0"/>
        <w:rPr>
          <w:rFonts w:ascii="Arial" w:cs="Arial" w:eastAsia="Arial" w:hAnsi="Arial"/>
          <w:sz w:val="16"/>
          <w:szCs w:val="16"/>
          <w:b w:val="1"/>
          <w:bCs w:val="1"/>
          <w:color w:val="auto"/>
        </w:rPr>
      </w:pPr>
      <w:r>
        <w:rPr>
          <w:rFonts w:ascii="Arial" w:cs="Arial" w:eastAsia="Arial" w:hAnsi="Arial"/>
          <w:sz w:val="18"/>
          <w:szCs w:val="18"/>
          <w:color w:val="auto"/>
        </w:rPr>
        <w:t>(c) and (d),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9.3.2 Other Royalty Provisions</w:t>
      </w:r>
      <w:r>
        <w:rPr>
          <w:rFonts w:ascii="Arial" w:cs="Arial" w:eastAsia="Arial" w:hAnsi="Arial"/>
          <w:sz w:val="18"/>
          <w:szCs w:val="18"/>
          <w:color w:val="auto"/>
        </w:rPr>
        <w:t>. All royalties are subject to the following conditions: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820" w:top="269" w:right="35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Compulsory Licenses.</w:t>
      </w:r>
    </w:p>
    <w:p>
      <w:pPr>
        <w:spacing w:after="0" w:line="131"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9.4.1</w:t>
      </w:r>
      <w:r>
        <w:rPr>
          <w:sz w:val="20"/>
          <w:szCs w:val="20"/>
          <w:color w:val="auto"/>
        </w:rPr>
        <w:tab/>
      </w:r>
      <w:r>
        <w:rPr>
          <w:rFonts w:ascii="Arial" w:cs="Arial" w:eastAsia="Arial" w:hAnsi="Arial"/>
          <w:sz w:val="18"/>
          <w:szCs w:val="18"/>
          <w:color w:val="auto"/>
        </w:rPr>
        <w:t>Terms of a compulsory license granted by a governmental agency that are more favorable than terms granted to Janssen in this Agreement [*****].</w:t>
      </w:r>
    </w:p>
    <w:p>
      <w:pPr>
        <w:spacing w:after="0" w:line="76" w:lineRule="exact"/>
        <w:rPr>
          <w:sz w:val="20"/>
          <w:szCs w:val="20"/>
          <w:color w:val="auto"/>
        </w:rPr>
      </w:pPr>
    </w:p>
    <w:p>
      <w:pPr>
        <w:ind w:left="1380" w:right="2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9.4.2</w:t>
      </w:r>
      <w:r>
        <w:rPr>
          <w:sz w:val="20"/>
          <w:szCs w:val="20"/>
          <w:color w:val="auto"/>
        </w:rPr>
        <w:tab/>
      </w:r>
      <w:r>
        <w:rPr>
          <w:rFonts w:ascii="Arial" w:cs="Arial" w:eastAsia="Arial" w:hAnsi="Arial"/>
          <w:sz w:val="18"/>
          <w:szCs w:val="18"/>
          <w:color w:val="auto"/>
        </w:rPr>
        <w:t>[*****] if a government grants or compels Janssen to grant a compulsory license to a Third Party insofar as Janssen is compensated on a royalty basis [*****].</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9.5 Reports and Payments</w:t>
      </w:r>
      <w:r>
        <w:rPr>
          <w:rFonts w:ascii="Arial" w:cs="Arial" w:eastAsia="Arial" w:hAnsi="Arial"/>
          <w:sz w:val="17"/>
          <w:szCs w:val="17"/>
          <w:color w:val="auto"/>
        </w:rPr>
        <w:t>. During the term of this Agreement following the First Commercial Sale of a Product in any country, Janssen shall furnish to ACI</w:t>
      </w:r>
      <w:r>
        <w:rPr>
          <w:rFonts w:ascii="Arial" w:cs="Arial" w:eastAsia="Arial" w:hAnsi="Arial"/>
          <w:sz w:val="17"/>
          <w:szCs w:val="17"/>
          <w:b w:val="1"/>
          <w:bCs w:val="1"/>
          <w:color w:val="auto"/>
        </w:rPr>
        <w:t xml:space="preserve"> </w:t>
      </w:r>
      <w:r>
        <w:rPr>
          <w:rFonts w:ascii="Arial" w:cs="Arial" w:eastAsia="Arial" w:hAnsi="Arial"/>
          <w:sz w:val="17"/>
          <w:szCs w:val="17"/>
          <w:color w:val="auto"/>
        </w:rPr>
        <w:t>a quarterly written report, as of the end of each Calendar Quarter, showing [*****]. Janssen will provide such reports to ACI no later than [*****] day following the last day of each Calendar Quarter. Royalties shown to have accrued by each royalty report are due and payable to ACI on [*****] day following the end of such Calendar Quarter. Janssen will keep and will cause Related Parties to keep complete and accurate records in sufficient detail to enable the royalties payable to be determined and the information provided to be verified by ACI’s accounting firm pursuant to section 9.6.</w:t>
      </w:r>
    </w:p>
    <w:p>
      <w:pPr>
        <w:spacing w:after="0" w:line="1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payments to be made by Janssen to ACI under this Agreement will be made in Swiss Francs (CHF) and paid by bank wire transfer in immediately available funds to a bank account in the United States or elsewhere as may be designated in writing by ACI.</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Net Sales of Product invoiced by Janssen or Janssen’s Affiliates in a currency other than USD, the amounts and the amounts payable will be expressed in their USD equivalent calculated using the following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upcoming J&amp;J Calendar Year, Janssen will provide: I) a Currency Hedge Rate(s) to be used for the local currency of each country of the Territory, and</w:t>
      </w:r>
    </w:p>
    <w:p>
      <w:pPr>
        <w:spacing w:after="0" w:line="46" w:lineRule="exact"/>
        <w:rPr>
          <w:sz w:val="20"/>
          <w:szCs w:val="20"/>
          <w:color w:val="auto"/>
        </w:rPr>
      </w:pPr>
    </w:p>
    <w:p>
      <w:pPr>
        <w:ind w:right="60" w:firstLine="8"/>
        <w:spacing w:after="0" w:line="255" w:lineRule="auto"/>
        <w:tabs>
          <w:tab w:leader="none" w:pos="19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details of the Currency Hedge Rate(s) in writing to ACI not later than [*****] business days after the Currency Hedge Rate(s) are available from the GTSC or its Affiliates, which is customarily at the end of October. The Currency Hedge Rate(s) will remain constant throughout the upcoming J &amp;J Calendar Year.</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Janssen will use the Currency Hedge Rate(s) during the J&amp;J Calendar Year to convert Net Sales to USD for the purpose of calculating royalties. After the First Commercial Sale of a Product in the Territory, Janssen will promptly inform ACI of any material change in the Currency Hedge Rate methodology and calculation.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442" w:name="page443"/>
    <w:bookmarkEnd w:id="4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9.6 Audits</w:t>
      </w:r>
      <w:r>
        <w:rPr>
          <w:rFonts w:ascii="Arial" w:cs="Arial" w:eastAsia="Arial" w:hAnsi="Arial"/>
          <w:sz w:val="17"/>
          <w:szCs w:val="17"/>
          <w:color w:val="auto"/>
        </w:rPr>
        <w:t>. Janssen shall and shall cause Related Parties to maintain complete and accurate financial records of the Net Sales of Products and calculation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royalties in sufficient detail to permit ACI to confirm the accuracy of such financial records limited to the royalty calculations and calculation of Net Sales. Upon the written request of ACI but not more often than once every Calendar Year, at ACI’s expense, Janssen will permit an independent certified accountant selected by ACI and reasonably acceptable to Janssen to have access during normal business hours to those financial records of Janssen and its Related Parties as may be reasonably necessary for the sole purpose of verifying the accuracy of the quarterly royalty calculations provided to ACI. Such examination shall be limited to a period of time no more than [*****] immediately preceding the request for examination. An audit of the records relating to a particular Calendar Year may be conducted only once.</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report of the independent public accountant shall be shared with Janssen prior to distribution to ACI so that Janssen can provide the independent public accountant with justifying remarks for inclusion in the report prior to sharing the conclusions of the independent public audit with ACI. The final audit report will be shared with Janssen and ACI at the same time and specify whether the amounts paid to ACI were correct or, if incorrect, the amount of any underpayment or overpayment. The audit report will only contain the information relevant to support the statement as to whether the royalties were calculated and paid accurately and will not include any confidential (or additional information that is ordinarily not included in the royalty reports) disclosed to the auditor during the course of the audit.</w:t>
      </w:r>
    </w:p>
    <w:p>
      <w:pPr>
        <w:spacing w:after="0" w:line="19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If Janssen’s royalties are found to be in error such that royalties were underpaid, Janssen shall remit to ACI within [*****] after Janssen’s receipt of such report, [*****]. If the report shows any overpayment, Janssen shall receive a credit equal to the overpayment against the royalty otherwise payable to the ACI. If Janssen disagrees with the findings of the audit report, the Parties will first seek to resolve the matter, and in the event they fail to reach agreement, the dispute resolution provisions outlined in Section 13.7 shall be followed to resolve the dispute.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ACI shall treat all financial information subject to review or under any sublicense agreement in accordance with the confidentiality and non-use provisions of this Agreement, and will cause its accounting firm to enter into a reasonably acceptable confidentiality agreement with Janssen and/or its Related Parties obligating it to retain all such information in confidence.</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Income Tax Withholding</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9.7.1</w:t>
      </w:r>
      <w:r>
        <w:rPr>
          <w:sz w:val="20"/>
          <w:szCs w:val="20"/>
          <w:color w:val="auto"/>
        </w:rPr>
        <w:tab/>
      </w:r>
      <w:r>
        <w:rPr>
          <w:rFonts w:ascii="Arial" w:cs="Arial" w:eastAsia="Arial" w:hAnsi="Arial"/>
          <w:sz w:val="18"/>
          <w:szCs w:val="18"/>
          <w:color w:val="auto"/>
        </w:rPr>
        <w:t>Janssen will make all payments to ACI under this Agreement without deduction or withholding for Taxes except to the extent that any such deduction or withholding is required by law in effect at the time of payment.</w:t>
      </w:r>
    </w:p>
    <w:p>
      <w:pPr>
        <w:spacing w:after="0" w:line="76" w:lineRule="exact"/>
        <w:rPr>
          <w:sz w:val="20"/>
          <w:szCs w:val="20"/>
          <w:color w:val="auto"/>
        </w:rPr>
      </w:pPr>
    </w:p>
    <w:p>
      <w:pPr>
        <w:ind w:left="1380" w:right="4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9.7.2</w:t>
      </w:r>
      <w:r>
        <w:rPr>
          <w:sz w:val="20"/>
          <w:szCs w:val="20"/>
          <w:color w:val="auto"/>
        </w:rPr>
        <w:tab/>
      </w:r>
      <w:r>
        <w:rPr>
          <w:rFonts w:ascii="Arial" w:cs="Arial" w:eastAsia="Arial" w:hAnsi="Arial"/>
          <w:sz w:val="18"/>
          <w:szCs w:val="18"/>
          <w:color w:val="auto"/>
        </w:rPr>
        <w:t>Any Tax required to be withheld on amounts payable under this Agreement will be paid by Janssen on behalf of ACI to the appropriate governmental authority, and Janssen will furnish ACI with proof of payment of such Tax. Any such Tax required to be withheld will be an expense of and borne by ACI. If any such Tax is assessed against and paid by Janssen, then ACI will indemnify and hold harmless Janssen from and against such Tax.</w:t>
      </w:r>
    </w:p>
    <w:p>
      <w:pPr>
        <w:spacing w:after="0" w:line="92" w:lineRule="exact"/>
        <w:rPr>
          <w:sz w:val="20"/>
          <w:szCs w:val="20"/>
          <w:color w:val="auto"/>
        </w:rPr>
      </w:pPr>
    </w:p>
    <w:p>
      <w:pPr>
        <w:ind w:left="1380" w:right="12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9.7.3</w:t>
      </w:r>
      <w:r>
        <w:rPr>
          <w:sz w:val="20"/>
          <w:szCs w:val="20"/>
          <w:color w:val="auto"/>
        </w:rPr>
        <w:tab/>
      </w:r>
      <w:r>
        <w:rPr>
          <w:rFonts w:ascii="Arial" w:cs="Arial" w:eastAsia="Arial" w:hAnsi="Arial"/>
          <w:sz w:val="18"/>
          <w:szCs w:val="18"/>
          <w:color w:val="auto"/>
        </w:rPr>
        <w:t>Janssen and ACI will cooperate with respect to all documentation required by any taxing authority or reasonably requested by Janssen to secure a reduction in the rate of applicable withholding Taxes. On the date of execution of this Agreement, ACI will deliver to Janssen an accurate and complete Internal Revenue Service Form W-8BEN-E certifying that ACI is entitled to the applicable benefits under the Income Tax Treaty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443" w:name="page444"/>
    <w:bookmarkEnd w:id="4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40"/>
        <w:spacing w:after="0" w:line="293" w:lineRule="auto"/>
        <w:rPr>
          <w:sz w:val="20"/>
          <w:szCs w:val="20"/>
          <w:color w:val="auto"/>
        </w:rPr>
      </w:pPr>
      <w:r>
        <w:rPr>
          <w:rFonts w:ascii="Arial" w:cs="Arial" w:eastAsia="Arial" w:hAnsi="Arial"/>
          <w:sz w:val="16"/>
          <w:szCs w:val="16"/>
          <w:color w:val="auto"/>
        </w:rPr>
        <w:t>between Switzerland and the United States. At ACI’s request, Janssen shall provide to ACI all relevant documents and correspondence regarding the tax withholding, and shall also provide to ACI any other cooperation or assistance on a reasonable basis as may be necessary to enable ACI to claim exemption from such withholding taxes and to receive a full refund of such withholding tax or claim a foreign tax credit. Janssen shall give proper evidence from time to time as to the payment of such Tax. The Parties shall cooperate with each other in seeking deductions under any double taxation or other similar treaty or agreement from time to time in force. Such cooperation may include Janssen making payments from a single source in the U.S., where possible.</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9.8 Currency Restrictions</w:t>
      </w:r>
      <w:r>
        <w:rPr>
          <w:rFonts w:ascii="Arial" w:cs="Arial" w:eastAsia="Arial" w:hAnsi="Arial"/>
          <w:sz w:val="18"/>
          <w:szCs w:val="18"/>
          <w:color w:val="auto"/>
        </w:rPr>
        <w:t>. If restrictions on the transfer of currency exist in any country such as to prevent Janssen from making the payments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required under section 9.5, Janssen shall take all reasonable steps to obtain a waiver of such restrictions or otherwise enable Janssen to make such payments, failing which Janssen may make the royalty payments due upon sales in such country in local currency and deposit such payments in a local bank or other depository designated by ACI.</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9.9 Expiration of Royalty Obligations</w:t>
      </w:r>
      <w:r>
        <w:rPr>
          <w:rFonts w:ascii="Arial" w:cs="Arial" w:eastAsia="Arial" w:hAnsi="Arial"/>
          <w:sz w:val="18"/>
          <w:szCs w:val="18"/>
          <w:color w:val="auto"/>
        </w:rPr>
        <w:t>. Janssen retains a nonexclusive license under the ACI Know-How in the Territory and Field to make, use, sell, import</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such acts performed for Janssen’s benefit following expiration of all royalty obligations in respect of any Product.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9.10 Interest</w:t>
      </w:r>
      <w:r>
        <w:rPr>
          <w:rFonts w:ascii="Arial" w:cs="Arial" w:eastAsia="Arial" w:hAnsi="Arial"/>
          <w:sz w:val="18"/>
          <w:szCs w:val="18"/>
          <w:color w:val="auto"/>
        </w:rPr>
        <w:t>. In case of any delay in payment by Janssen to ACI not resulting from Force Majeure (as described in section 13.2),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 assessed from the [*****] day after the due date of the payment shall be due from Janssen.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Representations and Warranties of ACI</w:t>
      </w:r>
      <w:r>
        <w:rPr>
          <w:rFonts w:ascii="Arial" w:cs="Arial" w:eastAsia="Arial" w:hAnsi="Arial"/>
          <w:sz w:val="18"/>
          <w:szCs w:val="18"/>
          <w:color w:val="auto"/>
        </w:rPr>
        <w:t>. ACI represents and warrants to Janssen that as of the Effective Date:</w:t>
      </w:r>
    </w:p>
    <w:p>
      <w:pPr>
        <w:spacing w:after="0" w:line="131" w:lineRule="exact"/>
        <w:rPr>
          <w:sz w:val="20"/>
          <w:szCs w:val="20"/>
          <w:color w:val="auto"/>
        </w:rPr>
      </w:pPr>
    </w:p>
    <w:p>
      <w:pPr>
        <w:ind w:left="1380" w:right="6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ACI and constitutes the valid and binding obligation of ACI,</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against ACI in accordance with its terms. The execution, delivery and performance of this Agreement have been duly authorized by all necessary action on the part of ACI, its officers and directors and does not conflict with any agreement, instrument or understanding, oral or written, to which ACI is a party or by which ACI may be bound, nor violate any applicable law or regulation of any court, governmental body or administrative or other agency having jurisdiction over it.</w:t>
      </w:r>
    </w:p>
    <w:p>
      <w:pPr>
        <w:spacing w:after="0" w:line="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 ACI has the rights necessary to grant the licenses in this Agreement.</w:t>
      </w:r>
    </w:p>
    <w:p>
      <w:pPr>
        <w:spacing w:after="0" w:line="131" w:lineRule="exact"/>
        <w:rPr>
          <w:sz w:val="20"/>
          <w:szCs w:val="20"/>
          <w:color w:val="auto"/>
        </w:rPr>
      </w:pPr>
    </w:p>
    <w:p>
      <w:pPr>
        <w:jc w:val="both"/>
        <w:ind w:left="1380" w:right="120" w:hanging="796"/>
        <w:spacing w:after="0" w:line="282" w:lineRule="auto"/>
        <w:tabs>
          <w:tab w:leader="none" w:pos="13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8"/>
          <w:szCs w:val="18"/>
          <w:b w:val="1"/>
          <w:bCs w:val="1"/>
          <w:color w:val="auto"/>
        </w:rPr>
        <w:t>No Third Party Patents</w:t>
      </w:r>
      <w:r>
        <w:rPr>
          <w:rFonts w:ascii="Arial" w:cs="Arial" w:eastAsia="Arial" w:hAnsi="Arial"/>
          <w:sz w:val="18"/>
          <w:szCs w:val="18"/>
          <w:color w:val="auto"/>
        </w:rPr>
        <w:t>. To ACI’s knowledge, the making, using, importing, offering for sale, keeping or selling of Products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not infringe or conflict with any Patent Rights of a Third Party.</w:t>
      </w:r>
    </w:p>
    <w:p>
      <w:pPr>
        <w:spacing w:after="0" w:line="67" w:lineRule="exact"/>
        <w:rPr>
          <w:sz w:val="20"/>
          <w:szCs w:val="20"/>
          <w:color w:val="auto"/>
        </w:rPr>
      </w:pPr>
    </w:p>
    <w:p>
      <w:pPr>
        <w:jc w:val="both"/>
        <w:ind w:left="1380" w:right="12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8"/>
          <w:szCs w:val="18"/>
          <w:b w:val="1"/>
          <w:bCs w:val="1"/>
          <w:color w:val="auto"/>
        </w:rPr>
        <w:t>No Patent Proceeding</w:t>
      </w:r>
      <w:r>
        <w:rPr>
          <w:rFonts w:ascii="Arial" w:cs="Arial" w:eastAsia="Arial" w:hAnsi="Arial"/>
          <w:sz w:val="18"/>
          <w:szCs w:val="18"/>
          <w:color w:val="auto"/>
        </w:rPr>
        <w:t>. To ACI’s knowledge, the ACI Patent Rights are not the subject of any Patent Proceeding known to ACI, and ACI</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aware of any pending or threatened action, suit, proceeding or claim by a Third Party challenging ACI’s ownership rights in, or the validity or scope of, such ACI Patent Rights.</w:t>
      </w:r>
    </w:p>
    <w:p>
      <w:pPr>
        <w:spacing w:after="0" w:line="82" w:lineRule="exact"/>
        <w:rPr>
          <w:sz w:val="20"/>
          <w:szCs w:val="20"/>
          <w:color w:val="auto"/>
        </w:rPr>
      </w:pPr>
    </w:p>
    <w:p>
      <w:pPr>
        <w:jc w:val="both"/>
        <w:ind w:left="1380" w:right="1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8"/>
          <w:szCs w:val="18"/>
          <w:u w:val="single" w:color="auto"/>
          <w:color w:val="auto"/>
        </w:rPr>
        <w:t xml:space="preserve">Schedule 10.1.5 </w:t>
      </w:r>
      <w:r>
        <w:rPr>
          <w:rFonts w:ascii="Arial" w:cs="Arial" w:eastAsia="Arial" w:hAnsi="Arial"/>
          <w:sz w:val="18"/>
          <w:szCs w:val="18"/>
          <w:color w:val="auto"/>
        </w:rPr>
        <w:t>contains a complete list of all Patent Rights Controlled by ACI, as of the Effective Date, that claim Products or processes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making or using, or compositions containing, the same.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444" w:name="page445"/>
    <w:bookmarkEnd w:id="4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24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8"/>
          <w:szCs w:val="18"/>
          <w:u w:val="single" w:color="auto"/>
          <w:color w:val="auto"/>
        </w:rPr>
        <w:t xml:space="preserve">Schedule 10.1.6 </w:t>
      </w:r>
      <w:r>
        <w:rPr>
          <w:rFonts w:ascii="Arial" w:cs="Arial" w:eastAsia="Arial" w:hAnsi="Arial"/>
          <w:sz w:val="18"/>
          <w:szCs w:val="18"/>
          <w:color w:val="auto"/>
        </w:rPr>
        <w:t>contains a complete list of all relevant agreements that ACI has entered into relating to the manufacture, use, Research,</w:t>
      </w:r>
      <w:r>
        <w:rPr>
          <w:rFonts w:ascii="Arial" w:cs="Arial" w:eastAsia="Arial" w:hAnsi="Arial"/>
          <w:sz w:val="18"/>
          <w:szCs w:val="18"/>
          <w:u w:val="single" w:color="auto"/>
          <w:color w:val="auto"/>
        </w:rPr>
        <w:t xml:space="preserve"> </w:t>
      </w:r>
      <w:r>
        <w:rPr>
          <w:rFonts w:ascii="Arial" w:cs="Arial" w:eastAsia="Arial" w:hAnsi="Arial"/>
          <w:sz w:val="18"/>
          <w:szCs w:val="18"/>
          <w:color w:val="auto"/>
        </w:rPr>
        <w:t>Development or Commercialization of Products, and ACI represents that all of the agreements on Schedule 10.1.6 have been made available to Janssen for review.</w:t>
      </w:r>
    </w:p>
    <w:p>
      <w:pPr>
        <w:spacing w:after="0" w:line="87"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8"/>
          <w:szCs w:val="18"/>
          <w:color w:val="auto"/>
        </w:rPr>
        <w:t>ACI represents that the Peptides identified as of the Effective Date, including but not limited to [*****] Tau-active antibodies licensed by ACI to any Third Party.</w:t>
      </w:r>
    </w:p>
    <w:p>
      <w:pPr>
        <w:spacing w:after="0" w:line="76"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8"/>
          <w:szCs w:val="18"/>
          <w:color w:val="auto"/>
        </w:rPr>
        <w:t>ACI represents that no Third Party retains under any ACI Patent Rights or ACI Know-How any right of first negotiation, or any other right or option, to any vaccine product incorporating Tau or any variant, derivative, modification, or fragment of Tau.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Representations and Warranties of Janssen</w:t>
      </w:r>
      <w:r>
        <w:rPr>
          <w:rFonts w:ascii="Arial" w:cs="Arial" w:eastAsia="Arial" w:hAnsi="Arial"/>
          <w:sz w:val="18"/>
          <w:szCs w:val="18"/>
          <w:color w:val="auto"/>
        </w:rPr>
        <w:t>. Janssen represents and warrants to ACI that as of the Effective Date:</w:t>
      </w:r>
    </w:p>
    <w:p>
      <w:pPr>
        <w:spacing w:after="0" w:line="131" w:lineRule="exact"/>
        <w:rPr>
          <w:sz w:val="20"/>
          <w:szCs w:val="20"/>
          <w:color w:val="auto"/>
        </w:rPr>
      </w:pPr>
    </w:p>
    <w:p>
      <w:pPr>
        <w:ind w:left="1380" w:right="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Janssen and constitutes the valid and binding obligation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Janssen, enforceable against Janssen in accordance with its terms. The execution, delivery and performance of this Agreement have been duly authorized by all necessary action on the part of Janssen, its officers and directors and does not conflict with any agreement, instrument or understanding, oral or written, to which Janssen is a party or by which Janssen may be bound, nor violate any applicable law or regulation of any court, governmental body or administrative or other agency having jurisdiction over 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PATENT PROVISIONS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Filing, Prosecution and Maintenance of ACI Patent Rights and Joint Patent Rights.</w:t>
      </w:r>
    </w:p>
    <w:p>
      <w:pPr>
        <w:spacing w:after="0" w:line="131" w:lineRule="exact"/>
        <w:rPr>
          <w:sz w:val="20"/>
          <w:szCs w:val="20"/>
          <w:color w:val="auto"/>
        </w:rPr>
      </w:pPr>
    </w:p>
    <w:p>
      <w:pPr>
        <w:ind w:left="1380" w:hanging="796"/>
        <w:spacing w:after="0" w:line="281" w:lineRule="auto"/>
        <w:tabs>
          <w:tab w:leader="none" w:pos="13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color w:val="auto"/>
        </w:rPr>
        <w:t>Janssen and ACI shall jointly select skilled outside patent attorneys (“</w:t>
      </w:r>
      <w:r>
        <w:rPr>
          <w:rFonts w:ascii="Arial" w:cs="Arial" w:eastAsia="Arial" w:hAnsi="Arial"/>
          <w:sz w:val="17"/>
          <w:szCs w:val="17"/>
          <w:b w:val="1"/>
          <w:bCs w:val="1"/>
          <w:color w:val="auto"/>
        </w:rPr>
        <w:t>Outside Patent Counsel</w:t>
      </w:r>
      <w:r>
        <w:rPr>
          <w:rFonts w:ascii="Arial" w:cs="Arial" w:eastAsia="Arial" w:hAnsi="Arial"/>
          <w:sz w:val="17"/>
          <w:szCs w:val="17"/>
          <w:color w:val="auto"/>
        </w:rPr>
        <w:t>”) to diligently file, prosecute and maintain the ACI Patent Rights and Joint Patent Rights in the Territory, and to conduct any interference, opposition, reexamination, re-issue or other similar proceeding. Such actions shall be taken in all such countries as is customary for ACI to file, prosecute and maintain patent rights covering pharmaceutical products and taking into account Janssen’s recommendations.</w:t>
      </w:r>
    </w:p>
    <w:p>
      <w:pPr>
        <w:spacing w:after="0" w:line="70" w:lineRule="exact"/>
        <w:rPr>
          <w:sz w:val="20"/>
          <w:szCs w:val="20"/>
          <w:color w:val="auto"/>
        </w:rPr>
      </w:pPr>
    </w:p>
    <w:p>
      <w:pPr>
        <w:ind w:left="1380" w:right="3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 in the preparation, prosecution and maintenance of ACI Patent Rights and Joint Patent Rights in the Territory for such matters occurring after the Effective Date.</w:t>
      </w:r>
    </w:p>
    <w:p>
      <w:pPr>
        <w:spacing w:after="0" w:line="76" w:lineRule="exact"/>
        <w:rPr>
          <w:sz w:val="20"/>
          <w:szCs w:val="20"/>
          <w:color w:val="auto"/>
        </w:rPr>
      </w:pPr>
    </w:p>
    <w:p>
      <w:pPr>
        <w:ind w:left="1380" w:right="2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Each Party (either itself or through the Outside Patent Counsel) shall keep the other Party advised on at least a quarterly basis of the status of all actual and prospective ACI Patent Rights, Joint Patent Rights or Janssen Patent Rights, as applicable, in the Territory and upon the request of the other Party, provide advance copies of any material papers related to the filing, prosecution and maintenance of such patent filings. ACI shall provide primary direction to Outside Patent Counsel for patent matters relating to the ACI Patent Rights and shall solicit Janssen’s advice and review of the nature and text of such patent applications and important prosecution matters related to thereto in reasonably sufficient time prior to filing thereof, and ACI shall consider Janssen’s comments related thereto. ACI shall give reasonable advance notice to Janssen of the grant, lapse, revocation, surrender, invalidation or abandonment of any ACI Patent Rights in the Territory. Janssen shall provide primary direction to Outside Patent Counsel for patent matters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0" w:right="279" w:bottom="1440" w:gutter="0" w:footer="0" w:header="0"/>
        </w:sectPr>
      </w:pPr>
    </w:p>
    <w:bookmarkStart w:id="445" w:name="page446"/>
    <w:bookmarkEnd w:id="4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59" w:lineRule="auto"/>
        <w:rPr>
          <w:sz w:val="20"/>
          <w:szCs w:val="20"/>
          <w:color w:val="auto"/>
        </w:rPr>
      </w:pPr>
      <w:r>
        <w:rPr>
          <w:rFonts w:ascii="Arial" w:cs="Arial" w:eastAsia="Arial" w:hAnsi="Arial"/>
          <w:sz w:val="18"/>
          <w:szCs w:val="18"/>
          <w:color w:val="auto"/>
        </w:rPr>
        <w:t>relating to the Joint Patent Rights and shall solicit ACI’s advice and review of the nature and text of such patent applications and important prosecution matters related to thereto in reasonably sufficient time prior to filing thereof, and Janssen shall consider ACI’s comments related thereto. Jansen shall give reasonable advance notice to ACI of the grant, lapse, revocation, surrender, invalidation or abandonment of any Joint Patent Rights in the Territory.</w:t>
      </w:r>
    </w:p>
    <w:p>
      <w:pPr>
        <w:spacing w:after="0" w:line="88" w:lineRule="exact"/>
        <w:rPr>
          <w:sz w:val="20"/>
          <w:szCs w:val="20"/>
          <w:color w:val="auto"/>
        </w:rPr>
      </w:pPr>
    </w:p>
    <w:p>
      <w:pPr>
        <w:ind w:left="1380" w:right="60" w:hanging="796"/>
        <w:spacing w:after="0" w:line="308" w:lineRule="auto"/>
        <w:tabs>
          <w:tab w:leader="none" w:pos="13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7"/>
          <w:szCs w:val="17"/>
          <w:color w:val="auto"/>
        </w:rPr>
        <w:t>ACI and Janssen shall collaborate on a strategy to file divisional patent applications worldwide to specifically claim the Products and their components. With regard to such divisional applications, ACI shall consider Janssen’s comments related thereto, and [*****].</w:t>
      </w:r>
    </w:p>
    <w:p>
      <w:pPr>
        <w:spacing w:after="0" w:line="2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Option to Prosecute and Maintain Patents.</w:t>
      </w:r>
    </w:p>
    <w:p>
      <w:pPr>
        <w:spacing w:after="0" w:line="131" w:lineRule="exact"/>
        <w:rPr>
          <w:sz w:val="20"/>
          <w:szCs w:val="20"/>
          <w:color w:val="auto"/>
        </w:rPr>
      </w:pPr>
    </w:p>
    <w:p>
      <w:pPr>
        <w:ind w:left="1380" w:right="140" w:hanging="796"/>
        <w:spacing w:after="0" w:line="295" w:lineRule="auto"/>
        <w:tabs>
          <w:tab w:leader="none" w:pos="13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ACI Patents</w:t>
      </w:r>
      <w:r>
        <w:rPr>
          <w:rFonts w:ascii="Arial" w:cs="Arial" w:eastAsia="Arial" w:hAnsi="Arial"/>
          <w:sz w:val="16"/>
          <w:szCs w:val="16"/>
          <w:color w:val="auto"/>
        </w:rPr>
        <w:t>. ACI may cease prosecution and/or maintenance of ACI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Janssen written notice. If ACI elects to cease prosecution or maintenance of ACI Patent Rights in a country, Janssen, at its sole discretion and cost, may continue prosecution or maintenance of such ACI Patent Rights in such country in ACI’s name. If Janssen elects to continue prosecution or maintenance or elects to file additional applications following ACI’s election to cease prosecution or maintenance pursuant to this section 11.2.1, ACI shall execute such documents and perform such acts at ACI’s expense as may be reasonably necessary to allow Janssen to initiate or continue such filing, prosecution or maintenance at Janssen’s sole expense.</w:t>
      </w:r>
    </w:p>
    <w:p>
      <w:pPr>
        <w:spacing w:after="0" w:line="61" w:lineRule="exact"/>
        <w:rPr>
          <w:sz w:val="20"/>
          <w:szCs w:val="20"/>
          <w:color w:val="auto"/>
        </w:rPr>
      </w:pPr>
    </w:p>
    <w:p>
      <w:pPr>
        <w:ind w:left="1380" w:right="360" w:hanging="796"/>
        <w:spacing w:after="0" w:line="298" w:lineRule="auto"/>
        <w:tabs>
          <w:tab w:leader="none" w:pos="13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Joint Patents</w:t>
      </w:r>
      <w:r>
        <w:rPr>
          <w:rFonts w:ascii="Arial" w:cs="Arial" w:eastAsia="Arial" w:hAnsi="Arial"/>
          <w:sz w:val="16"/>
          <w:szCs w:val="16"/>
          <w:color w:val="auto"/>
        </w:rPr>
        <w:t>. Janssen may cease prosecution or maintenance of Joint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ACI written notice. If Janssen elects to cease prosecution or maintenance of Joint Patent Rights in a country, ACI, at its sole discretion and cost, may continue prosecution or maintenance of such Joint Patent Rights in such country. If ACI elects to continue prosecution or maintenance or elects to file additional applications following Jansen’s election to cease prosecution or maintenance pursuant to this section 11.2.2, ACI shall continue such filing, prosecution or maintenance at ACI’s sole expense.</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Interference, Opposition, Re-examination and Re-issue.</w:t>
      </w:r>
    </w:p>
    <w:p>
      <w:pPr>
        <w:spacing w:after="0" w:line="131" w:lineRule="exact"/>
        <w:rPr>
          <w:sz w:val="20"/>
          <w:szCs w:val="20"/>
          <w:color w:val="auto"/>
        </w:rPr>
      </w:pPr>
    </w:p>
    <w:p>
      <w:pPr>
        <w:ind w:left="1380" w:hanging="796"/>
        <w:spacing w:after="0" w:line="293" w:lineRule="auto"/>
        <w:tabs>
          <w:tab w:leader="none" w:pos="136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ACI shall promptly, but in any case within [*****] of learning of any request for, or filing or declaration of, any Patent Proceeding relating to ACI Patent Rights for which ACI is responsible, and Janssen shall similarly promptly inform ACI of any request for, or filing or declaration of, any Patent Proceeding relating to Joint Patent Rights for which Janssen is responsible. Janssen and ACI shall thereafter consult and cooperate fully to determine a course of action with respect to any such Patent Proceeding. Each Party has the right to review any submission to be made in connection with the Patent Proceeding of the other Party and has the right to approve any such submission related to ACI Patent Rights and Joint Patent Rights, provided such approval shall not be unreasonably withheld.</w:t>
      </w:r>
    </w:p>
    <w:p>
      <w:pPr>
        <w:spacing w:after="0" w:line="70" w:lineRule="exact"/>
        <w:rPr>
          <w:sz w:val="20"/>
          <w:szCs w:val="20"/>
          <w:color w:val="auto"/>
        </w:rPr>
      </w:pPr>
    </w:p>
    <w:p>
      <w:pPr>
        <w:ind w:left="138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color w:val="auto"/>
        </w:rPr>
        <w:t>ACI shall provide Janssen with written notice as soon as practicable prior to initiating any Patent Proceeding relating to ACI Patent Rights, and Janssen shall provide ACI with written notice as soon as practicable prior to initiating any Patent Proceeding relating to Joint Patent Rights.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69" w:right="259" w:bottom="1440" w:gutter="0" w:footer="0" w:header="0"/>
        </w:sectPr>
      </w:pPr>
    </w:p>
    <w:bookmarkStart w:id="446" w:name="page447"/>
    <w:bookmarkEnd w:id="4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14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7"/>
          <w:szCs w:val="17"/>
          <w:color w:val="auto"/>
        </w:rPr>
        <w:t>In connection with any Patent Proceeding relating to ACI Patent Rights or Joint Patent Rights, Janssen and ACI shall cooperate fully and shall provide each other with any information or assistance that either may reasonably request. Each Party shall keep the other Party informed of developments in any such action or proceeding, including, to the extent permissible by law, consultation regarding any settlement, the status of any settlement negotiations and the terms of any related offer.</w:t>
      </w:r>
    </w:p>
    <w:p>
      <w:pPr>
        <w:spacing w:after="0" w:line="7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5"/>
          <w:szCs w:val="15"/>
          <w:color w:val="auto"/>
        </w:rPr>
        <w:t>The expense of any Patent Proceeding shall, unless agreed otherwise, be treated as prosecution and maintenance costs pursuant to section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11.1.2.</w:t>
      </w:r>
    </w:p>
    <w:p>
      <w:pPr>
        <w:spacing w:after="0" w:line="3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Enforcement and Defense.</w:t>
      </w:r>
    </w:p>
    <w:p>
      <w:pPr>
        <w:spacing w:after="0" w:line="131" w:lineRule="exact"/>
        <w:rPr>
          <w:sz w:val="20"/>
          <w:szCs w:val="20"/>
          <w:color w:val="auto"/>
        </w:rPr>
      </w:pPr>
    </w:p>
    <w:p>
      <w:pPr>
        <w:ind w:left="1380" w:right="40" w:hanging="796"/>
        <w:spacing w:after="0" w:line="287" w:lineRule="auto"/>
        <w:tabs>
          <w:tab w:leader="none" w:pos="136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Each Party shall promptly give the other Party notice of (i) any infringement of ACI Patent Rights, Janssen Patent Rights or Joint Patent Rights with respect to a Product, or (ii) any misappropriation or misuse of ACI Know-How or Janssen Know-How with respect to a Product, that may come to a Party’s attention. Janssen and ACI shall thereafter cooperate to determine a course of action to terminate any such infringement of ACI Patent Rights, Janssen Patent Rights or Joint Patent Rights or any misappropriation or misuse of ACI Know-How or Janssen Know-How. Janssen has the right but not the obligation to initiate and prosecute any such legal action at its own expense and in the name of ACI and Janssen (or just ACI or just Janssen if the laws of the jurisdiction so dictate), or to control the defense of any declaratory judgment action relating to such ACI Patent Rights, Janssen Patent Rights, Joint Patent Rights, ACI Know-How or Janssen Know-How. [*****]. Janssen shall promptly inform ACI if it elects not to exercise that right with respect to ACI Patent Rights, Janssen Patent Rights or Joint Patent Rights and ACI Know-How and Janssen Know-How and ACI shall thereafter have the right at its sole cost to either initiate and prosecute such action or to control the defense of such declaratory judgment action in the name of Janssen and, if necessary, ACI. Each Party shall have the right to be represented by counsel of its own choice.</w:t>
      </w:r>
    </w:p>
    <w:p>
      <w:pPr>
        <w:spacing w:after="0" w:line="78" w:lineRule="exact"/>
        <w:rPr>
          <w:sz w:val="20"/>
          <w:szCs w:val="20"/>
          <w:color w:val="auto"/>
        </w:rPr>
      </w:pPr>
    </w:p>
    <w:p>
      <w:pPr>
        <w:ind w:left="1380" w:hanging="796"/>
        <w:spacing w:after="0" w:line="272" w:lineRule="auto"/>
        <w:tabs>
          <w:tab w:leader="none" w:pos="136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7"/>
          <w:szCs w:val="17"/>
          <w:color w:val="auto"/>
        </w:rPr>
        <w:t>For any action to terminate any infringement of ACI Patent Rights, Janssen Patent Rights or Joint Patent Rights or any misappropriation or misuse of ACI Know-How or Janssen Know-How, if Janssen is unable to initiate or prosecute such action solely in its own name, ACI shall join such action voluntarily and shall execute and cause its Affiliates to execute all documents necessary for Janssen to initiate litigation to prosecute and maintain such action. [*****]. In connection with any action, Janssen and ACI shall cooperate fully and shall provide each other with any information or assistance that either may reasonably request. Each Party shall keep the other informed of developments in any action or proceeding, including, to the extent permissible by law, the consultation and approval of any settlement negotiations and the terms of any offer related thereto.</w:t>
      </w:r>
    </w:p>
    <w:p>
      <w:pPr>
        <w:spacing w:after="0" w:line="83" w:lineRule="exact"/>
        <w:rPr>
          <w:sz w:val="20"/>
          <w:szCs w:val="20"/>
          <w:color w:val="auto"/>
        </w:rPr>
      </w:pPr>
    </w:p>
    <w:p>
      <w:pPr>
        <w:ind w:left="1380" w:right="4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8"/>
          <w:szCs w:val="18"/>
          <w:color w:val="auto"/>
        </w:rPr>
        <w:t>Any recovery obtained by either or both Janssen and ACI in connection with or as a result of any action contemplated by this section, whether by settlement or otherwise, shall be shared in order as follows:</w:t>
      </w:r>
    </w:p>
    <w:p>
      <w:pPr>
        <w:spacing w:after="0" w:line="80" w:lineRule="exact"/>
        <w:rPr>
          <w:sz w:val="20"/>
          <w:szCs w:val="20"/>
          <w:color w:val="auto"/>
        </w:rPr>
      </w:pPr>
    </w:p>
    <w:p>
      <w:pPr>
        <w:ind w:left="1940" w:hanging="568"/>
        <w:spacing w:after="0"/>
        <w:tabs>
          <w:tab w:leader="none" w:pos="194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the Party that initiated and prosecuted the action [*****];</w:t>
      </w:r>
    </w:p>
    <w:p>
      <w:pPr>
        <w:spacing w:after="0" w:line="130" w:lineRule="exact"/>
        <w:rPr>
          <w:rFonts w:ascii="Arial" w:cs="Arial" w:eastAsia="Arial" w:hAnsi="Arial"/>
          <w:sz w:val="18"/>
          <w:szCs w:val="18"/>
          <w:b w:val="1"/>
          <w:bCs w:val="1"/>
          <w:color w:val="auto"/>
        </w:rPr>
      </w:pPr>
    </w:p>
    <w:p>
      <w:pPr>
        <w:ind w:left="5620" w:right="5020" w:hanging="4248"/>
        <w:spacing w:after="0" w:line="449" w:lineRule="auto"/>
        <w:tabs>
          <w:tab w:leader="none" w:pos="1935"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the other Party shall then, to the extent possible, [*****]; and 27</w:t>
      </w:r>
    </w:p>
    <w:p>
      <w:pPr>
        <w:sectPr>
          <w:pgSz w:w="11900" w:h="16838" w:orient="portrait"/>
          <w:cols w:equalWidth="0" w:num="1">
            <w:col w:w="11380"/>
          </w:cols>
          <w:pgMar w:left="240" w:top="270" w:right="279" w:bottom="1440" w:gutter="0" w:footer="0" w:header="0"/>
        </w:sectPr>
      </w:pPr>
    </w:p>
    <w:bookmarkStart w:id="447" w:name="page448"/>
    <w:bookmarkEnd w:id="447"/>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60" w:right="4520" w:hanging="568"/>
        <w:spacing w:after="0" w:line="439" w:lineRule="auto"/>
        <w:tabs>
          <w:tab w:leader="none" w:pos="1351"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The amount of any recovery remaining shall be allocated as follows: [*****] [*****]</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color w:val="auto"/>
        </w:rPr>
        <w:t>ACI shall inform Janssen of any certification regarding any ACI Patent Rights it has received pursuant to either 21 U.S.C. §§355(b)(2)(A)</w:t>
      </w:r>
    </w:p>
    <w:p>
      <w:pPr>
        <w:spacing w:after="0" w:line="27" w:lineRule="exact"/>
        <w:rPr>
          <w:sz w:val="20"/>
          <w:szCs w:val="20"/>
          <w:color w:val="auto"/>
        </w:rPr>
      </w:pPr>
    </w:p>
    <w:p>
      <w:pPr>
        <w:ind w:left="800" w:right="120" w:hanging="8"/>
        <w:spacing w:after="0" w:line="254" w:lineRule="auto"/>
        <w:tabs>
          <w:tab w:leader="none" w:pos="110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or (j)(2)(A)(vii)(IV) or its successor provisions or any similar provisions in a country in the Territory other than the United States and shall provide Janssen with a copy of the certification within [*****] days of receipt. ACI’s and Janssen’s rights with respect to the initiation and prosecution of any legal action as a result of certification or any recovery obtained as a result of such legal action shall be according to sections 11.4.1 through 11.4.3.</w:t>
      </w:r>
    </w:p>
    <w:p>
      <w:pPr>
        <w:spacing w:after="0" w:line="91"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8"/>
          <w:szCs w:val="18"/>
          <w:b w:val="1"/>
          <w:bCs w:val="1"/>
          <w:color w:val="auto"/>
        </w:rPr>
        <w:t>Patent Term Restoration</w:t>
      </w:r>
      <w:r>
        <w:rPr>
          <w:rFonts w:ascii="Arial" w:cs="Arial" w:eastAsia="Arial" w:hAnsi="Arial"/>
          <w:sz w:val="18"/>
          <w:szCs w:val="18"/>
          <w:color w:val="auto"/>
        </w:rPr>
        <w:t>. The Parties shall cooperate with each other and use Diligent Efforts to obtain patent term restoration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protection certificates or their equivalents in any country in the Territory where applicable to ACI Patent Rights, Joint Patent Rights and Janssen Patent Rights.</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b w:val="1"/>
          <w:bCs w:val="1"/>
          <w:color w:val="auto"/>
        </w:rPr>
        <w:t>Third Party Claims.</w:t>
      </w:r>
    </w:p>
    <w:p>
      <w:pPr>
        <w:spacing w:after="0" w:line="135" w:lineRule="exact"/>
        <w:rPr>
          <w:sz w:val="20"/>
          <w:szCs w:val="20"/>
          <w:color w:val="auto"/>
        </w:rPr>
      </w:pPr>
    </w:p>
    <w:p>
      <w:pPr>
        <w:ind w:left="1360" w:right="80" w:hanging="568"/>
        <w:spacing w:after="0" w:line="272" w:lineRule="auto"/>
        <w:tabs>
          <w:tab w:leader="none" w:pos="1360"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Without prejudice to section 13.1.2, if any action, suit or proceeding is brought against Janssen or ACI or any Affiliate or sublicensee of either Party alleging the infringement of the intellectual property rights of a Third Party by reason of the discovery, development, manufacture, use, sale, importation or offer for sale of a Product in the Territory, each of the Parties shall have the right but not the obligation to defend itself in such action, suit or proceeding at its sole expense. The Parties shall cooperate with each other in any defense of any such suit, action or proceeding. The Parties shall give each other prompt written notice of the commencement of any such suit, action or proceeding, or receipt of any claim of infringement, and shall furnish each other a copy of each communication relating to the alleged infringement.</w:t>
      </w:r>
    </w:p>
    <w:p>
      <w:pPr>
        <w:spacing w:after="0" w:line="69"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 xml:space="preserve">Neither Party shall compromise, litigate, settle or otherwise dispose of any such suit, action or proceeding without the other Party’s advice and prior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not having the right to defend the suit shall not unreasonably withhold its consent to any settlement which does not have a material adverse effect on its rights, obligations or benefits, either under this Agreement or otherwise. [*****].</w:t>
      </w:r>
    </w:p>
    <w:p>
      <w:pPr>
        <w:spacing w:after="0" w:line="92" w:lineRule="exact"/>
        <w:rPr>
          <w:rFonts w:ascii="Arial" w:cs="Arial" w:eastAsia="Arial" w:hAnsi="Arial"/>
          <w:sz w:val="17"/>
          <w:szCs w:val="17"/>
          <w:b w:val="1"/>
          <w:bCs w:val="1"/>
          <w:color w:val="auto"/>
        </w:rPr>
      </w:pPr>
    </w:p>
    <w:p>
      <w:pPr>
        <w:ind w:left="1360" w:right="140" w:hanging="568"/>
        <w:spacing w:after="0" w:line="342" w:lineRule="auto"/>
        <w:tabs>
          <w:tab w:leader="none" w:pos="1360" w:val="left"/>
        </w:tabs>
        <w:numPr>
          <w:ilvl w:val="0"/>
          <w:numId w:val="307"/>
        </w:numPr>
        <w:rPr>
          <w:rFonts w:ascii="Arial" w:cs="Arial" w:eastAsia="Arial" w:hAnsi="Arial"/>
          <w:sz w:val="16"/>
          <w:szCs w:val="16"/>
          <w:b w:val="1"/>
          <w:bCs w:val="1"/>
          <w:color w:val="auto"/>
        </w:rPr>
      </w:pPr>
      <w:r>
        <w:rPr>
          <w:rFonts w:ascii="Arial" w:cs="Arial" w:eastAsia="Arial" w:hAnsi="Arial"/>
          <w:sz w:val="16"/>
          <w:szCs w:val="16"/>
          <w:color w:val="auto"/>
        </w:rPr>
        <w:t>The Party first having actual notice of any claim, action or proceeding referenced in section 11.4.6(a) above shall promptly notify the other Party in writing, setting forth in reasonable detail, to its knowledge, the facts related to any such claim, action or</w:t>
      </w:r>
    </w:p>
    <w:p>
      <w:pPr>
        <w:spacing w:after="0" w:line="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820" w:top="270" w:right="25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proceeding. The Parties shall promptly discuss proposed responses to any such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TERM AND TERMINATION</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12.1 Term and Expiration</w:t>
      </w:r>
      <w:r>
        <w:rPr>
          <w:rFonts w:ascii="Arial" w:cs="Arial" w:eastAsia="Arial" w:hAnsi="Arial"/>
          <w:sz w:val="18"/>
          <w:szCs w:val="18"/>
          <w:color w:val="auto"/>
        </w:rPr>
        <w:t>. This Agreement is effective as of the Effective Date and unless terminated earlier pursuant to sections 12.2, 12.3 or 12.6,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effect until expiration of all royalty obligations under Article 9 (the “Term”).</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Termination by Janssen Without Cause.</w:t>
      </w:r>
    </w:p>
    <w:p>
      <w:pPr>
        <w:spacing w:after="0" w:line="131" w:lineRule="exact"/>
        <w:rPr>
          <w:sz w:val="20"/>
          <w:szCs w:val="20"/>
          <w:color w:val="auto"/>
        </w:rPr>
      </w:pPr>
    </w:p>
    <w:p>
      <w:pPr>
        <w:jc w:val="both"/>
        <w:ind w:left="1380" w:right="22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8"/>
          <w:szCs w:val="18"/>
          <w:color w:val="auto"/>
        </w:rPr>
        <w:t>Janssen has the right to terminate this Agreement in its entirety at any time after Completion of the phase 1b Clinical Trial and in its sole discretion on a Product-by-Product and country-by-country basis upon [*****] days advance written notice to ACI, except that Janssen will wind down any on-going Clinical Trial consistent with applicable law;</w:t>
      </w:r>
    </w:p>
    <w:p>
      <w:pPr>
        <w:spacing w:after="0" w:line="87" w:lineRule="exact"/>
        <w:rPr>
          <w:sz w:val="20"/>
          <w:szCs w:val="20"/>
          <w:color w:val="auto"/>
        </w:rPr>
      </w:pPr>
    </w:p>
    <w:p>
      <w:pPr>
        <w:ind w:left="1380" w:right="22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7"/>
          <w:szCs w:val="17"/>
          <w:color w:val="auto"/>
        </w:rPr>
        <w:t>Janssen has the right to terminate this Agreement immediately in its sole discretion upon written notice to ACI if a Valid Safety Issue exists. The notice will provide sufficient information for ACI to confirm the existence of the Valid Safety Issue. A “</w:t>
      </w:r>
      <w:r>
        <w:rPr>
          <w:rFonts w:ascii="Arial" w:cs="Arial" w:eastAsia="Arial" w:hAnsi="Arial"/>
          <w:sz w:val="17"/>
          <w:szCs w:val="17"/>
          <w:b w:val="1"/>
          <w:bCs w:val="1"/>
          <w:color w:val="auto"/>
        </w:rPr>
        <w:t>Valid Safety Issue</w:t>
      </w:r>
      <w:r>
        <w:rPr>
          <w:rFonts w:ascii="Arial" w:cs="Arial" w:eastAsia="Arial" w:hAnsi="Arial"/>
          <w:sz w:val="17"/>
          <w:szCs w:val="17"/>
          <w:color w:val="auto"/>
        </w:rPr>
        <w:t>” means the ceasing of Development activities or withdrawal from any market as a result of reasonable concerns that the Product is unsafe for administration to humans. During the period of notice until the effective date of termination,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Termination for Cause</w:t>
      </w:r>
      <w:r>
        <w:rPr>
          <w:rFonts w:ascii="Arial" w:cs="Arial" w:eastAsia="Arial" w:hAnsi="Arial"/>
          <w:sz w:val="18"/>
          <w:szCs w:val="18"/>
          <w:color w:val="auto"/>
        </w:rPr>
        <w:t>. This Agreement may be terminated at any time during the term of this Agreement:</w:t>
      </w:r>
    </w:p>
    <w:p>
      <w:pPr>
        <w:spacing w:after="0" w:line="131" w:lineRule="exact"/>
        <w:rPr>
          <w:sz w:val="20"/>
          <w:szCs w:val="20"/>
          <w:color w:val="auto"/>
        </w:rPr>
      </w:pPr>
    </w:p>
    <w:p>
      <w:pPr>
        <w:jc w:val="both"/>
        <w:ind w:left="1380" w:right="120" w:hanging="796"/>
        <w:spacing w:after="0" w:line="289" w:lineRule="auto"/>
        <w:tabs>
          <w:tab w:leader="none" w:pos="13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 xml:space="preserve">upon written notice by either Party if the other Party is in material breach of its obligations hereunder and has not cured such breach after notice from the terminating Party requesting cure of the breach as specified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of a good faith dispute with respect to the existence of a material breach, the cure period is tolled until such time as the dispute is resolved pursuant to section</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13.7;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terminating Party has given the defaulting Party the following opportunities to remedy any breach:</w:t>
      </w:r>
    </w:p>
    <w:p>
      <w:pPr>
        <w:spacing w:after="0" w:line="116" w:lineRule="exact"/>
        <w:rPr>
          <w:sz w:val="20"/>
          <w:szCs w:val="20"/>
          <w:color w:val="auto"/>
        </w:rPr>
      </w:pPr>
    </w:p>
    <w:p>
      <w:pPr>
        <w:ind w:left="1940" w:right="500" w:hanging="568"/>
        <w:spacing w:after="0" w:line="342" w:lineRule="auto"/>
        <w:tabs>
          <w:tab w:leader="none" w:pos="1940" w:val="left"/>
        </w:tabs>
        <w:numPr>
          <w:ilvl w:val="0"/>
          <w:numId w:val="308"/>
        </w:numPr>
        <w:rPr>
          <w:rFonts w:ascii="Arial" w:cs="Arial" w:eastAsia="Arial" w:hAnsi="Arial"/>
          <w:sz w:val="16"/>
          <w:szCs w:val="16"/>
          <w:b w:val="1"/>
          <w:bCs w:val="1"/>
          <w:color w:val="auto"/>
        </w:rPr>
      </w:pPr>
      <w:r>
        <w:rPr>
          <w:rFonts w:ascii="Arial" w:cs="Arial" w:eastAsia="Arial" w:hAnsi="Arial"/>
          <w:sz w:val="16"/>
          <w:szCs w:val="16"/>
          <w:color w:val="auto"/>
        </w:rPr>
        <w:t>the written notice of breach referenced will detail the specific obligation under this Agreement which is alleged to have been breached; the manner of such alleged breach; and the steps which must be taken in order to remedy such breach; and</w:t>
      </w:r>
    </w:p>
    <w:p>
      <w:pPr>
        <w:spacing w:after="0" w:line="29" w:lineRule="exact"/>
        <w:rPr>
          <w:rFonts w:ascii="Arial" w:cs="Arial" w:eastAsia="Arial" w:hAnsi="Arial"/>
          <w:sz w:val="16"/>
          <w:szCs w:val="16"/>
          <w:b w:val="1"/>
          <w:bCs w:val="1"/>
          <w:color w:val="auto"/>
        </w:rPr>
      </w:pPr>
    </w:p>
    <w:p>
      <w:pPr>
        <w:ind w:left="1940" w:hanging="568"/>
        <w:spacing w:after="0" w:line="257" w:lineRule="auto"/>
        <w:tabs>
          <w:tab w:leader="none" w:pos="1940"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the terminating Party has provided the defaulting Party with a reasonable amount of time (but no more than [*****]) in which (i) to complete any steps which might be taken to remedy the breach, as stated in the notification of breach, or (ii) if completion of those steps is not possible within a [*****] period, to commence those steps required as stated in the ·notification of breach, on the condition that the defaulting Party continues to perform those steps with due diligence and the breach can be cured within a mutually agreeable period of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12.4 Effect on License of Termination by Janssen for Breach by ACI</w:t>
      </w:r>
      <w:r>
        <w:rPr>
          <w:rFonts w:ascii="Arial" w:cs="Arial" w:eastAsia="Arial" w:hAnsi="Arial"/>
          <w:sz w:val="17"/>
          <w:szCs w:val="17"/>
          <w:color w:val="auto"/>
        </w:rPr>
        <w:t>. If Janssen terminates this agreement under section 12.3.1, then Janssen’s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Article 7 become perpetual, exclusive licenses subject to the financial provisions of Article 9 and obligations under Article 11. In addition, Janssen’s obligation to use Diligent Efforts under Section 2.1 shall remain in effect until expiration of Janssen’s obligation to pay royalties under section 9.3. Janssen will retain any rights to seek remedies for damages it may have under the laws of Switzerland.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 Effect of Termination by ACI For Breach by Janssen or by Janssen Without Cause</w:t>
      </w:r>
      <w:r>
        <w:rPr>
          <w:rFonts w:ascii="Arial" w:cs="Arial" w:eastAsia="Arial" w:hAnsi="Arial"/>
          <w:sz w:val="17"/>
          <w:szCs w:val="17"/>
          <w:color w:val="auto"/>
        </w:rPr>
        <w:t>. If ACI terminates this Agreement under section 12.3.1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Janssen terminates this Agreement under section 12.2.1:</w:t>
      </w:r>
    </w:p>
    <w:p>
      <w:pPr>
        <w:spacing w:after="0" w:line="112" w:lineRule="exact"/>
        <w:rPr>
          <w:sz w:val="20"/>
          <w:szCs w:val="20"/>
          <w:color w:val="auto"/>
        </w:rPr>
      </w:pPr>
    </w:p>
    <w:p>
      <w:pPr>
        <w:ind w:left="1380" w:right="60" w:hanging="796"/>
        <w:spacing w:after="0" w:line="292" w:lineRule="auto"/>
        <w:tabs>
          <w:tab w:leader="none" w:pos="1360" w:val="left"/>
        </w:tabs>
        <w:rPr>
          <w:sz w:val="20"/>
          <w:szCs w:val="20"/>
          <w:color w:val="auto"/>
        </w:rPr>
      </w:pPr>
      <w:r>
        <w:rPr>
          <w:rFonts w:ascii="Arial" w:cs="Arial" w:eastAsia="Arial" w:hAnsi="Arial"/>
          <w:sz w:val="18"/>
          <w:szCs w:val="18"/>
          <w:b w:val="1"/>
          <w:bCs w:val="1"/>
          <w:color w:val="auto"/>
        </w:rPr>
        <w:t>12.5.1</w:t>
      </w:r>
      <w:r>
        <w:rPr>
          <w:sz w:val="20"/>
          <w:szCs w:val="20"/>
          <w:color w:val="auto"/>
        </w:rPr>
        <w:tab/>
      </w:r>
      <w:r>
        <w:rPr>
          <w:rFonts w:ascii="Arial" w:cs="Arial" w:eastAsia="Arial" w:hAnsi="Arial"/>
          <w:sz w:val="16"/>
          <w:szCs w:val="16"/>
          <w:b w:val="1"/>
          <w:bCs w:val="1"/>
          <w:color w:val="auto"/>
        </w:rPr>
        <w:t>Termination of License to Janssen</w:t>
      </w:r>
      <w:r>
        <w:rPr>
          <w:rFonts w:ascii="Arial" w:cs="Arial" w:eastAsia="Arial" w:hAnsi="Arial"/>
          <w:sz w:val="16"/>
          <w:szCs w:val="16"/>
          <w:color w:val="auto"/>
        </w:rPr>
        <w:t>. The licenses granted to Janssen terminate as of the Agreement termination date in their entirety or on</w:t>
      </w:r>
      <w:r>
        <w:rPr>
          <w:rFonts w:ascii="Arial" w:cs="Arial" w:eastAsia="Arial" w:hAnsi="Arial"/>
          <w:sz w:val="16"/>
          <w:szCs w:val="16"/>
          <w:b w:val="1"/>
          <w:bCs w:val="1"/>
          <w:color w:val="auto"/>
        </w:rPr>
        <w:t xml:space="preserve"> </w:t>
      </w:r>
      <w:r>
        <w:rPr>
          <w:rFonts w:ascii="Arial" w:cs="Arial" w:eastAsia="Arial" w:hAnsi="Arial"/>
          <w:sz w:val="16"/>
          <w:szCs w:val="16"/>
          <w:color w:val="auto"/>
        </w:rPr>
        <w:t>a country-by-country and Product-by-Product basis. If Janssen terminates this Agreement in one or more countries, but does not terminate the Agreement in its entirety, then at ACI’s request, the Parties will consider other reasonable means to bring the Product to market in such country but in any case, without negatively affecting the economic, technical, and clinical value of the Product in the other countries in which rights have not been terminated. ACI will retain any rights to seek remedies for damages it may have under the laws of Switzerland. In the case of a termination in its entirety, Janssen shall, within [*****] after such termination, return or cause to be returned to ACI all ACI Confidential Information in tangible form except that Janssen may retain one copy in its confidential files solely for records purposes.</w:t>
      </w:r>
    </w:p>
    <w:p>
      <w:pPr>
        <w:spacing w:after="0" w:line="67" w:lineRule="exact"/>
        <w:rPr>
          <w:sz w:val="20"/>
          <w:szCs w:val="20"/>
          <w:color w:val="auto"/>
        </w:rPr>
      </w:pPr>
    </w:p>
    <w:p>
      <w:pPr>
        <w:ind w:left="1380" w:right="20" w:hanging="796"/>
        <w:spacing w:after="0" w:line="285" w:lineRule="auto"/>
        <w:tabs>
          <w:tab w:leader="none" w:pos="1360" w:val="left"/>
        </w:tabs>
        <w:rPr>
          <w:sz w:val="20"/>
          <w:szCs w:val="20"/>
          <w:color w:val="auto"/>
        </w:rPr>
      </w:pPr>
      <w:r>
        <w:rPr>
          <w:rFonts w:ascii="Arial" w:cs="Arial" w:eastAsia="Arial" w:hAnsi="Arial"/>
          <w:sz w:val="18"/>
          <w:szCs w:val="18"/>
          <w:b w:val="1"/>
          <w:bCs w:val="1"/>
          <w:color w:val="auto"/>
        </w:rPr>
        <w:t>12.5.2</w:t>
      </w:r>
      <w:r>
        <w:rPr>
          <w:sz w:val="20"/>
          <w:szCs w:val="20"/>
          <w:color w:val="auto"/>
        </w:rPr>
        <w:tab/>
      </w:r>
      <w:r>
        <w:rPr>
          <w:rFonts w:ascii="Arial" w:cs="Arial" w:eastAsia="Arial" w:hAnsi="Arial"/>
          <w:sz w:val="16"/>
          <w:szCs w:val="16"/>
          <w:b w:val="1"/>
          <w:bCs w:val="1"/>
          <w:color w:val="auto"/>
        </w:rPr>
        <w:t>Regulatory</w:t>
      </w:r>
      <w:r>
        <w:rPr>
          <w:rFonts w:ascii="Arial" w:cs="Arial" w:eastAsia="Arial" w:hAnsi="Arial"/>
          <w:sz w:val="16"/>
          <w:szCs w:val="16"/>
          <w:color w:val="auto"/>
        </w:rPr>
        <w:t>. In the case of a termination in its entirety by ACI under Section 12.3.1 or Janssen under section 12.2.1, Janssen shall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does assign and transfer to ACI all Regulatory Filings and Regulatory Approvals for the ACI or Joint Product together with all final pre-clinical and clinical study reports and clinical study protocols, and all data, including clinical data, materials and information in Janssen’s possession and control related to ACI or Joint Product(s) in the applicable country as necessary for ACI to continue to develop and commercialize the ACI or Joint Product(s) in such country, and (b) at ACI’s request, Janssen shall and hereby does assign to ACI all clinical trial agreements regarding the ACI or Joint Product in the applicable country to the extent such agreements have not been cancelled and to the extent Janssen is able to do so. ACI shall, upon transfer, have the right to disclose such filings, approvals and data to</w:t>
      </w:r>
    </w:p>
    <w:p>
      <w:pPr>
        <w:spacing w:after="0" w:line="2" w:lineRule="exact"/>
        <w:rPr>
          <w:sz w:val="20"/>
          <w:szCs w:val="20"/>
          <w:color w:val="auto"/>
        </w:rPr>
      </w:pPr>
    </w:p>
    <w:p>
      <w:pPr>
        <w:ind w:left="1380" w:hanging="8"/>
        <w:spacing w:after="0" w:line="253" w:lineRule="auto"/>
        <w:tabs>
          <w:tab w:leader="none" w:pos="159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governmental agencies of the country to the extent required or desirable to secure government approval for the development, manufacturing or sale of ACI or Joint Product(s) in the country, (ii) Third Parties acting on behalf of ACI, its Affiliates or licensees, to the extent reasonably necessary for the development, manufacture or sale of ACI or Joint Product(s) in the country and (iii) Third Parties to the extent reasonably necessary to market ACI or Joint Product(s) in the country. All documents shall be transferred in the form and format in which such materials are maintained by Janssen.</w:t>
      </w:r>
    </w:p>
    <w:p>
      <w:pPr>
        <w:spacing w:after="0" w:line="93" w:lineRule="exact"/>
        <w:rPr>
          <w:sz w:val="20"/>
          <w:szCs w:val="20"/>
          <w:color w:val="auto"/>
        </w:rPr>
      </w:pPr>
    </w:p>
    <w:p>
      <w:pPr>
        <w:ind w:left="1380" w:right="100" w:hanging="796"/>
        <w:spacing w:after="0" w:line="256" w:lineRule="auto"/>
        <w:tabs>
          <w:tab w:leader="none" w:pos="1360" w:val="left"/>
        </w:tabs>
        <w:rPr>
          <w:sz w:val="20"/>
          <w:szCs w:val="20"/>
          <w:color w:val="auto"/>
        </w:rPr>
      </w:pPr>
      <w:r>
        <w:rPr>
          <w:rFonts w:ascii="Arial" w:cs="Arial" w:eastAsia="Arial" w:hAnsi="Arial"/>
          <w:sz w:val="18"/>
          <w:szCs w:val="18"/>
          <w:b w:val="1"/>
          <w:bCs w:val="1"/>
          <w:color w:val="auto"/>
        </w:rPr>
        <w:t>12.5.3</w:t>
      </w:r>
      <w:r>
        <w:rPr>
          <w:sz w:val="20"/>
          <w:szCs w:val="20"/>
          <w:color w:val="auto"/>
        </w:rPr>
        <w:tab/>
      </w:r>
      <w:r>
        <w:rPr>
          <w:rFonts w:ascii="Arial" w:cs="Arial" w:eastAsia="Arial" w:hAnsi="Arial"/>
          <w:sz w:val="18"/>
          <w:szCs w:val="18"/>
          <w:b w:val="1"/>
          <w:bCs w:val="1"/>
          <w:color w:val="auto"/>
        </w:rPr>
        <w:t>Non-exclusive License to ACI</w:t>
      </w:r>
      <w:r>
        <w:rPr>
          <w:rFonts w:ascii="Arial" w:cs="Arial" w:eastAsia="Arial" w:hAnsi="Arial"/>
          <w:sz w:val="18"/>
          <w:szCs w:val="18"/>
          <w:color w:val="auto"/>
        </w:rPr>
        <w:t>. In the case of a termination in its entirety by ACI under Section 12.3.1 or Janssen under this section 12.5,</w:t>
      </w:r>
      <w:r>
        <w:rPr>
          <w:rFonts w:ascii="Arial" w:cs="Arial" w:eastAsia="Arial" w:hAnsi="Arial"/>
          <w:sz w:val="18"/>
          <w:szCs w:val="18"/>
          <w:b w:val="1"/>
          <w:bCs w:val="1"/>
          <w:color w:val="auto"/>
        </w:rPr>
        <w:t xml:space="preserve"> </w:t>
      </w:r>
      <w:r>
        <w:rPr>
          <w:rFonts w:ascii="Arial" w:cs="Arial" w:eastAsia="Arial" w:hAnsi="Arial"/>
          <w:sz w:val="18"/>
          <w:szCs w:val="18"/>
          <w:color w:val="auto"/>
        </w:rPr>
        <w:t>Janssen shall grant and hereby grants to ACI a non-exclusive, worldwide, fully-paid up, royalty-free, perpetual, irrevocable license under Janssen Patent Rights and Janssen Know-How, to the extent necessary to Develop, Manufacture and Commercialize ACI or Joint Product(s) as of the effective date of termination. Janssen shall provide ACI reasonable access to information, technical assistance and analytical know-how necessary for ACI to apply the licensed technology for a period of [*****] months following the effective date of termination.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450" w:name="page451"/>
    <w:bookmarkEnd w:id="4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4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12.5.5</w:t>
      </w:r>
      <w:r>
        <w:rPr>
          <w:sz w:val="20"/>
          <w:szCs w:val="20"/>
          <w:color w:val="auto"/>
        </w:rPr>
        <w:tab/>
      </w:r>
      <w:r>
        <w:rPr>
          <w:rFonts w:ascii="Arial" w:cs="Arial" w:eastAsia="Arial" w:hAnsi="Arial"/>
          <w:sz w:val="18"/>
          <w:szCs w:val="18"/>
          <w:b w:val="1"/>
          <w:bCs w:val="1"/>
          <w:color w:val="auto"/>
        </w:rPr>
        <w:t>Supply to ACI</w:t>
      </w:r>
      <w:r>
        <w:rPr>
          <w:rFonts w:ascii="Arial" w:cs="Arial" w:eastAsia="Arial" w:hAnsi="Arial"/>
          <w:sz w:val="18"/>
          <w:szCs w:val="18"/>
          <w:color w:val="auto"/>
        </w:rPr>
        <w:t>. ACI will be solely responsible for, and shall use commercially reasonable efforts to obtain an approved alternate source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 for clinical and commercial supplies, of ACI or Joint Products as soon as reasonably practicable as required by Regulatory Authorities.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12.6 HSR Filing; Termination Upon HSR Denial</w:t>
      </w:r>
      <w:r>
        <w:rPr>
          <w:rFonts w:ascii="Arial" w:cs="Arial" w:eastAsia="Arial" w:hAnsi="Arial"/>
          <w:sz w:val="16"/>
          <w:szCs w:val="16"/>
          <w:color w:val="auto"/>
        </w:rPr>
        <w:t>. If Janssen and ACI determine that an HSR filing is necessary, each of ACI and Janssen shall,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days of the Effective Date (or such later time as may be agreed to in writing by the Parties), file with the United States Federal Trade Commission and the Antitrust Division of the United States Department of Justice, or with equivalent foreign authorities, any HSR Filing required of it under the HSR Act in the reasonable opinion of either Party. Each of ACI and Janssen shall use Diligent Efforts to do, or cause to be done, all things necessary, proper and advisable to, as promptly as practicable, take all actions necessary to make the filings required of ACI and Janssen or their respective Affiliates under the HSR Act. The Parties shall cooperate with one another to the extent necessary in the preparation of any such HSR Filing. [*****]. If the Parties make an HSR Filing, then this Agreement shall terminate (a) at the election of either Party, immediately upon notice to the other Party, if the U.S. Federal Trade Commission or the U.S. Department of Justice, or an equivalent authority in the European Union, seeks a preliminary injunction under the Antitrust Laws against ACI and Janssen to enjoin the transactions contemplated by this Agreement; (b) at the election of either Party, immediately upon notice to the other Party, in the event that the United States Federal Trade Commission or the United States Department of Justice, or an equivalent authority in the European Union, obtains a preliminary injunction under the Antitrust Laws against ACI and Janssen to enjoin the transactions contemplated by this Agreement; or (c) at the election of either Party, immediately upon notice to the other Party, in the event that the HSR Clearance Date has not occurred on or prior to [*****] after the effective date of the HSR Filing. In the event that ACI exercises it right of termination under this section, then [*****].</w:t>
      </w:r>
    </w:p>
    <w:p>
      <w:pPr>
        <w:spacing w:after="0" w:line="16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The provisions of Sections 10.1.1, 10.1.2, 10.2.1, 13.1, 13.6, 13.7, and Article 8 indefinitely survive any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MISCELLANEOUS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6" w:lineRule="auto"/>
        <w:tabs>
          <w:tab w:leader="none" w:pos="13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7"/>
          <w:szCs w:val="17"/>
          <w:color w:val="auto"/>
        </w:rPr>
        <w:t>ACI shall indemnify Janssen and its Affiliates, and their respective directors, officers, employees and agents, against any claims of damages (except to the extent arising from any claims of intellectual property infringement), bodily injury, death, or property damage made by a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to the extent arising from: (a) the negligence or willful misconduct of ACI under this Agreement; or (b) the material breach by ACI of any warranty, representation or obligation of ACI under this Agreement. This indemnification does not apply to the extent an act or failure to act is due to the negligence or willful misconduct of Janssen.</w:t>
      </w:r>
    </w:p>
    <w:p>
      <w:pPr>
        <w:spacing w:after="0" w:line="78" w:lineRule="exact"/>
        <w:rPr>
          <w:sz w:val="20"/>
          <w:szCs w:val="20"/>
          <w:color w:val="auto"/>
        </w:rPr>
      </w:pPr>
    </w:p>
    <w:p>
      <w:pPr>
        <w:ind w:left="1380" w:right="18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8"/>
          <w:szCs w:val="18"/>
          <w:color w:val="auto"/>
        </w:rPr>
        <w:t>Janssen shall indemnify ACI and its Affiliates, and their respective directors, officers, employees and agents, against any Third Party Claim to the extent arising from (a) the negligence or willful misconduct of Janssen or its Related Parties under this Agreement; (b) the material breach by Janssen or its Related Parties of any warranty, representation or obligation of Janssen under this Agreement; or (c) the Development, Manufacture,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9" w:right="239"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77" w:lineRule="auto"/>
        <w:rPr>
          <w:sz w:val="20"/>
          <w:szCs w:val="20"/>
          <w:color w:val="auto"/>
        </w:rPr>
      </w:pPr>
      <w:r>
        <w:rPr>
          <w:rFonts w:ascii="Arial" w:cs="Arial" w:eastAsia="Arial" w:hAnsi="Arial"/>
          <w:sz w:val="18"/>
          <w:szCs w:val="18"/>
          <w:color w:val="auto"/>
        </w:rPr>
        <w:t>Commercialization or use by Janssen or its or its Related Parties under this Agreement of any Product. This indemnification does not apply to the extent an act or failure to act is due to the negligence or willful misconduct of ACI.</w:t>
      </w:r>
    </w:p>
    <w:p>
      <w:pPr>
        <w:spacing w:after="0" w:line="72" w:lineRule="exact"/>
        <w:rPr>
          <w:sz w:val="20"/>
          <w:szCs w:val="20"/>
          <w:color w:val="auto"/>
        </w:rPr>
      </w:pPr>
    </w:p>
    <w:p>
      <w:pPr>
        <w:ind w:left="138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color w:val="auto"/>
        </w:rPr>
        <w:t>If a Party (the “</w:t>
      </w:r>
      <w:r>
        <w:rPr>
          <w:rFonts w:ascii="Arial" w:cs="Arial" w:eastAsia="Arial" w:hAnsi="Arial"/>
          <w:sz w:val="16"/>
          <w:szCs w:val="16"/>
          <w:u w:val="single" w:color="auto"/>
          <w:color w:val="auto"/>
        </w:rPr>
        <w:t>Indemnitee</w:t>
      </w:r>
      <w:r>
        <w:rPr>
          <w:rFonts w:ascii="Arial" w:cs="Arial" w:eastAsia="Arial" w:hAnsi="Arial"/>
          <w:sz w:val="16"/>
          <w:szCs w:val="16"/>
          <w:color w:val="auto"/>
        </w:rPr>
        <w:t>”) intends to claim indemnification under this section, it shall promptly notify the other Party (the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in writing of any Third Party Claim for which the Indemnitee intends to claim such indemnification. The failure of the Indemnitee to deliver written notice to the Indemnitor within a reasonable time after the commencement of any such action relieves the Indemnitor of any obligation to the Indemnitee under this section with respect to any such action, insofar as the failure prejudices the Indemnitor’s ability to defend a Third Party Claim. The Indemnitee shall permit the Indemnitor to control the litigation or settlement of such Third Party Claim, and cooperate fully with Indemnitor in all related matters,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agreed by Indemnitee (a) counsel appointed by Indemnitor to defend Indemnitee will not take any position which if sustained would cause Indemnitee not to be indemnified by Indemnitor and (b) no settlement will involve any terms binding on Indemnitee except payment of money to by paid by Indemnitor.</w:t>
      </w:r>
    </w:p>
    <w:p>
      <w:pPr>
        <w:spacing w:after="0" w:line="72"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6"/>
          <w:szCs w:val="16"/>
          <w:color w:val="auto"/>
        </w:rPr>
        <w:t>Neither Party is liable to the other for indirect, consequential, special or punitive damages under this Agreement.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13.2 Force Majeure</w:t>
      </w:r>
      <w:r>
        <w:rPr>
          <w:rFonts w:ascii="Arial" w:cs="Arial" w:eastAsia="Arial" w:hAnsi="Arial"/>
          <w:sz w:val="18"/>
          <w:szCs w:val="18"/>
          <w:color w:val="auto"/>
        </w:rPr>
        <w:t>. Neither Party is liable to the other Party nor will it be deemed to breached this Agreement for failure or delay in performing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under this Agreement when such failure or delay is caused by or results from causes beyond the reasonable control of the affected Party including, but not limited to, embargoes, war, acts of war (whether war be declared or not),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reasonable efforts necessary to cure the force majeure circumstances.</w:t>
      </w:r>
    </w:p>
    <w:p>
      <w:pPr>
        <w:spacing w:after="0" w:line="1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13.3 Assignment</w:t>
      </w:r>
      <w:r>
        <w:rPr>
          <w:rFonts w:ascii="Arial" w:cs="Arial" w:eastAsia="Arial" w:hAnsi="Arial"/>
          <w:sz w:val="16"/>
          <w:szCs w:val="16"/>
          <w:color w:val="auto"/>
        </w:rPr>
        <w:t>. Except as provided in this section 12.3, this Agreement may not be assigned or otherwise transferred, nor may any right or obligation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or transferred, by either Party without the consent of the other Party. Either Party may, without the other Party’s consent, assign this Agreement and its rights and obligations, in whole or in part, to an Affiliate. Any permitted assignee assumes all obligations of its assignor under this Agreement and will be subject to all of the provisions of this Agreement. Any attempted assignment not in accordance with this section is void. In the event of a Change of Control, ACI or Janssen may, without the other’s consent, assign this Agreement and all rights and obligations to the Change of Control party.</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13.4 Severability</w:t>
      </w:r>
      <w:r>
        <w:rPr>
          <w:rFonts w:ascii="Arial" w:cs="Arial" w:eastAsia="Arial" w:hAnsi="Arial"/>
          <w:sz w:val="18"/>
          <w:szCs w:val="18"/>
          <w:color w:val="auto"/>
        </w:rPr>
        <w:t>. If any provision in this Agreement is held invalid, illegal or unenforceable, the validity, legality and enforceability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will not be affected unless the absence of the invalidated provision(s) adversely affects the substantive rights of the Parties. The Parties will then use reasonable efforts to replace the invalid, illegal or unenforceable provision(s) with valid, legal and enforceable provision(s) which implement the purposes of this Agreement.</w:t>
      </w:r>
    </w:p>
    <w:p>
      <w:pPr>
        <w:spacing w:after="0" w:line="1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13.5 Notices</w:t>
      </w:r>
      <w:r>
        <w:rPr>
          <w:rFonts w:ascii="Arial" w:cs="Arial" w:eastAsia="Arial" w:hAnsi="Arial"/>
          <w:sz w:val="18"/>
          <w:szCs w:val="18"/>
          <w:color w:val="auto"/>
        </w:rPr>
        <w:t>. All notices that are required or permitted will be in writing and sufficient if delivered personally, sent by facsimile (and promptly confirmed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registered or certified mail or overnight courier), sent by internationally-recognized courier or sent by registered or certified mail, postage prepaid, addressed as follows:</w:t>
      </w:r>
    </w:p>
    <w:p>
      <w:pPr>
        <w:spacing w:after="0" w:line="207" w:lineRule="exact"/>
        <w:rPr>
          <w:sz w:val="20"/>
          <w:szCs w:val="20"/>
          <w:color w:val="auto"/>
        </w:rPr>
      </w:pPr>
    </w:p>
    <w:p>
      <w:pPr>
        <w:ind w:left="1840"/>
        <w:spacing w:after="0"/>
        <w:tabs>
          <w:tab w:leader="none" w:pos="6000" w:val="left"/>
        </w:tabs>
        <w:rPr>
          <w:sz w:val="20"/>
          <w:szCs w:val="20"/>
          <w:color w:val="auto"/>
        </w:rPr>
      </w:pPr>
      <w:r>
        <w:rPr>
          <w:rFonts w:ascii="Arial" w:cs="Arial" w:eastAsia="Arial" w:hAnsi="Arial"/>
          <w:sz w:val="18"/>
          <w:szCs w:val="18"/>
          <w:color w:val="auto"/>
        </w:rPr>
        <w:t>If to ACI, to:</w:t>
      </w:r>
      <w:r>
        <w:rPr>
          <w:sz w:val="20"/>
          <w:szCs w:val="20"/>
          <w:color w:val="auto"/>
        </w:rPr>
        <w:tab/>
      </w:r>
      <w:r>
        <w:rPr>
          <w:rFonts w:ascii="Arial" w:cs="Arial" w:eastAsia="Arial" w:hAnsi="Arial"/>
          <w:sz w:val="17"/>
          <w:szCs w:val="17"/>
          <w:color w:val="auto"/>
        </w:rPr>
        <w:t>AC Immune, 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452" w:name="page453"/>
    <w:bookmarkEnd w:id="45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Office of Business Development</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ectPr>
          <w:pgSz w:w="11900" w:h="16838" w:orient="portrait"/>
          <w:cols w:equalWidth="0" w:num="1">
            <w:col w:w="11320"/>
          </w:cols>
          <w:pgMar w:left="240" w:top="269" w:right="339" w:bottom="1440" w:gutter="0" w:footer="0" w:header="0"/>
        </w:sect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Dr. Matthias Staehelin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 4010 Basel, 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If to Janssen,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Janssen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1125 Trenton-Harbourton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Titusville, NJ 08560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Facsimile No.:</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Johnson &amp;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Johnson &amp; Johnson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Brunswick, NJ 08933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Chief Intellectual Property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Any notice will have been given:</w:t>
      </w:r>
    </w:p>
    <w:p>
      <w:pPr>
        <w:spacing w:after="0" w:line="35" w:lineRule="exact"/>
        <w:rPr>
          <w:sz w:val="20"/>
          <w:szCs w:val="20"/>
          <w:color w:val="auto"/>
        </w:rPr>
      </w:pPr>
    </w:p>
    <w:p>
      <w:pPr>
        <w:ind w:right="280" w:firstLine="8"/>
        <w:spacing w:after="0" w:line="277" w:lineRule="auto"/>
        <w:tabs>
          <w:tab w:leader="none" w:pos="24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when delivered if personally delivered or sent by facsimile on a business day; (b) on the next business day after dispatch if sent by facsimile or by internationally-recognized overnight courier; and/or (c) on the [*****] business day following the date of mailing if sent by mail or other internationally-recognized courier. Notices are not sufficient if provided only between each Party’s representatives for the JRC Meetings.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13.6 Applicable Law</w:t>
      </w:r>
      <w:r>
        <w:rPr>
          <w:rFonts w:ascii="Arial" w:cs="Arial" w:eastAsia="Arial" w:hAnsi="Arial"/>
          <w:sz w:val="18"/>
          <w:szCs w:val="18"/>
          <w:color w:val="auto"/>
        </w:rPr>
        <w:t>. This Agreement is governed by and construed in accordance with the laws of Switzerland without reference to any rules of conflict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 United Nations Convention on the Sale of Goods does not apply to this Agreement.</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Dispute Resolution.</w:t>
      </w:r>
    </w:p>
    <w:p>
      <w:pPr>
        <w:spacing w:after="0" w:line="117"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b w:val="1"/>
          <w:bCs w:val="1"/>
          <w:color w:val="auto"/>
        </w:rPr>
        <w:t xml:space="preserve">13.7.1 </w:t>
      </w:r>
      <w:r>
        <w:rPr>
          <w:rFonts w:ascii="Arial" w:cs="Arial" w:eastAsia="Arial" w:hAnsi="Arial"/>
          <w:sz w:val="16"/>
          <w:szCs w:val="16"/>
          <w:color w:val="auto"/>
        </w:rPr>
        <w:t>The Parties shall negotiate in good faith and use reasonable efforts to settle any dispute, controversy or claim arising from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breach thereof (a “</w:t>
      </w:r>
      <w:r>
        <w:rPr>
          <w:rFonts w:ascii="Arial" w:cs="Arial" w:eastAsia="Arial" w:hAnsi="Arial"/>
          <w:sz w:val="16"/>
          <w:szCs w:val="16"/>
          <w:b w:val="1"/>
          <w:bCs w:val="1"/>
          <w:color w:val="auto"/>
        </w:rPr>
        <w:t>Dispute</w:t>
      </w:r>
      <w:r>
        <w:rPr>
          <w:rFonts w:ascii="Arial" w:cs="Arial" w:eastAsia="Arial" w:hAnsi="Arial"/>
          <w:sz w:val="16"/>
          <w:szCs w:val="16"/>
          <w:color w:val="auto"/>
        </w:rPr>
        <w:t>”). If the Parties initially are unable to resolve a Dispute despite using reasonable efforts to do so, either Party may, by written notice to the other, have the Dispute referred to their respective senior management designated below or their respective successors, for attempted resolution by negotiation in good faith. The attempted resolution shall take place no later than [*****] following receipt of such notice unless otherwise agreed. The designated management (each designated representative, an “Executive Officer”) are as follows:</w:t>
      </w:r>
    </w:p>
    <w:p>
      <w:pPr>
        <w:spacing w:after="0" w:line="30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Janssen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Therapeutic Area Leader for Neuroscience or designee</w:t>
      </w:r>
    </w:p>
    <w:p>
      <w:pPr>
        <w:spacing w:after="0" w:line="11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ACI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Chief Executive Officer or designee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69" w:right="339" w:bottom="1440" w:gutter="0" w:footer="0" w:header="0"/>
          <w:type w:val="continuous"/>
        </w:sectPr>
      </w:pPr>
    </w:p>
    <w:bookmarkStart w:id="453" w:name="page454"/>
    <w:bookmarkEnd w:id="453"/>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the Parties are unable to resolve the Dispute, controversy or claim within [*****] (unless otherwise agreed) following the day on which one Party provides written notice of the Dispute to the other in accordance with section 12.7 .2, and a Party wishes to pursue the matter, each such Dispute, controversy or claim that is not an Excluded Claim will be finally resolved by mediation followed by binding arbitration as set forth below.</w:t>
      </w:r>
    </w:p>
    <w:p>
      <w:pPr>
        <w:spacing w:after="0" w:line="3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13.7.2 Mediation</w:t>
      </w:r>
      <w:r>
        <w:rPr>
          <w:rFonts w:ascii="Arial" w:cs="Arial" w:eastAsia="Arial" w:hAnsi="Arial"/>
          <w:sz w:val="16"/>
          <w:szCs w:val="16"/>
          <w:color w:val="auto"/>
        </w:rPr>
        <w:t>. The Parties shall first attempt in good faith to resolve any Dispute by confidential mediation in accordance with the then current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Mediation Procedure </w:t>
      </w:r>
      <w:r>
        <w:rPr>
          <w:rFonts w:ascii="Arial" w:cs="Arial" w:eastAsia="Arial" w:hAnsi="Arial"/>
          <w:sz w:val="16"/>
          <w:szCs w:val="16"/>
          <w:color w:val="auto"/>
        </w:rPr>
        <w:t>of the International Institute for Conflict Prevention and Resolution (“</w:t>
      </w:r>
      <w:r>
        <w:rPr>
          <w:rFonts w:ascii="Arial" w:cs="Arial" w:eastAsia="Arial" w:hAnsi="Arial"/>
          <w:sz w:val="16"/>
          <w:szCs w:val="16"/>
          <w:b w:val="1"/>
          <w:bCs w:val="1"/>
          <w:color w:val="auto"/>
        </w:rPr>
        <w:t>CPR Mediation Procedure</w:t>
      </w:r>
      <w:r>
        <w:rPr>
          <w:rFonts w:ascii="Arial" w:cs="Arial" w:eastAsia="Arial" w:hAnsi="Arial"/>
          <w:sz w:val="16"/>
          <w:szCs w:val="16"/>
          <w:color w:val="auto"/>
        </w:rPr>
        <w:t>”) (www.cpradr.org)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initiating arbitration. The CPR Mediation Procedure controls, except where that Procedure conflicts with these provisions, in which case these provisions control. The mediator will be chosen pursuant to the CPR Mediation Procedure. The mediation will be held in Geneva, Switzerland.</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Either Party may initiate mediation by written notice to the other of the existence of a Dispute. The Parties will select the mediator within [*****]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will mediation continue more than [*****] from the initial notice by a Party to initiate meditation unless the Parties agree in writing to extend that period.</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period of limitations that would otherwise expire between the initiation of mediation and its conclusion is extended until [*****] after the conclusion of the mediation.</w:t>
      </w:r>
    </w:p>
    <w:p>
      <w:pPr>
        <w:spacing w:after="0" w:line="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13.7.3 Arbitration</w:t>
      </w:r>
      <w:r>
        <w:rPr>
          <w:rFonts w:ascii="Arial" w:cs="Arial" w:eastAsia="Arial" w:hAnsi="Arial"/>
          <w:sz w:val="18"/>
          <w:szCs w:val="18"/>
          <w:color w:val="auto"/>
        </w:rPr>
        <w:t>. If the Parties fail to resolve the Dispute in mediation, and a Party desires to pursue resolution of the Dispute, the Dispute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submitted by either Party for resolution in arbitration pursuant to the then current CPR </w:t>
      </w:r>
      <w:r>
        <w:rPr>
          <w:rFonts w:ascii="Arial" w:cs="Arial" w:eastAsia="Arial" w:hAnsi="Arial"/>
          <w:sz w:val="18"/>
          <w:szCs w:val="18"/>
          <w:i w:val="1"/>
          <w:iCs w:val="1"/>
          <w:color w:val="auto"/>
        </w:rPr>
        <w:t>Rules for Non-Administered Arbitration of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Disputes </w:t>
      </w:r>
      <w:r>
        <w:rPr>
          <w:rFonts w:ascii="Arial" w:cs="Arial" w:eastAsia="Arial" w:hAnsi="Arial"/>
          <w:sz w:val="18"/>
          <w:szCs w:val="18"/>
          <w:color w:val="auto"/>
        </w:rPr>
        <w:t>(“CPR Rules”) (</w:t>
      </w:r>
      <w:r>
        <w:rPr>
          <w:rFonts w:ascii="Arial" w:cs="Arial" w:eastAsia="Arial" w:hAnsi="Arial"/>
          <w:sz w:val="18"/>
          <w:szCs w:val="18"/>
          <w:u w:val="single" w:color="auto"/>
          <w:color w:val="auto"/>
        </w:rPr>
        <w:t>www.cpradr.org</w:t>
      </w:r>
      <w:r>
        <w:rPr>
          <w:rFonts w:ascii="Arial" w:cs="Arial" w:eastAsia="Arial" w:hAnsi="Arial"/>
          <w:sz w:val="18"/>
          <w:szCs w:val="18"/>
          <w:color w:val="auto"/>
        </w:rPr>
        <w:t>), except where they conflict with these provisions, in which case these provisions control. CPR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the Neutral Organization for all purposes. The arbitration will be conducted in English and held in Geneva, Switzerland. All aspects of the arbitration will be treated as confidential.</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arbitrators will be chosen from the CPR Panels of Distinguished Neutrals, unless a candidate not on the CPR Panel is approved by both Parties. Each arbitrator must be a lawyer with at least 15 years experience with a law firm or corporate law department of over 25 lawyers or who was a judge of a court of general jurisdiction. To the extent that the Dispute requires special expertise, the Parties will so inform CPR prior to the beginning of the selection process.</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arbitration tribunal will consist of three arbitrators, chosen in accordance with Rules 5.3 and 6 of the CPR Rules. If, however, the aggregate award sought by the Parties is less than $5 million and equitable relief is not sought, a single arbitrator will be chosen in accordance with Rules 5.3 and 6 of the CPR Rules.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Candidates for the arbitrator position(s) may be interviewed by representatives of the Parties in advance of their selection, provided that all Parties are represented.</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Parties will select the arbitrator(s) within [*****] of initiation of the arbitration. The hearing will be concluded within [*****] months after selection of the arbitrator(s) and the award will be rendered within [*****] of the conclusion of the hearing, or of any post-hearing</w:t>
      </w:r>
    </w:p>
    <w:p>
      <w:pPr>
        <w:spacing w:after="0" w:line="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820" w:top="270" w:right="259" w:bottom="1440"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briefing, which briefing will be completed by both sides within [*****] after the conclusion of the hearing. In the event the Parties cannot agree upon a schedule, then the arbitrator(s) shall set the schedule following the time limits set forth above as closely as practical.</w:t>
      </w:r>
    </w:p>
    <w:p>
      <w:pPr>
        <w:spacing w:after="0" w:line="62" w:lineRule="exact"/>
        <w:rPr>
          <w:sz w:val="20"/>
          <w:szCs w:val="20"/>
          <w:color w:val="auto"/>
        </w:rPr>
      </w:pPr>
    </w:p>
    <w:p>
      <w:pPr>
        <w:ind w:left="580" w:right="1300"/>
        <w:spacing w:after="0" w:line="277" w:lineRule="auto"/>
        <w:rPr>
          <w:sz w:val="20"/>
          <w:szCs w:val="20"/>
          <w:color w:val="auto"/>
        </w:rPr>
      </w:pPr>
      <w:r>
        <w:rPr>
          <w:rFonts w:ascii="Arial" w:cs="Arial" w:eastAsia="Arial" w:hAnsi="Arial"/>
          <w:sz w:val="18"/>
          <w:szCs w:val="18"/>
          <w:color w:val="auto"/>
        </w:rPr>
        <w:t xml:space="preserve">The arbitrator(s) will be guided, but not bound, by the </w:t>
      </w:r>
      <w:r>
        <w:rPr>
          <w:rFonts w:ascii="Arial" w:cs="Arial" w:eastAsia="Arial" w:hAnsi="Arial"/>
          <w:sz w:val="18"/>
          <w:szCs w:val="18"/>
          <w:i w:val="1"/>
          <w:iCs w:val="1"/>
          <w:color w:val="auto"/>
        </w:rPr>
        <w:t>IBA Rules on the Taking of Evidence in International Commercial Arbitration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www.ibanet.org</w:t>
      </w:r>
      <w:r>
        <w:rPr>
          <w:rFonts w:ascii="Arial" w:cs="Arial" w:eastAsia="Arial" w:hAnsi="Arial"/>
          <w:sz w:val="18"/>
          <w:szCs w:val="18"/>
          <w:color w:val="auto"/>
        </w:rPr>
        <w: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hearing will be concluded in [*****] hearing days or less. Multiple hearing days will be scheduled consecutively to the greatest extent possible.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transcript of the testimony adduced at the hearing will be made available to either Party.</w:t>
      </w:r>
    </w:p>
    <w:p>
      <w:pPr>
        <w:spacing w:after="0" w:line="103" w:lineRule="exact"/>
        <w:rPr>
          <w:sz w:val="20"/>
          <w:szCs w:val="20"/>
          <w:color w:val="auto"/>
        </w:rPr>
      </w:pPr>
    </w:p>
    <w:p>
      <w:pPr>
        <w:jc w:val="both"/>
        <w:ind w:left="580" w:right="80"/>
        <w:spacing w:after="0" w:line="264" w:lineRule="auto"/>
        <w:rPr>
          <w:sz w:val="20"/>
          <w:szCs w:val="20"/>
          <w:color w:val="auto"/>
        </w:rPr>
      </w:pPr>
      <w:r>
        <w:rPr>
          <w:rFonts w:ascii="Arial" w:cs="Arial" w:eastAsia="Arial" w:hAnsi="Arial"/>
          <w:sz w:val="18"/>
          <w:szCs w:val="18"/>
          <w:color w:val="auto"/>
        </w:rPr>
        <w:t>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73"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The arbitrator(s) shall render a written opinion stating the reasons upon which the award is based. The arbitrator(s) may award the costs and expenses of the arbitration as provided in the CPR Rules, but each bears its own attorney fees</w:t>
      </w:r>
    </w:p>
    <w:p>
      <w:pPr>
        <w:spacing w:after="0" w:line="62" w:lineRule="exact"/>
        <w:rPr>
          <w:sz w:val="20"/>
          <w:szCs w:val="20"/>
          <w:color w:val="auto"/>
        </w:rPr>
      </w:pPr>
    </w:p>
    <w:p>
      <w:pPr>
        <w:ind w:left="580" w:right="40"/>
        <w:spacing w:after="0" w:line="264" w:lineRule="auto"/>
        <w:rPr>
          <w:sz w:val="20"/>
          <w:szCs w:val="20"/>
          <w:color w:val="auto"/>
        </w:rPr>
      </w:pPr>
      <w:r>
        <w:rPr>
          <w:rFonts w:ascii="Arial" w:cs="Arial" w:eastAsia="Arial" w:hAnsi="Arial"/>
          <w:sz w:val="18"/>
          <w:szCs w:val="18"/>
          <w:color w:val="auto"/>
        </w:rPr>
        <w:t>The award may be entered and enforced in any court of competent jurisdiction. If a court is called upon to enforce an award in a court proceeding, the Parties consent to the court’s requiring the Party resisting enforcement to pay the reasonable attorneys fees and costs incurred in that proceeding by the Party seeking enforcement.</w:t>
      </w:r>
    </w:p>
    <w:p>
      <w:pPr>
        <w:spacing w:after="0" w:line="73"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color w:val="auto"/>
        </w:rPr>
        <w:t>Any Party may seek emergency, interim, or provisional relief prior to the appointment of the arbitrator(s) from any court of competent jurisdiction, without waiver of the agreements to mediate and arbitrate. After appointment of the arbitrator(s), any request for emergency, interim, or provisional relief shall either be addressed to the arbitrator(s), which will have the power to enter an interim award granting relief using the standards provided by applicable law, or to a court, but only with the permission of the arbitrator(s). Any interim award of the arbitrator(s) may be enforced in any court of competent jurisdiction.</w:t>
      </w:r>
    </w:p>
    <w:p>
      <w:pPr>
        <w:spacing w:after="0" w:line="80" w:lineRule="exact"/>
        <w:rPr>
          <w:sz w:val="20"/>
          <w:szCs w:val="20"/>
          <w:color w:val="auto"/>
        </w:rPr>
      </w:pPr>
    </w:p>
    <w:p>
      <w:pPr>
        <w:ind w:left="580" w:right="340"/>
        <w:spacing w:after="0" w:line="342" w:lineRule="auto"/>
        <w:rPr>
          <w:sz w:val="20"/>
          <w:szCs w:val="20"/>
          <w:color w:val="auto"/>
        </w:rPr>
      </w:pPr>
      <w:r>
        <w:rPr>
          <w:rFonts w:ascii="Arial" w:cs="Arial" w:eastAsia="Arial" w:hAnsi="Arial"/>
          <w:sz w:val="16"/>
          <w:szCs w:val="16"/>
          <w:color w:val="auto"/>
        </w:rPr>
        <w:t>Each Party waives: (1) its right to trial of any issue by jury, (2) with the exception of relief mandated by statute, any claim to punitive, exemplary, multiplied, indirect, consequential or lost profits/revenues damages, and (3) any claim for attorney fees, costs and prejudgment interest.</w:t>
      </w:r>
    </w:p>
    <w:p>
      <w:pPr>
        <w:spacing w:after="0" w:line="12" w:lineRule="exact"/>
        <w:rPr>
          <w:sz w:val="20"/>
          <w:szCs w:val="20"/>
          <w:color w:val="auto"/>
        </w:rPr>
      </w:pPr>
    </w:p>
    <w:p>
      <w:pPr>
        <w:jc w:val="both"/>
        <w:ind w:left="580" w:right="200"/>
        <w:spacing w:after="0" w:line="261" w:lineRule="auto"/>
        <w:rPr>
          <w:sz w:val="20"/>
          <w:szCs w:val="20"/>
          <w:color w:val="auto"/>
        </w:rPr>
      </w:pPr>
      <w:r>
        <w:rPr>
          <w:rFonts w:ascii="Arial" w:cs="Arial" w:eastAsia="Arial" w:hAnsi="Arial"/>
          <w:sz w:val="18"/>
          <w:szCs w:val="18"/>
          <w:b w:val="1"/>
          <w:bCs w:val="1"/>
          <w:color w:val="auto"/>
        </w:rPr>
        <w:t xml:space="preserve">13.7.4 </w:t>
      </w:r>
      <w:r>
        <w:rPr>
          <w:rFonts w:ascii="Arial" w:cs="Arial" w:eastAsia="Arial" w:hAnsi="Arial"/>
          <w:sz w:val="18"/>
          <w:szCs w:val="18"/>
          <w:color w:val="auto"/>
        </w:rPr>
        <w:t>The Parties agree that, in the event of a Dispute over the nature or quality of performance under this Agreement, neither Party may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until final resolution of the Dispute through arbitration or other judicial determination. The Parties further agree that any payments made pursuant to this Agreement pending resolution of the Dispute will be refunded if an arbitrator or court determines that such payments are not due.</w:t>
      </w:r>
    </w:p>
    <w:p>
      <w:pPr>
        <w:spacing w:after="0" w:line="72" w:lineRule="exact"/>
        <w:rPr>
          <w:sz w:val="20"/>
          <w:szCs w:val="20"/>
          <w:color w:val="auto"/>
        </w:rPr>
      </w:pPr>
    </w:p>
    <w:p>
      <w:pPr>
        <w:ind w:left="580"/>
        <w:spacing w:after="0" w:line="282" w:lineRule="auto"/>
        <w:rPr>
          <w:sz w:val="20"/>
          <w:szCs w:val="20"/>
          <w:color w:val="auto"/>
        </w:rPr>
      </w:pPr>
      <w:r>
        <w:rPr>
          <w:rFonts w:ascii="Arial" w:cs="Arial" w:eastAsia="Arial" w:hAnsi="Arial"/>
          <w:sz w:val="18"/>
          <w:szCs w:val="18"/>
          <w:b w:val="1"/>
          <w:bCs w:val="1"/>
          <w:color w:val="auto"/>
        </w:rPr>
        <w:t xml:space="preserve">13.7.5 </w:t>
      </w:r>
      <w:r>
        <w:rPr>
          <w:rFonts w:ascii="Arial" w:cs="Arial" w:eastAsia="Arial" w:hAnsi="Arial"/>
          <w:sz w:val="18"/>
          <w:szCs w:val="18"/>
          <w:color w:val="auto"/>
        </w:rPr>
        <w:t>As used in this section, the term “</w:t>
      </w:r>
      <w:r>
        <w:rPr>
          <w:rFonts w:ascii="Arial" w:cs="Arial" w:eastAsia="Arial" w:hAnsi="Arial"/>
          <w:sz w:val="18"/>
          <w:szCs w:val="18"/>
          <w:u w:val="single" w:color="auto"/>
          <w:color w:val="auto"/>
        </w:rPr>
        <w:t>Excluded Claim</w:t>
      </w:r>
      <w:r>
        <w:rPr>
          <w:rFonts w:ascii="Arial" w:cs="Arial" w:eastAsia="Arial" w:hAnsi="Arial"/>
          <w:sz w:val="18"/>
          <w:szCs w:val="18"/>
          <w:color w:val="auto"/>
        </w:rPr>
        <w:t>” means a dispute, controversy or claim that concerns the validity or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or copyright.</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13.8 Compliance with Laws</w:t>
      </w:r>
      <w:r>
        <w:rPr>
          <w:rFonts w:ascii="Arial" w:cs="Arial" w:eastAsia="Arial" w:hAnsi="Arial"/>
          <w:sz w:val="18"/>
          <w:szCs w:val="18"/>
          <w:color w:val="auto"/>
        </w:rPr>
        <w:t>. Each Party will comply, and require its Affiliates and sublicensees to comply, with all applicable Laws and regulations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to its obligations under this Agreement.</w:t>
      </w:r>
    </w:p>
    <w:p>
      <w:pPr>
        <w:spacing w:after="0" w:line="54"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color w:val="auto"/>
        </w:rPr>
        <w:t>13.9 Entire agreement; Amendments</w:t>
      </w:r>
      <w:r>
        <w:rPr>
          <w:rFonts w:ascii="Arial" w:cs="Arial" w:eastAsia="Arial" w:hAnsi="Arial"/>
          <w:sz w:val="16"/>
          <w:szCs w:val="16"/>
          <w:color w:val="auto"/>
        </w:rPr>
        <w:t>. This Agreement, together with the Schedules and Exhibits, contains the entire understanding of the Parties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of this Agreement and supersedes and cancels all previous express or implied agreements and understandings, negotiations,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writings and commitments, either oral or written, in respect to the subject matter. This Agreement may be amended, or any term hereof modified, only by a written instrument duly executed by authorized representatives of both Parties.</w:t>
      </w:r>
    </w:p>
    <w:p>
      <w:pPr>
        <w:spacing w:after="0" w:line="16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13.10 Headings</w:t>
      </w:r>
      <w:r>
        <w:rPr>
          <w:rFonts w:ascii="Arial" w:cs="Arial" w:eastAsia="Arial" w:hAnsi="Arial"/>
          <w:sz w:val="18"/>
          <w:szCs w:val="18"/>
          <w:color w:val="auto"/>
        </w:rPr>
        <w:t>. The captions to the sections and subsections are not a part of this Agreement, but are merely for convenience to assist in locating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the sections and subsections.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13.11 Independent Contractors</w:t>
      </w:r>
      <w:r>
        <w:rPr>
          <w:rFonts w:ascii="Arial" w:cs="Arial" w:eastAsia="Arial" w:hAnsi="Arial"/>
          <w:sz w:val="18"/>
          <w:szCs w:val="18"/>
          <w:color w:val="auto"/>
        </w:rPr>
        <w:t>. ACI and Janssen are independent contractors with respect to each other and the relationship between the two Parties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or agency. Neither ACI nor Janssen has the authority to make any statements, representations or commitments of any kind, or to take any action, binding on the other Party, without the prior written consent of the other Party.</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13.12 Waiver</w:t>
      </w:r>
      <w:r>
        <w:rPr>
          <w:rFonts w:ascii="Arial" w:cs="Arial" w:eastAsia="Arial" w:hAnsi="Arial"/>
          <w:sz w:val="18"/>
          <w:szCs w:val="18"/>
          <w:color w:val="auto"/>
        </w:rPr>
        <w:t>. The waiver by either Party of any right, or the failure of the other Party to perform, or a breach by the other Party, is not a waiver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of any other breach or failure by such other Party.</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13.13 Cumulative Remedies</w:t>
      </w:r>
      <w:r>
        <w:rPr>
          <w:rFonts w:ascii="Arial" w:cs="Arial" w:eastAsia="Arial" w:hAnsi="Arial"/>
          <w:sz w:val="18"/>
          <w:szCs w:val="18"/>
          <w:color w:val="auto"/>
        </w:rPr>
        <w:t>. No remedy referred to in this Agreement is intended to be exclusive. Each is in addition to any other remedy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available under law.</w:t>
      </w:r>
    </w:p>
    <w:p>
      <w:pPr>
        <w:spacing w:after="0" w:line="1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13.14 ACI Change of Control</w:t>
      </w:r>
      <w:r>
        <w:rPr>
          <w:rFonts w:ascii="Arial" w:cs="Arial" w:eastAsia="Arial" w:hAnsi="Arial"/>
          <w:sz w:val="18"/>
          <w:szCs w:val="18"/>
          <w:color w:val="auto"/>
        </w:rPr>
        <w:t>. In the event of the occurrence of a Change of Control of ACI during the Term and the successor in interest is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company or organization, Janssen may elect, by providing written notice within [*****] days after the date of the Change of Control, to take control of all Research and Development activities being conducted by ACI, and eliminate the JRC and ISC so that the provisions of Articles 3 and 5 no longer apply. The provisions of this section 13.13 will not apply in the case of an initial public offering by ACI, or a corporate restructuring (including the corporate domicile).</w:t>
      </w:r>
    </w:p>
    <w:p>
      <w:pPr>
        <w:spacing w:after="0" w:line="1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13.15 Compliance with Anti-Corruption Laws</w:t>
      </w:r>
      <w:r>
        <w:rPr>
          <w:rFonts w:ascii="Arial" w:cs="Arial" w:eastAsia="Arial" w:hAnsi="Arial"/>
          <w:sz w:val="18"/>
          <w:szCs w:val="18"/>
          <w:color w:val="auto"/>
        </w:rPr>
        <w:t>. Neither Party shall perform any actions that are prohibited by local and other anti-corruption laws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U.S. Foreign Corrupt Practices Act, collectively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13.16 Advice of Counsel</w:t>
      </w:r>
      <w:r>
        <w:rPr>
          <w:rFonts w:ascii="Arial" w:cs="Arial" w:eastAsia="Arial" w:hAnsi="Arial"/>
          <w:sz w:val="18"/>
          <w:szCs w:val="18"/>
          <w:color w:val="auto"/>
        </w:rPr>
        <w:t>. Each Party participated in the drafting of this Agreement. In interpreting and applying the terms and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presumption will exist or be implied against the Party that drafted the terms and provisions.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13.17 Counterparts</w:t>
      </w:r>
      <w:r>
        <w:rPr>
          <w:rFonts w:ascii="Arial" w:cs="Arial" w:eastAsia="Arial" w:hAnsi="Arial"/>
          <w:sz w:val="18"/>
          <w:szCs w:val="18"/>
          <w:color w:val="auto"/>
        </w:rPr>
        <w:t>. This Agreement may be executed in two or more counterparts, each of which is an original, but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9" w:right="239"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12/24/14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Andrea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Dec. 24, 15.45, 2014</w:t>
            </w:r>
          </w:p>
        </w:tc>
      </w:tr>
    </w:tbl>
    <w:p>
      <w:pPr>
        <w:sectPr>
          <w:pgSz w:w="11900" w:h="16838" w:orient="portrait"/>
          <w:cols w:equalWidth="0" w:num="1">
            <w:col w:w="11420"/>
          </w:cols>
          <w:pgMar w:left="240" w:top="270" w:right="239" w:bottom="1440" w:gutter="0" w:footer="0" w:header="0"/>
        </w:sectPr>
      </w:pPr>
    </w:p>
    <w:bookmarkStart w:id="457" w:name="page458"/>
    <w:bookmarkEnd w:id="4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Steven Bariahtaris</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By:</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Title:</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24-12-2014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69" w:right="239" w:bottom="1440" w:gutter="0" w:footer="0" w:header="0"/>
        </w:sectPr>
      </w:pPr>
    </w:p>
    <w:bookmarkStart w:id="458" w:name="page459"/>
    <w:bookmarkEnd w:id="4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By:</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Title:</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24-XII-2014</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Dec. 24, 15.45,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459" w:name="page460"/>
    <w:bookmarkEnd w:id="45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1.7 J&amp;J Universal Calendar</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0" w:right="1440" w:bottom="1440" w:gutter="0" w:footer="0" w:header="0"/>
        </w:sectPr>
      </w:pPr>
    </w:p>
    <w:bookmarkStart w:id="460" w:name="page461"/>
    <w:bookmarkEnd w:id="46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1" w:name="page462"/>
    <w:bookmarkEnd w:id="46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2" w:name="page463"/>
    <w:bookmarkEnd w:id="46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171450</wp:posOffset>
            </wp:positionV>
            <wp:extent cx="2521585" cy="38677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63" w:name="page464"/>
    <w:bookmarkEnd w:id="4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171450</wp:posOffset>
            </wp:positionV>
            <wp:extent cx="2581275" cy="38677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64" w:name="page465"/>
    <w:bookmarkEnd w:id="46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172085</wp:posOffset>
            </wp:positionV>
            <wp:extent cx="2529840" cy="38677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52984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5" w:name="page466"/>
    <w:bookmarkEnd w:id="46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6" w:name="page467"/>
    <w:bookmarkEnd w:id="46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2021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172085</wp:posOffset>
            </wp:positionV>
            <wp:extent cx="2581275" cy="38677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7" w:name="page468"/>
    <w:bookmarkEnd w:id="46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172085</wp:posOffset>
            </wp:positionV>
            <wp:extent cx="2426970" cy="38677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26970"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68" w:name="page469"/>
    <w:bookmarkEnd w:id="46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2023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171450</wp:posOffset>
            </wp:positionV>
            <wp:extent cx="2521585" cy="38677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69" w:name="page470"/>
    <w:bookmarkEnd w:id="46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2024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172085</wp:posOffset>
            </wp:positionV>
            <wp:extent cx="2538730" cy="38677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53873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0" w:name="page471"/>
    <w:bookmarkEnd w:id="47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172085</wp:posOffset>
            </wp:positionV>
            <wp:extent cx="2478405" cy="38677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47840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1" w:name="page472"/>
    <w:bookmarkEnd w:id="4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1.14 CMC Work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270" w:right="1440" w:bottom="1440" w:gutter="0" w:footer="0" w:header="0"/>
        </w:sectPr>
      </w:pPr>
    </w:p>
    <w:bookmarkStart w:id="472" w:name="page473"/>
    <w:bookmarkEnd w:id="47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1.20 Development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69" w:right="1440" w:bottom="1440" w:gutter="0" w:footer="0" w:header="0"/>
        </w:sectPr>
      </w:pPr>
    </w:p>
    <w:bookmarkStart w:id="473" w:name="page474"/>
    <w:bookmarkEnd w:id="47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1.66 Research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Tau [*****]</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Tau [*****]</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019"/>
          </w:cols>
          <w:pgMar w:left="1440" w:top="269" w:right="1440" w:bottom="1440" w:gutter="0" w:footer="0" w:header="0"/>
        </w:sectPr>
      </w:pPr>
    </w:p>
    <w:bookmarkStart w:id="474" w:name="page475"/>
    <w:bookmarkEnd w:id="47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Tau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270" w:right="1440" w:bottom="1440" w:gutter="0" w:footer="0" w:header="0"/>
        </w:sectPr>
      </w:pPr>
    </w:p>
    <w:bookmarkStart w:id="475" w:name="page476"/>
    <w:bookmarkEnd w:id="47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4.1 ACI Employees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0" w:right="1440" w:bottom="1440" w:gutter="0" w:footer="0" w:header="0"/>
        </w:sectPr>
      </w:pPr>
    </w:p>
    <w:bookmarkStart w:id="476" w:name="page477"/>
    <w:bookmarkEnd w:id="476"/>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500" w:right="11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Schedule 9.2.2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ACI shall invoice Janssen for each Milestone Payment at the following address: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Janssen shall make all milestone and royalty payments to ACI by wire transfer of immediately available funds to the bank account identified below or such other bank account as ACI may designate in writing to Janssen: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Attention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270" w:right="47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10.1.5 ACI Patent Rights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Tau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69" w:right="239" w:bottom="1440" w:gutter="0" w:footer="0" w:header="0"/>
        </w:sectPr>
      </w:pPr>
    </w:p>
    <w:bookmarkStart w:id="478" w:name="page479"/>
    <w:bookmarkEnd w:id="47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69" w:right="1440"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Tau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80" w:name="page481"/>
    <w:bookmarkEnd w:id="4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10.1.6 ACI Agreements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270" w:right="1440" w:bottom="1440" w:gutter="0" w:footer="0" w:header="0"/>
        </w:sectPr>
      </w:pPr>
    </w:p>
    <w:bookmarkStart w:id="481" w:name="page482"/>
    <w:bookmarkEnd w:id="48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019"/>
          </w:cols>
          <w:pgMar w:left="1440" w:top="270" w:right="1440" w:bottom="1440" w:gutter="0" w:footer="0" w:header="0"/>
        </w:sectPr>
      </w:pPr>
    </w:p>
    <w:bookmarkStart w:id="482" w:name="page483"/>
    <w:bookmarkEnd w:id="48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269" w:right="1440" w:bottom="1440" w:gutter="0" w:footer="0" w:header="0"/>
        </w:sectPr>
      </w:pPr>
    </w:p>
    <w:bookmarkStart w:id="483" w:name="page484"/>
    <w:bookmarkEnd w:id="48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019"/>
          </w:cols>
          <w:pgMar w:left="1440" w:top="269" w:right="1440" w:bottom="1440" w:gutter="0" w:footer="0" w:header="0"/>
        </w:sectPr>
      </w:pPr>
    </w:p>
    <w:bookmarkStart w:id="484" w:name="page485"/>
    <w:bookmarkEnd w:id="48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019"/>
          </w:cols>
          <w:pgMar w:left="1440" w:top="270" w:right="1440" w:bottom="1440" w:gutter="0" w:footer="0" w:header="0"/>
        </w:sectPr>
      </w:pPr>
    </w:p>
    <w:bookmarkStart w:id="485" w:name="page486"/>
    <w:bookmarkEnd w:id="48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 ACI Press Release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019"/>
          </w:cols>
          <w:pgMar w:left="1440" w:top="270" w:right="1440"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389380" cy="3003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893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PRESS RELEASE</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AC Immune Enters into a Worldwide License and Collaboration Agreement for Alzheimer’s Disease Therapeutic Tau-Vaccines with Janssen Pharmaceuticals, Inc.</w:t>
      </w:r>
    </w:p>
    <w:p>
      <w:pPr>
        <w:spacing w:after="0" w:line="67"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worldwide License agreement potentially worth up to USD 509 million (CHF 500 million*)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Three-year joint program to develop tauopathies therapeutic vaccines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Offers potential to treat Alzheimer’s patients earlier in the disease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 xml:space="preserve">Lausanne, Switzerland, - January 12, 2015 - </w:t>
      </w:r>
      <w:r>
        <w:rPr>
          <w:rFonts w:ascii="Arial" w:cs="Arial" w:eastAsia="Arial" w:hAnsi="Arial"/>
          <w:sz w:val="17"/>
          <w:szCs w:val="17"/>
          <w:color w:val="auto"/>
        </w:rPr>
        <w:t>AC Immune today announced it has entered into a worldwide exclusive license agreement and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with Janssen Pharmaceuticals, Inc., to develop and commercialize therapeutic anti-Tau vaccines for the treatment of Alzheimer’s disease and potentially other tauopathies**. Janssen Research &amp; Development, LLC, an affiliate of Janssen Pharmaceuticals, Inc., will further develop the lead therapeutic vaccine, ACI-35, that is currently in a phase Ib clinical trial in Alzheimer’s patients. ACI-35 is an active therapeutic vaccine stimulating the patient’s immune system to produce a polyclonal antibody response against phosphorylated Tau protein.</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agreement, AC Immune will receive an upfront payment and is eligible to receive research, development and commercialization milestone payments potentially totaling up to USD 509 million (CHF 500 million*) for Alzheimer’s disease and for a potential second indication outside of Alzheimer’s disease. Additionally, the company is eligible to receive tiered royalties on net sales for any approved products resulting from the collaboration. AC Immune and Janssen will co-develop ACI-35 through phase Ib completion. As of phase II and onward, Janssen will assume responsibility for the clinical development, manufacturing and commercialization of ACI-35. Additionally, the two companies have entered a 3 year joint research collaboration to further characterize and develop novel vaccine therapies for the treatment of tauopathies.</w:t>
      </w:r>
    </w:p>
    <w:p>
      <w:pPr>
        <w:spacing w:after="0" w:line="17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Prof. Andrea Pfeifer, CEO of AC Immune </w:t>
      </w:r>
      <w:r>
        <w:rPr>
          <w:rFonts w:ascii="Arial" w:cs="Arial" w:eastAsia="Arial" w:hAnsi="Arial"/>
          <w:sz w:val="16"/>
          <w:szCs w:val="16"/>
          <w:color w:val="auto"/>
        </w:rPr>
        <w:t>said: “We are very pleased to begin this exciting strategic partnership with Janssen in a groundbreaking deal</w:t>
      </w:r>
      <w:r>
        <w:rPr>
          <w:rFonts w:ascii="Arial" w:cs="Arial" w:eastAsia="Arial" w:hAnsi="Arial"/>
          <w:sz w:val="16"/>
          <w:szCs w:val="16"/>
          <w:b w:val="1"/>
          <w:bCs w:val="1"/>
          <w:color w:val="auto"/>
        </w:rPr>
        <w:t xml:space="preserve"> </w:t>
      </w:r>
      <w:r>
        <w:rPr>
          <w:rFonts w:ascii="Arial" w:cs="Arial" w:eastAsia="Arial" w:hAnsi="Arial"/>
          <w:sz w:val="16"/>
          <w:szCs w:val="16"/>
          <w:color w:val="auto"/>
        </w:rPr>
        <w:t>involving the first anti-pTau therapeutic vaccine. This is our third major collaboration with pharmaceutical partners involving the Tau protein and underscores the strength of our technology platforms for targeting proteinopathies and our success in bringing to the clinic Tau and Abeta therapies and diagnostics.”</w:t>
      </w:r>
    </w:p>
    <w:p>
      <w:pPr>
        <w:spacing w:after="0" w:line="173"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USD/CHF exchange rate from Bloomberg as of 19 December 2014</w:t>
      </w:r>
    </w:p>
    <w:p>
      <w:pPr>
        <w:spacing w:after="0" w:line="23" w:lineRule="exact"/>
        <w:rPr>
          <w:sz w:val="20"/>
          <w:szCs w:val="20"/>
          <w:color w:val="auto"/>
        </w:rPr>
      </w:pPr>
    </w:p>
    <w:p>
      <w:pPr>
        <w:ind w:left="460" w:right="240" w:hanging="452"/>
        <w:spacing w:after="0" w:line="261" w:lineRule="auto"/>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Tauopathies are a family of diseases involving the misfolding and aggregating of Tau protein; i.e. frontotemporal dementia, progressive supranuclear palsy and amyotrophic lateral sclerosis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3</w:t>
      </w:r>
    </w:p>
    <w:p>
      <w:pPr>
        <w:sectPr>
          <w:pgSz w:w="11900" w:h="16838" w:orient="portrait"/>
          <w:cols w:equalWidth="0" w:num="1">
            <w:col w:w="11420"/>
          </w:cols>
          <w:pgMar w:left="240" w:top="270" w:right="239" w:bottom="1440" w:gutter="0" w:footer="0" w:header="0"/>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Martin Velasco, Chairman of the Board </w:t>
      </w:r>
      <w:r>
        <w:rPr>
          <w:rFonts w:ascii="Arial" w:cs="Arial" w:eastAsia="Arial" w:hAnsi="Arial"/>
          <w:sz w:val="18"/>
          <w:szCs w:val="18"/>
          <w:color w:val="auto"/>
        </w:rPr>
        <w:t>added: “This agreement is another validation of our leadership in Alzheimer’s disease and of the growing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large pharmaceutical companies in this field. We are determined to remain at the forefront of the industry’s efforts to develop therapies to address this critical global health problem.”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ACI-35 vaccine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“ACI-35 is the first therapeutic vaccine in clinical development that targets misfolded phospho-Tau protein that is associated with Alzheimer’s disease. It is important to note that this vaccine approach offers the potential to treat Alzheimer’s patients earlier and in broad populations and has an exciting future aptitude to treat other rarer tauopathy indications,” commented </w:t>
      </w:r>
      <w:r>
        <w:rPr>
          <w:rFonts w:ascii="Arial" w:cs="Arial" w:eastAsia="Arial" w:hAnsi="Arial"/>
          <w:sz w:val="17"/>
          <w:szCs w:val="17"/>
          <w:b w:val="1"/>
          <w:bCs w:val="1"/>
          <w:color w:val="auto"/>
        </w:rPr>
        <w:t>Dr. Andreas Muhs, Chief Scientific Officer of AC Immune</w:t>
      </w:r>
      <w:r>
        <w:rPr>
          <w:rFonts w:ascii="Arial" w:cs="Arial" w:eastAsia="Arial" w:hAnsi="Arial"/>
          <w:sz w:val="17"/>
          <w:szCs w:val="17"/>
          <w:color w:val="auto"/>
        </w:rPr>
        <w:t>.</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ACI-35 is an active therapeutic vaccine, discovered by AC Immune, stimulating the patient’s immune system to produce conformation-specific antibodies against phosphorylated Tau protein. The phospho-Tau protein forms twisted fibers inside neuronal cells and builds tangles that are considered to be one of the two hallmarks of Alzheimer’s disease, besides Abeta-plaques. During pre-clinical development, ACI-35 showed reduction of phospho-Tau aggregates and total pathological Tau and improvement of clinical parameters. ACI-35 is also characterized by very specific antibody response against pathological Tau and its T-cell independent immune response, an important feature of AC Immune’s SupraAntigen technology platform, supporting the excellent safety profile.</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therapeutic vaccine is currently in a phase lb, randomized, double blind, placebo controlled clinical study in Alzheimer’s patients with the primary objective of evaluating the safety, tolerability and immunogenicity of ACI-35. Secondary objectives will assess relevant biomarkers and functional and clinical parameters. Two groups of patients with mild to moderate Alzheimer’s disease will receive a different dose of ACI-35. Patient safety in the study has been secured by careful planning and extensive preclinical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w:t>
      </w:r>
    </w:p>
    <w:p>
      <w:pPr>
        <w:spacing w:after="0" w:line="12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Scientists don’t yet fully understand what causes Alzheimer’s disease, but it has become increasingly clear that it develops because of a complex series of events that take place in the brain over a long period of time. Two proteins – Tau and Abeta – are perceived as the major hallmarks of neurodegeneration: tangles and other abnormal forms of Tau protein accumulate inside the brain cells, while plaques and oligomers formed by beta-amyloid occur outside the brain cells of people with Alzheimer’s disease.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will be one of the biggest burdens of the future society showing dramatic incidence rates: every 69 seconds someone in the US develops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by mid-century someone will develop the disease every 33 seconds. 44 million people were affected with the disease worldwide in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US Alzheimer’s disease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 3</w:t>
      </w:r>
    </w:p>
    <w:p>
      <w:pPr>
        <w:sectPr>
          <w:pgSz w:w="11900" w:h="16838" w:orient="portrait"/>
          <w:cols w:equalWidth="0" w:num="1">
            <w:col w:w="11420"/>
          </w:cols>
          <w:pgMar w:left="240" w:top="269" w:right="239" w:bottom="1440" w:gutter="0" w:footer="0" w:header="0"/>
        </w:sectPr>
      </w:pPr>
    </w:p>
    <w:bookmarkStart w:id="488" w:name="page489"/>
    <w:bookmarkEnd w:id="4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is now the 6th leading cause of death across all ages. It was the fifth leading cause of death for those aged 65 and older. Since the incidence and prevalence of Alzheimer’s disease increase with age, the number of patients will grow dramatically with our society getting older. By 2050, we expect that patient numbers will triple to 135 million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 Immune is a leading Swiss-based biopharmaceutical company with three products in clinical trials. The Company designs, discovers and develops therapeutic and diagnostic products to prevent and modify diseases caused by misfolding proteins. AC Immune’s two proprietary technology platforms create antibodies, small molecules and vaccines to address large markets across a broad spectrum of central nervous system indications. Alzheimer’s disease is the largest indication addressed by its products but the company’s innovative, highly differentiated and disease-modifying therapies are capable of shifting the paradigm in the treatment of other neurodegenerative diseases such as Down syndrome, Parkinson’s, tauopathies and Glaucoma. The Company has a large, diversified and promising pipeline featuring seven therapeutic and two diagnostic products in Alzheimer’s disease. The most advanced of these is crenezumab, an anti-Abeta antibody that is licensed to Genentech and has completed phase II clinical trials. Crenezumab was chosen by the US National Institute of Health for use in the first-ever AD prevention trial. The company has partnered three programs targeting Tau: ACI-35 with Janssen (therapeutic vaccine, phase Ib), Tau PET tracers with Piramal (Alzheimer’s diagnostic agent, pre-clinical) and Tau-antibodies with Genentech (preclinical). The anti-Abeta vaccine ACI-24 phase I/IIa trial is run in house. Since its foundation in 2003, AC Immune has raised 84 million Swiss francs (USD 81 million) from private investors.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AC Immune</w:t>
            </w: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Prof. Andrea Pfeifer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Eva Schier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Corporate Communications Manager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Phone: +41-21-693 91 21</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+41-21-693 91 34</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andrea.pfeifer@acimmune.com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eva.schier@acimmune.com</w:t>
            </w:r>
          </w:p>
        </w:tc>
      </w:tr>
      <w:tr>
        <w:trPr>
          <w:trHeight w:val="20"/>
        </w:trPr>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2"/>
        </w:trPr>
        <w:tc>
          <w:tcPr>
            <w:tcW w:w="4320" w:type="dxa"/>
            <w:vAlign w:val="bottom"/>
            <w:gridSpan w:val="4"/>
          </w:tcPr>
          <w:p>
            <w:pPr>
              <w:spacing w:after="0"/>
              <w:rPr>
                <w:sz w:val="20"/>
                <w:szCs w:val="20"/>
                <w:color w:val="auto"/>
              </w:rPr>
            </w:pPr>
            <w:r>
              <w:rPr>
                <w:rFonts w:ascii="Arial" w:cs="Arial" w:eastAsia="Arial" w:hAnsi="Arial"/>
                <w:sz w:val="18"/>
                <w:szCs w:val="18"/>
                <w:color w:val="auto"/>
              </w:rPr>
              <w:t>Nick Miles</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In the US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Senior Consultant</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Ted Agne</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Cabinet Privé de Conseils s.a.</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w w:val="90"/>
              </w:rPr>
              <w:t>The Communications Strategy Group lnc.</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Mobile: +41 79 678 76 26</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+1 781 631 3117</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miles@cpc-pr.com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edagne@comstratgroup.com</w:t>
            </w:r>
          </w:p>
        </w:tc>
      </w:tr>
      <w:tr>
        <w:trPr>
          <w:trHeight w:val="399"/>
        </w:trPr>
        <w:tc>
          <w:tcPr>
            <w:tcW w:w="6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ind w:left="1240"/>
              <w:spacing w:after="0"/>
              <w:rPr>
                <w:sz w:val="20"/>
                <w:szCs w:val="20"/>
                <w:color w:val="auto"/>
              </w:rPr>
            </w:pPr>
            <w:r>
              <w:rPr>
                <w:rFonts w:ascii="Arial" w:cs="Arial" w:eastAsia="Arial" w:hAnsi="Arial"/>
                <w:sz w:val="18"/>
                <w:szCs w:val="18"/>
                <w:color w:val="auto"/>
              </w:rPr>
              <w:t>3 / 3</w:t>
            </w:r>
          </w:p>
        </w:tc>
        <w:tc>
          <w:tcPr>
            <w:tcW w:w="1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t>Exhibit 10.7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w:t>
      </w:r>
      <w:r>
        <w:rPr>
          <w:rFonts w:ascii="Arial" w:cs="Arial" w:eastAsia="Arial" w:hAnsi="Arial"/>
          <w:sz w:val="18"/>
          <w:szCs w:val="18"/>
          <w:b w:val="1"/>
          <w:bCs w:val="1"/>
          <w:color w:val="auto"/>
        </w:rPr>
        <w:t>MMUNE</w:t>
      </w:r>
      <w:r>
        <w:rPr>
          <w:rFonts w:ascii="Arial" w:cs="Arial" w:eastAsia="Arial" w:hAnsi="Arial"/>
          <w:sz w:val="22"/>
          <w:szCs w:val="22"/>
          <w:b w:val="1"/>
          <w:bCs w:val="1"/>
          <w:color w:val="auto"/>
        </w:rPr>
        <w:t xml:space="preserve"> SA / AC I</w:t>
      </w:r>
      <w:r>
        <w:rPr>
          <w:rFonts w:ascii="Arial" w:cs="Arial" w:eastAsia="Arial" w:hAnsi="Arial"/>
          <w:sz w:val="18"/>
          <w:szCs w:val="18"/>
          <w:b w:val="1"/>
          <w:bCs w:val="1"/>
          <w:color w:val="auto"/>
        </w:rPr>
        <w:t>MMUNE</w:t>
      </w:r>
      <w:r>
        <w:rPr>
          <w:rFonts w:ascii="Arial" w:cs="Arial" w:eastAsia="Arial" w:hAnsi="Arial"/>
          <w:sz w:val="22"/>
          <w:szCs w:val="22"/>
          <w:b w:val="1"/>
          <w:bCs w:val="1"/>
          <w:color w:val="auto"/>
        </w:rPr>
        <w:t xml:space="preserve"> AG / AC I</w:t>
      </w:r>
      <w:r>
        <w:rPr>
          <w:rFonts w:ascii="Arial" w:cs="Arial" w:eastAsia="Arial" w:hAnsi="Arial"/>
          <w:sz w:val="18"/>
          <w:szCs w:val="18"/>
          <w:b w:val="1"/>
          <w:bCs w:val="1"/>
          <w:color w:val="auto"/>
        </w:rPr>
        <w:t>MMUNE</w:t>
      </w:r>
      <w:r>
        <w:rPr>
          <w:rFonts w:ascii="Arial" w:cs="Arial" w:eastAsia="Arial" w:hAnsi="Arial"/>
          <w:sz w:val="22"/>
          <w:szCs w:val="22"/>
          <w:b w:val="1"/>
          <w:bCs w:val="1"/>
          <w:color w:val="auto"/>
        </w:rPr>
        <w:t xml:space="preserve"> L</w:t>
      </w:r>
      <w:r>
        <w:rPr>
          <w:rFonts w:ascii="Arial" w:cs="Arial" w:eastAsia="Arial" w:hAnsi="Arial"/>
          <w:sz w:val="18"/>
          <w:szCs w:val="18"/>
          <w:b w:val="1"/>
          <w:bCs w:val="1"/>
          <w:color w:val="auto"/>
        </w:rPr>
        <w:t>TD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E</w:t>
      </w:r>
      <w:r>
        <w:rPr>
          <w:rFonts w:ascii="Arial" w:cs="Arial" w:eastAsia="Arial" w:hAnsi="Arial"/>
          <w:sz w:val="18"/>
          <w:szCs w:val="18"/>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13, 2013</w:t>
      </w:r>
    </w:p>
    <w:p>
      <w:pPr>
        <w:spacing w:after="0" w:line="252"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160" w:firstLine="464"/>
        <w:spacing w:after="0" w:line="314" w:lineRule="auto"/>
        <w:tabs>
          <w:tab w:leader="none" w:pos="711" w:val="left"/>
        </w:tabs>
        <w:numPr>
          <w:ilvl w:val="1"/>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Company, by means of the Plan, seeks to secure and retain the services of the group of persons eligible to receive Incentive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incentives for such persons to exert maximum efforts for the success of the Company and any Affiliate, and to provide the means by which such eligible recipients may be given an opportunity to benefit from increases in value of the Shares through the granting of Incentive Awards.</w:t>
      </w:r>
    </w:p>
    <w:p>
      <w:pPr>
        <w:spacing w:after="0" w:line="142" w:lineRule="exact"/>
        <w:rPr>
          <w:rFonts w:ascii="Arial" w:cs="Arial" w:eastAsia="Arial" w:hAnsi="Arial"/>
          <w:sz w:val="16"/>
          <w:szCs w:val="16"/>
          <w:b w:val="1"/>
          <w:bCs w:val="1"/>
          <w:color w:val="auto"/>
        </w:rPr>
      </w:pPr>
    </w:p>
    <w:p>
      <w:pPr>
        <w:ind w:right="40" w:firstLine="464"/>
        <w:spacing w:after="0" w:line="282" w:lineRule="auto"/>
        <w:tabs>
          <w:tab w:leader="none" w:pos="721"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Incentive Award Recipients. </w:t>
      </w:r>
      <w:r>
        <w:rPr>
          <w:rFonts w:ascii="Arial" w:cs="Arial" w:eastAsia="Arial" w:hAnsi="Arial"/>
          <w:sz w:val="18"/>
          <w:szCs w:val="18"/>
          <w:color w:val="auto"/>
        </w:rPr>
        <w:t>The persons eligible to receive Incentive Awards are Directors, Employees and persons in a similar situation</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article 3b par. 2 of the Articles of Incorporation.</w:t>
      </w:r>
    </w:p>
    <w:p>
      <w:pPr>
        <w:spacing w:after="0" w:line="161" w:lineRule="exact"/>
        <w:rPr>
          <w:rFonts w:ascii="Arial" w:cs="Arial" w:eastAsia="Arial" w:hAnsi="Arial"/>
          <w:sz w:val="18"/>
          <w:szCs w:val="18"/>
          <w:b w:val="1"/>
          <w:bCs w:val="1"/>
          <w:color w:val="auto"/>
        </w:rPr>
      </w:pPr>
    </w:p>
    <w:p>
      <w:pPr>
        <w:ind w:left="700" w:hanging="236"/>
        <w:spacing w:after="0"/>
        <w:tabs>
          <w:tab w:leader="none" w:pos="700" w:val="left"/>
        </w:tabs>
        <w:numPr>
          <w:ilvl w:val="1"/>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Incentive Awards. </w:t>
      </w:r>
      <w:r>
        <w:rPr>
          <w:rFonts w:ascii="Arial" w:cs="Arial" w:eastAsia="Arial" w:hAnsi="Arial"/>
          <w:sz w:val="17"/>
          <w:szCs w:val="17"/>
          <w:color w:val="auto"/>
        </w:rPr>
        <w:t>The Plan provides for the grant of the following Incentive Awards: (i) Option Awards and (ii) Share Awards.</w:t>
      </w:r>
    </w:p>
    <w:p>
      <w:pPr>
        <w:spacing w:after="0" w:line="236" w:lineRule="exact"/>
        <w:rPr>
          <w:rFonts w:ascii="Arial" w:cs="Arial" w:eastAsia="Arial" w:hAnsi="Arial"/>
          <w:sz w:val="17"/>
          <w:szCs w:val="17"/>
          <w:b w:val="1"/>
          <w:bCs w:val="1"/>
          <w:color w:val="auto"/>
        </w:rPr>
      </w:pPr>
    </w:p>
    <w:p>
      <w:pPr>
        <w:ind w:right="560" w:firstLine="464"/>
        <w:spacing w:after="0" w:line="347" w:lineRule="auto"/>
        <w:tabs>
          <w:tab w:leader="none" w:pos="721" w:val="left"/>
        </w:tabs>
        <w:numPr>
          <w:ilvl w:val="1"/>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Award Agreement</w:t>
      </w:r>
      <w:r>
        <w:rPr>
          <w:rFonts w:ascii="Arial" w:cs="Arial" w:eastAsia="Arial" w:hAnsi="Arial"/>
          <w:sz w:val="16"/>
          <w:szCs w:val="16"/>
          <w:color w:val="auto"/>
        </w:rPr>
        <w:t>. The grant of Incentive Award under the Plan and the terms and conditions thereof shall be formalized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 Agreement that shall be duly signed by the Company and the Participant in such form as the Board shall from time to time determine.</w:t>
      </w:r>
    </w:p>
    <w:p>
      <w:pPr>
        <w:spacing w:after="0" w:line="116" w:lineRule="exact"/>
        <w:rPr>
          <w:rFonts w:ascii="Arial" w:cs="Arial" w:eastAsia="Arial" w:hAnsi="Arial"/>
          <w:sz w:val="16"/>
          <w:szCs w:val="16"/>
          <w:b w:val="1"/>
          <w:bCs w:val="1"/>
          <w:color w:val="auto"/>
        </w:rPr>
      </w:pPr>
    </w:p>
    <w:p>
      <w:pPr>
        <w:ind w:firstLine="464"/>
        <w:spacing w:after="0" w:line="261" w:lineRule="auto"/>
        <w:tabs>
          <w:tab w:leader="none" w:pos="701"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Formal Requirements</w:t>
      </w:r>
      <w:r>
        <w:rPr>
          <w:rFonts w:ascii="Arial" w:cs="Arial" w:eastAsia="Arial" w:hAnsi="Arial"/>
          <w:sz w:val="18"/>
          <w:szCs w:val="18"/>
          <w:color w:val="auto"/>
        </w:rPr>
        <w:t>. A Participant who is granted an Incentive Award will have no rights with respect to such Incentive Award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accepts the grant by returning to the Company a signed copy of the Incentive Award Agreement. The promise to grant an Incentive Award, or the attribution of an Incentive Award in any document other than in an Incentive Award Agreement, shall not be considered as a valid grant of an Incentive Award until it is formalized in an Incentive Award Agreement.</w:t>
      </w:r>
    </w:p>
    <w:p>
      <w:pPr>
        <w:spacing w:after="0" w:line="180" w:lineRule="exact"/>
        <w:rPr>
          <w:rFonts w:ascii="Arial" w:cs="Arial" w:eastAsia="Arial" w:hAnsi="Arial"/>
          <w:sz w:val="18"/>
          <w:szCs w:val="18"/>
          <w:b w:val="1"/>
          <w:bCs w:val="1"/>
          <w:color w:val="auto"/>
        </w:rPr>
      </w:pPr>
    </w:p>
    <w:p>
      <w:pPr>
        <w:ind w:right="300" w:firstLine="464"/>
        <w:spacing w:after="0" w:line="347" w:lineRule="auto"/>
        <w:tabs>
          <w:tab w:leader="none" w:pos="681" w:val="left"/>
        </w:tabs>
        <w:numPr>
          <w:ilvl w:val="1"/>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Qualification of Incentive Award</w:t>
      </w:r>
      <w:r>
        <w:rPr>
          <w:rFonts w:ascii="Arial" w:cs="Arial" w:eastAsia="Arial" w:hAnsi="Arial"/>
          <w:sz w:val="16"/>
          <w:szCs w:val="16"/>
          <w:color w:val="auto"/>
        </w:rPr>
        <w:t>. Any options and/or shares granted under this Plan to Employees qualify as a voluntary benefit (gratification)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at the discretion of the Board as described under section 1(g) and shall under no circumstances be regarded as salary (salaire).</w:t>
      </w:r>
    </w:p>
    <w:p>
      <w:pPr>
        <w:spacing w:after="0" w:line="116" w:lineRule="exact"/>
        <w:rPr>
          <w:rFonts w:ascii="Arial" w:cs="Arial" w:eastAsia="Arial" w:hAnsi="Arial"/>
          <w:sz w:val="16"/>
          <w:szCs w:val="16"/>
          <w:b w:val="1"/>
          <w:bCs w:val="1"/>
          <w:color w:val="auto"/>
        </w:rPr>
      </w:pPr>
    </w:p>
    <w:p>
      <w:pPr>
        <w:ind w:right="40" w:firstLine="464"/>
        <w:spacing w:after="0" w:line="289" w:lineRule="auto"/>
        <w:tabs>
          <w:tab w:leader="none" w:pos="711" w:val="left"/>
        </w:tabs>
        <w:numPr>
          <w:ilvl w:val="1"/>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No right to be granted Incentive Awards</w:t>
      </w:r>
      <w:r>
        <w:rPr>
          <w:rFonts w:ascii="Arial" w:cs="Arial" w:eastAsia="Arial" w:hAnsi="Arial"/>
          <w:sz w:val="17"/>
          <w:szCs w:val="17"/>
          <w:color w:val="auto"/>
        </w:rPr>
        <w:t>. Neither the establishment of the Plan, nor the granting of Incentive Awards, nor the payments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nor any action of the Company or of the Board shall be held or construed to confer upon any Employee, Director or Participant any legal right to be granted Incentive Awards. The grant of Incentive Awards gives no rights to be granted further Incentive Awards.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90" w:name="page491"/>
    <w:bookmarkEnd w:id="490"/>
    <w:p>
      <w:pPr>
        <w:ind w:left="452" w:hanging="452"/>
        <w:spacing w:after="0"/>
        <w:tabs>
          <w:tab w:leader="none" w:pos="452"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right="100" w:firstLine="464"/>
        <w:spacing w:after="0" w:line="266" w:lineRule="auto"/>
        <w:tabs>
          <w:tab w:leader="none" w:pos="703"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the Board. </w:t>
      </w:r>
      <w:r>
        <w:rPr>
          <w:rFonts w:ascii="Arial" w:cs="Arial" w:eastAsia="Arial" w:hAnsi="Arial"/>
          <w:sz w:val="18"/>
          <w:szCs w:val="18"/>
          <w:color w:val="auto"/>
        </w:rPr>
        <w:t>The Board shall administer the Plan. The Board may delegate all or part of its responsibilities as administrator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any other corporate body, committee or individual as it deems appropriate, within the limits set by Article 716a CO, the Articles of Incorporation and the Plan.</w:t>
      </w:r>
    </w:p>
    <w:p>
      <w:pPr>
        <w:spacing w:after="0" w:line="176" w:lineRule="exact"/>
        <w:rPr>
          <w:rFonts w:ascii="Arial" w:cs="Arial" w:eastAsia="Arial" w:hAnsi="Arial"/>
          <w:sz w:val="18"/>
          <w:szCs w:val="18"/>
          <w:b w:val="1"/>
          <w:bCs w:val="1"/>
          <w:color w:val="auto"/>
        </w:rPr>
      </w:pPr>
    </w:p>
    <w:p>
      <w:pPr>
        <w:ind w:left="712" w:hanging="256"/>
        <w:spacing w:after="0"/>
        <w:tabs>
          <w:tab w:leader="none" w:pos="712"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the Board. </w:t>
      </w:r>
      <w:r>
        <w:rPr>
          <w:rFonts w:ascii="Arial" w:cs="Arial" w:eastAsia="Arial" w:hAnsi="Arial"/>
          <w:sz w:val="18"/>
          <w:szCs w:val="18"/>
          <w:color w:val="auto"/>
        </w:rPr>
        <w:t>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1132" w:hanging="219"/>
        <w:spacing w:after="0"/>
        <w:tabs>
          <w:tab w:leader="none" w:pos="1132" w:val="left"/>
        </w:tabs>
        <w:numPr>
          <w:ilvl w:val="2"/>
          <w:numId w:val="315"/>
        </w:numPr>
        <w:rPr>
          <w:rFonts w:ascii="Arial" w:cs="Arial" w:eastAsia="Arial" w:hAnsi="Arial"/>
          <w:sz w:val="18"/>
          <w:szCs w:val="18"/>
          <w:b w:val="1"/>
          <w:bCs w:val="1"/>
          <w:color w:val="auto"/>
        </w:rPr>
      </w:pPr>
      <w:r>
        <w:rPr>
          <w:rFonts w:ascii="Arial" w:cs="Arial" w:eastAsia="Arial" w:hAnsi="Arial"/>
          <w:sz w:val="18"/>
          <w:szCs w:val="18"/>
          <w:color w:val="auto"/>
        </w:rPr>
        <w:t>To grant Incentive Awards and determine on that occasion in particular:</w:t>
      </w:r>
    </w:p>
    <w:p>
      <w:pPr>
        <w:spacing w:after="0" w:line="117" w:lineRule="exact"/>
        <w:rPr>
          <w:sz w:val="20"/>
          <w:szCs w:val="20"/>
          <w:color w:val="auto"/>
        </w:rPr>
      </w:pPr>
    </w:p>
    <w:p>
      <w:pPr>
        <w:ind w:left="1212" w:hanging="299"/>
        <w:spacing w:after="0"/>
        <w:tabs>
          <w:tab w:leader="none" w:pos="12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which of the persons eligible under the Plan shall be granted Incentive Awards;</w:t>
      </w:r>
    </w:p>
    <w:p>
      <w:pPr>
        <w:spacing w:after="0" w:line="117" w:lineRule="exact"/>
        <w:rPr>
          <w:rFonts w:ascii="Arial" w:cs="Arial" w:eastAsia="Arial" w:hAnsi="Arial"/>
          <w:sz w:val="18"/>
          <w:szCs w:val="18"/>
          <w:color w:val="auto"/>
        </w:rPr>
      </w:pPr>
    </w:p>
    <w:p>
      <w:pPr>
        <w:ind w:left="1192" w:hanging="279"/>
        <w:spacing w:after="0"/>
        <w:tabs>
          <w:tab w:leader="none" w:pos="119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when each Incentive Award shall be granted;</w:t>
      </w:r>
    </w:p>
    <w:p>
      <w:pPr>
        <w:spacing w:after="0" w:line="117" w:lineRule="exact"/>
        <w:rPr>
          <w:rFonts w:ascii="Arial" w:cs="Arial" w:eastAsia="Arial" w:hAnsi="Arial"/>
          <w:sz w:val="18"/>
          <w:szCs w:val="18"/>
          <w:color w:val="auto"/>
        </w:rPr>
      </w:pPr>
    </w:p>
    <w:p>
      <w:pPr>
        <w:ind w:left="1192" w:hanging="279"/>
        <w:spacing w:after="0"/>
        <w:tabs>
          <w:tab w:leader="none" w:pos="119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what type or combination of types of Incentive Award shall be granted;</w:t>
      </w:r>
    </w:p>
    <w:p>
      <w:pPr>
        <w:spacing w:after="0" w:line="117" w:lineRule="exact"/>
        <w:rPr>
          <w:rFonts w:ascii="Arial" w:cs="Arial" w:eastAsia="Arial" w:hAnsi="Arial"/>
          <w:sz w:val="18"/>
          <w:szCs w:val="18"/>
          <w:color w:val="auto"/>
        </w:rPr>
      </w:pPr>
    </w:p>
    <w:p>
      <w:pPr>
        <w:ind w:left="912" w:firstLine="1"/>
        <w:spacing w:after="0" w:line="264" w:lineRule="auto"/>
        <w:tabs>
          <w:tab w:leader="none" w:pos="120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provisions of each Incentive Award granted (which need not be identical), including but not limited to (i) regarding an Option Award, the Exercise Price, the terms and conditions of the Vesting and the right of repurchase and (ii) regarding a Share Award, the right of repurchase and the transferability restriction of the Shares;</w:t>
      </w:r>
    </w:p>
    <w:p>
      <w:pPr>
        <w:spacing w:after="0" w:line="73" w:lineRule="exact"/>
        <w:rPr>
          <w:rFonts w:ascii="Arial" w:cs="Arial" w:eastAsia="Arial" w:hAnsi="Arial"/>
          <w:sz w:val="18"/>
          <w:szCs w:val="18"/>
          <w:color w:val="auto"/>
        </w:rPr>
      </w:pPr>
    </w:p>
    <w:p>
      <w:pPr>
        <w:ind w:left="1192" w:hanging="279"/>
        <w:spacing w:after="0"/>
        <w:tabs>
          <w:tab w:leader="none" w:pos="119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number of Options and/or Shares to be granted to the persons eligible under the Plan.</w:t>
      </w:r>
    </w:p>
    <w:p>
      <w:pPr>
        <w:spacing w:after="0" w:line="117" w:lineRule="exact"/>
        <w:rPr>
          <w:sz w:val="20"/>
          <w:szCs w:val="20"/>
          <w:color w:val="auto"/>
        </w:rPr>
      </w:pPr>
    </w:p>
    <w:p>
      <w:pPr>
        <w:ind w:left="1172" w:hanging="259"/>
        <w:spacing w:after="0"/>
        <w:tabs>
          <w:tab w:leader="none" w:pos="1172"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To approve the forms of Incentive Award Agreements for use under the Plan.</w:t>
      </w:r>
    </w:p>
    <w:p>
      <w:pPr>
        <w:spacing w:after="0" w:line="117" w:lineRule="exact"/>
        <w:rPr>
          <w:rFonts w:ascii="Arial" w:cs="Arial" w:eastAsia="Arial" w:hAnsi="Arial"/>
          <w:sz w:val="18"/>
          <w:szCs w:val="18"/>
          <w:b w:val="1"/>
          <w:bCs w:val="1"/>
          <w:color w:val="auto"/>
        </w:rPr>
      </w:pPr>
    </w:p>
    <w:p>
      <w:pPr>
        <w:ind w:left="1232" w:hanging="319"/>
        <w:spacing w:after="0"/>
        <w:tabs>
          <w:tab w:leader="none" w:pos="1232"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Incentive Award Agreements granted under it.</w:t>
      </w:r>
    </w:p>
    <w:p>
      <w:pPr>
        <w:spacing w:after="0" w:line="117" w:lineRule="exact"/>
        <w:rPr>
          <w:rFonts w:ascii="Arial" w:cs="Arial" w:eastAsia="Arial" w:hAnsi="Arial"/>
          <w:sz w:val="18"/>
          <w:szCs w:val="18"/>
          <w:b w:val="1"/>
          <w:bCs w:val="1"/>
          <w:color w:val="auto"/>
        </w:rPr>
      </w:pPr>
    </w:p>
    <w:p>
      <w:pPr>
        <w:ind w:left="-8" w:firstLine="921"/>
        <w:spacing w:after="0" w:line="288" w:lineRule="auto"/>
        <w:tabs>
          <w:tab w:leader="none" w:pos="1210"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To amend the Plan and/or the terms of any one or more Incentive Award Agreements in any respect the Board deems necessary or advisable, provided however that rights under any Incentive Award Agreements granted before amendment of the Plan and/or of the Incentive Award Agreement shall not be impaired by any amendment of the Plan and/or of the Incentive Award Agreement unless (1) all adversely affected Participants consent in writing or</w:t>
      </w:r>
    </w:p>
    <w:p>
      <w:pPr>
        <w:ind w:left="-8" w:right="100" w:firstLine="8"/>
        <w:spacing w:after="0" w:line="261" w:lineRule="auto"/>
        <w:tabs>
          <w:tab w:leader="none" w:pos="24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aggregate economic value of the Incentive Awards held by all Participants has not decreased as a result of such amendment. The amendments may in particular consist of:</w:t>
      </w:r>
    </w:p>
    <w:p>
      <w:pPr>
        <w:spacing w:after="0" w:line="76" w:lineRule="exact"/>
        <w:rPr>
          <w:sz w:val="20"/>
          <w:szCs w:val="20"/>
          <w:color w:val="auto"/>
        </w:rPr>
      </w:pPr>
    </w:p>
    <w:p>
      <w:pPr>
        <w:ind w:left="1012" w:hanging="99"/>
        <w:spacing w:after="0"/>
        <w:tabs>
          <w:tab w:leader="none" w:pos="101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reduction of the Exercise Price of any outstanding Option under the Plan;</w:t>
      </w:r>
    </w:p>
    <w:p>
      <w:pPr>
        <w:spacing w:after="0" w:line="117" w:lineRule="exact"/>
        <w:rPr>
          <w:rFonts w:ascii="Arial" w:cs="Arial" w:eastAsia="Arial" w:hAnsi="Arial"/>
          <w:sz w:val="18"/>
          <w:szCs w:val="18"/>
          <w:color w:val="auto"/>
        </w:rPr>
      </w:pPr>
    </w:p>
    <w:p>
      <w:pPr>
        <w:ind w:left="912" w:right="100" w:firstLine="1"/>
        <w:spacing w:after="0" w:line="342" w:lineRule="auto"/>
        <w:tabs>
          <w:tab w:leader="none" w:pos="101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cancellation of any outstanding Option under the Plan and the grant in substitution therefore of (1) a new Option under the Plan or another equity plan of the Company covering the same number of Shares, (2) a Share Award (as determined by the Board, in its sole discretion)</w:t>
      </w:r>
    </w:p>
    <w:p>
      <w:pPr>
        <w:spacing w:after="0" w:line="5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269" w:right="299" w:bottom="1440" w:gutter="0" w:footer="0" w:header="0"/>
        </w:sectPr>
      </w:pPr>
    </w:p>
    <w:bookmarkStart w:id="491" w:name="page492"/>
    <w:bookmarkEnd w:id="491"/>
    <w:p>
      <w:pPr>
        <w:jc w:val="both"/>
        <w:ind w:left="912" w:right="20" w:firstLine="1"/>
        <w:spacing w:after="0" w:line="259" w:lineRule="auto"/>
        <w:tabs>
          <w:tab w:leader="none" w:pos="1017"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acceleration of the time at which an Option Award may first be exercised or the time during which an Option Award or any part thereof will vest in accordance with the Plan, notwithstanding the provisions in the Option Award Agreement stating the time during which it will vest or the time at which it may first be exercised; for the sake of clarity, the Board may decide this acceleration in any circumstances including but not limited to any kind of Corporate Transaction or IPO.</w:t>
      </w:r>
    </w:p>
    <w:p>
      <w:pPr>
        <w:spacing w:after="0" w:line="78" w:lineRule="exact"/>
        <w:rPr>
          <w:rFonts w:ascii="Arial" w:cs="Arial" w:eastAsia="Arial" w:hAnsi="Arial"/>
          <w:sz w:val="18"/>
          <w:szCs w:val="18"/>
          <w:color w:val="auto"/>
        </w:rPr>
      </w:pPr>
    </w:p>
    <w:p>
      <w:pPr>
        <w:ind w:left="912" w:right="20" w:firstLine="1"/>
        <w:spacing w:after="0" w:line="277" w:lineRule="auto"/>
        <w:tabs>
          <w:tab w:leader="none" w:pos="101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termination or the reduction of the scope of any provisions regarding a transferability restriction and/or a right of repurchase provided for in an Incentive Award Agreement.</w:t>
      </w:r>
    </w:p>
    <w:p>
      <w:pPr>
        <w:spacing w:after="0" w:line="62" w:lineRule="exact"/>
        <w:rPr>
          <w:sz w:val="20"/>
          <w:szCs w:val="20"/>
          <w:color w:val="auto"/>
        </w:rPr>
      </w:pPr>
    </w:p>
    <w:p>
      <w:pPr>
        <w:ind w:left="1172" w:hanging="259"/>
        <w:spacing w:after="0"/>
        <w:tabs>
          <w:tab w:leader="none" w:pos="1172"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To establish, amend and revoke rules and regulations for the administration of the Plan.</w:t>
      </w:r>
    </w:p>
    <w:p>
      <w:pPr>
        <w:spacing w:after="0" w:line="117" w:lineRule="exact"/>
        <w:rPr>
          <w:rFonts w:ascii="Arial" w:cs="Arial" w:eastAsia="Arial" w:hAnsi="Arial"/>
          <w:sz w:val="18"/>
          <w:szCs w:val="18"/>
          <w:b w:val="1"/>
          <w:bCs w:val="1"/>
          <w:color w:val="auto"/>
        </w:rPr>
      </w:pPr>
    </w:p>
    <w:p>
      <w:pPr>
        <w:ind w:left="1212" w:hanging="299"/>
        <w:spacing w:after="0"/>
        <w:tabs>
          <w:tab w:leader="none" w:pos="1212"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To determine the Fair Market Value applicable to Shares, if necessary.</w:t>
      </w:r>
    </w:p>
    <w:p>
      <w:pPr>
        <w:spacing w:after="0" w:line="117" w:lineRule="exact"/>
        <w:rPr>
          <w:rFonts w:ascii="Arial" w:cs="Arial" w:eastAsia="Arial" w:hAnsi="Arial"/>
          <w:sz w:val="18"/>
          <w:szCs w:val="18"/>
          <w:b w:val="1"/>
          <w:bCs w:val="1"/>
          <w:color w:val="auto"/>
        </w:rPr>
      </w:pPr>
    </w:p>
    <w:p>
      <w:pPr>
        <w:ind w:left="-8" w:right="140" w:firstLine="921"/>
        <w:spacing w:after="0" w:line="277" w:lineRule="auto"/>
        <w:tabs>
          <w:tab w:leader="none" w:pos="1260"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To settle all controversies and disputes that may arise in connection with the Plan and/or any Incentive Award Agreement granted under it, within the limits provided by applicable law.</w:t>
      </w:r>
    </w:p>
    <w:p>
      <w:pPr>
        <w:spacing w:after="0" w:line="62" w:lineRule="exact"/>
        <w:rPr>
          <w:rFonts w:ascii="Arial" w:cs="Arial" w:eastAsia="Arial" w:hAnsi="Arial"/>
          <w:sz w:val="18"/>
          <w:szCs w:val="18"/>
          <w:b w:val="1"/>
          <w:bCs w:val="1"/>
          <w:color w:val="auto"/>
        </w:rPr>
      </w:pPr>
    </w:p>
    <w:p>
      <w:pPr>
        <w:ind w:left="-8" w:right="100" w:firstLine="921"/>
        <w:spacing w:after="0" w:line="277" w:lineRule="auto"/>
        <w:tabs>
          <w:tab w:leader="none" w:pos="1310"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or Directors who are foreign nationals, employed outside Switzerland or otherwise subject to foreign taxation.</w:t>
      </w:r>
    </w:p>
    <w:p>
      <w:pPr>
        <w:spacing w:after="0" w:line="62" w:lineRule="exact"/>
        <w:rPr>
          <w:rFonts w:ascii="Arial" w:cs="Arial" w:eastAsia="Arial" w:hAnsi="Arial"/>
          <w:sz w:val="18"/>
          <w:szCs w:val="18"/>
          <w:b w:val="1"/>
          <w:bCs w:val="1"/>
          <w:color w:val="auto"/>
        </w:rPr>
      </w:pPr>
    </w:p>
    <w:p>
      <w:pPr>
        <w:ind w:left="1212" w:hanging="299"/>
        <w:spacing w:after="0"/>
        <w:tabs>
          <w:tab w:leader="none" w:pos="1212"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w:t>
      </w:r>
    </w:p>
    <w:p>
      <w:pPr>
        <w:spacing w:after="0" w:line="117" w:lineRule="exact"/>
        <w:rPr>
          <w:rFonts w:ascii="Arial" w:cs="Arial" w:eastAsia="Arial" w:hAnsi="Arial"/>
          <w:sz w:val="18"/>
          <w:szCs w:val="18"/>
          <w:b w:val="1"/>
          <w:bCs w:val="1"/>
          <w:color w:val="auto"/>
        </w:rPr>
      </w:pPr>
    </w:p>
    <w:p>
      <w:pPr>
        <w:ind w:left="-8" w:right="220" w:firstLine="921"/>
        <w:spacing w:after="0" w:line="277" w:lineRule="auto"/>
        <w:tabs>
          <w:tab w:leader="none" w:pos="1160"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Incentive Award Agreements.</w:t>
      </w:r>
    </w:p>
    <w:p>
      <w:pPr>
        <w:spacing w:after="0" w:line="166" w:lineRule="exact"/>
        <w:rPr>
          <w:rFonts w:ascii="Arial" w:cs="Arial" w:eastAsia="Arial" w:hAnsi="Arial"/>
          <w:sz w:val="18"/>
          <w:szCs w:val="18"/>
          <w:b w:val="1"/>
          <w:bCs w:val="1"/>
          <w:color w:val="auto"/>
        </w:rPr>
      </w:pPr>
    </w:p>
    <w:p>
      <w:pPr>
        <w:ind w:left="-8" w:right="480" w:firstLine="464"/>
        <w:spacing w:after="0" w:line="282" w:lineRule="auto"/>
        <w:tabs>
          <w:tab w:leader="none" w:pos="693" w:val="left"/>
        </w:tabs>
        <w:numPr>
          <w:ilvl w:val="1"/>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the Board’s Decision. </w:t>
      </w:r>
      <w:r>
        <w:rPr>
          <w:rFonts w:ascii="Arial" w:cs="Arial" w:eastAsia="Arial" w:hAnsi="Arial"/>
          <w:sz w:val="18"/>
          <w:szCs w:val="18"/>
          <w:color w:val="auto"/>
        </w:rPr>
        <w:t>The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310" w:lineRule="exact"/>
        <w:rPr>
          <w:rFonts w:ascii="Arial" w:cs="Arial" w:eastAsia="Arial" w:hAnsi="Arial"/>
          <w:sz w:val="18"/>
          <w:szCs w:val="18"/>
          <w:b w:val="1"/>
          <w:bCs w:val="1"/>
          <w:color w:val="auto"/>
        </w:rPr>
      </w:pPr>
    </w:p>
    <w:p>
      <w:pPr>
        <w:ind w:left="452" w:hanging="452"/>
        <w:spacing w:after="0"/>
        <w:tabs>
          <w:tab w:leader="none" w:pos="452"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firstLine="464"/>
        <w:spacing w:after="0" w:line="261" w:lineRule="auto"/>
        <w:tabs>
          <w:tab w:leader="none" w:pos="703"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The Plan is based on the provision of the Articles of Incorporation regarding the conditional increase of the share capital.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be made available to Participants from Shares otherwise owned by or made available to the Company, such as Shares reacquired by the Company as per the terms and conditions of applicable law. The Board shall determine in its sole discretion whether the Participant shall receive a newly issued Share or an existing Share owned by or made available to the Company.</w:t>
      </w:r>
    </w:p>
    <w:p>
      <w:pPr>
        <w:spacing w:after="0" w:line="1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492" w:name="page493"/>
    <w:bookmarkEnd w:id="492"/>
    <w:p>
      <w:pPr>
        <w:ind w:firstLine="464"/>
        <w:spacing w:after="0" w:line="287" w:lineRule="auto"/>
        <w:tabs>
          <w:tab w:leader="none" w:pos="721"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Award and conditional capital. </w:t>
      </w:r>
      <w:r>
        <w:rPr>
          <w:rFonts w:ascii="Arial" w:cs="Arial" w:eastAsia="Arial" w:hAnsi="Arial"/>
          <w:sz w:val="16"/>
          <w:szCs w:val="16"/>
          <w:color w:val="auto"/>
        </w:rPr>
        <w:t>Even if the Company owns part of its Shares, the Board may decide at its sole discretion that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will occur by means of the grant of Options exercisable in connection with the conditional capital increase mentioned in Section 3(a) above. Such grant of Options under the Plan and the terms and conditions thereof shall be formalized in the Share Award Agreement. Unless otherwise decided by the Board: the Option shall be exercised immediately; the Exercise Price shall be determined by the Board and shall not be lower than the par value of the Shares; the quantity of Options shall be determined by the Board and each Option shall entitle to subscribe or purchase one Share. The exercise of the Options shall be contingent upon (i) the signature by the Company and the Participant of the Share Award Agreement, (ii) the signature by the Participant of a written notice of exercise that shall be established by the Board, (iii) the payment of the Exercise Price, (iv) the unconditional adhesion to the Shareholders’ Agreement and (v) the signature and/or execution of any other agreement requested by the Board providing for certain protections for the Company and its other shareholders. At the Board’s discretion, the Share Award Agreement and the notice of exercise may be brought together in one sole document. If the Exercise Price is not paid at least 5 business days after the signature of the abovementioned documents, the options shall lapse and the Participant will no longer have any rights according to this Plan and to the Share Award Agreement and the other documents signed in connection with the Share Award. For the sake of clarity, the Participant shall acquire all shareholders’ rights when the abovementioned documents are signed and the Exercise Price is paid.</w:t>
      </w:r>
    </w:p>
    <w:p>
      <w:pPr>
        <w:spacing w:after="0" w:line="168" w:lineRule="exact"/>
        <w:rPr>
          <w:rFonts w:ascii="Arial" w:cs="Arial" w:eastAsia="Arial" w:hAnsi="Arial"/>
          <w:sz w:val="16"/>
          <w:szCs w:val="16"/>
          <w:b w:val="1"/>
          <w:bCs w:val="1"/>
          <w:color w:val="auto"/>
        </w:rPr>
      </w:pPr>
    </w:p>
    <w:p>
      <w:pPr>
        <w:ind w:right="20" w:firstLine="464"/>
        <w:spacing w:after="0" w:line="303" w:lineRule="auto"/>
        <w:tabs>
          <w:tab w:leader="none" w:pos="701"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or Options to the Share Reserve. </w:t>
      </w:r>
      <w:r>
        <w:rPr>
          <w:rFonts w:ascii="Arial" w:cs="Arial" w:eastAsia="Arial" w:hAnsi="Arial"/>
          <w:sz w:val="16"/>
          <w:szCs w:val="16"/>
          <w:color w:val="auto"/>
        </w:rPr>
        <w:t>If any Shares issued pursuant to an Incentive Award are repurchased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Sections 4(j) and 7(b) then the repurchased Shares shall again become available for issuance under the Plan. If any Options granted pursuant to an Option Award Agreement are forfeited because of the failure to meet a contingency or condition required to vest such Options in the Participant, then the shares of conditional capital underlying such forfeited Options shall again become available for the grant of Options and/or Shares under the Plan.</w:t>
      </w:r>
    </w:p>
    <w:p>
      <w:pPr>
        <w:spacing w:after="0" w:line="151" w:lineRule="exact"/>
        <w:rPr>
          <w:rFonts w:ascii="Arial" w:cs="Arial" w:eastAsia="Arial" w:hAnsi="Arial"/>
          <w:sz w:val="16"/>
          <w:szCs w:val="16"/>
          <w:b w:val="1"/>
          <w:bCs w:val="1"/>
          <w:color w:val="auto"/>
        </w:rPr>
      </w:pPr>
    </w:p>
    <w:p>
      <w:pPr>
        <w:ind w:left="720" w:hanging="256"/>
        <w:spacing w:after="0"/>
        <w:tabs>
          <w:tab w:leader="none" w:pos="72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Shares. </w:t>
      </w:r>
      <w:r>
        <w:rPr>
          <w:rFonts w:ascii="Arial" w:cs="Arial" w:eastAsia="Arial" w:hAnsi="Arial"/>
          <w:sz w:val="18"/>
          <w:szCs w:val="18"/>
          <w:color w:val="auto"/>
        </w:rPr>
        <w:t>The Shares issuable under the Plan shall be ordinary registered Shares of the Company.</w:t>
      </w:r>
    </w:p>
    <w:p>
      <w:pPr>
        <w:spacing w:after="0" w:line="374"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Each Option Award Agreement shall be in such form and shall contain such terms and conditions as the Board shall deem appropriate. The provisions of separate Option Award Agreements need not be identical. In principle, each Option Award Agreement shall conform to (through incorporation of provisions hereof by reference in the applicable Option Award Agreement or otherwise) the substance of each of the following provisions:</w:t>
      </w:r>
    </w:p>
    <w:p>
      <w:pPr>
        <w:spacing w:after="0" w:line="143" w:lineRule="exact"/>
        <w:rPr>
          <w:sz w:val="20"/>
          <w:szCs w:val="20"/>
          <w:color w:val="auto"/>
        </w:rPr>
      </w:pPr>
    </w:p>
    <w:p>
      <w:pPr>
        <w:ind w:right="180" w:firstLine="464"/>
        <w:spacing w:after="0" w:line="282" w:lineRule="auto"/>
        <w:tabs>
          <w:tab w:leader="none" w:pos="711"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No Option shall be exercisable after the expiration of ten (10) years from the date of its grant or such shorter period specified in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61" w:lineRule="exact"/>
        <w:rPr>
          <w:rFonts w:ascii="Arial" w:cs="Arial" w:eastAsia="Arial" w:hAnsi="Arial"/>
          <w:sz w:val="18"/>
          <w:szCs w:val="18"/>
          <w:b w:val="1"/>
          <w:bCs w:val="1"/>
          <w:color w:val="auto"/>
        </w:rPr>
      </w:pPr>
    </w:p>
    <w:p>
      <w:pPr>
        <w:ind w:right="340" w:firstLine="464"/>
        <w:spacing w:after="0" w:line="282" w:lineRule="auto"/>
        <w:tabs>
          <w:tab w:leader="none" w:pos="721"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Exercise Price of the Share covered by each Option shall be determined at the sole discretion of the Board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lower than the par value of the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493" w:name="page494"/>
    <w:bookmarkEnd w:id="493"/>
    <w:p>
      <w:pPr>
        <w:ind w:firstLine="464"/>
        <w:spacing w:after="0" w:line="261" w:lineRule="auto"/>
        <w:tabs>
          <w:tab w:leader="none" w:pos="701"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Consideration for Options. </w:t>
      </w:r>
      <w:r>
        <w:rPr>
          <w:rFonts w:ascii="Arial" w:cs="Arial" w:eastAsia="Arial" w:hAnsi="Arial"/>
          <w:sz w:val="18"/>
          <w:szCs w:val="18"/>
          <w:color w:val="auto"/>
        </w:rPr>
        <w:t>The Exercise Price shall be paid, to the extent permitted by applicable law and as determined by the Board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by any combination of the methods of payment set forth below. The permitted methods of payment are as follows: (i) in Swiss Francs, by wire transfer on a bank account to be indicated by the Company, or (ii) in any other form of legal consideration that may be acceptable to the Board and complying with applicable law.</w:t>
      </w:r>
    </w:p>
    <w:p>
      <w:pPr>
        <w:spacing w:after="0" w:line="180" w:lineRule="exact"/>
        <w:rPr>
          <w:rFonts w:ascii="Arial" w:cs="Arial" w:eastAsia="Arial" w:hAnsi="Arial"/>
          <w:sz w:val="18"/>
          <w:szCs w:val="18"/>
          <w:b w:val="1"/>
          <w:bCs w:val="1"/>
          <w:color w:val="auto"/>
        </w:rPr>
      </w:pPr>
    </w:p>
    <w:p>
      <w:pPr>
        <w:ind w:right="160" w:firstLine="464"/>
        <w:spacing w:after="0" w:line="258" w:lineRule="auto"/>
        <w:tabs>
          <w:tab w:leader="none" w:pos="721"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of Options. </w:t>
      </w:r>
      <w:r>
        <w:rPr>
          <w:rFonts w:ascii="Arial" w:cs="Arial" w:eastAsia="Arial" w:hAnsi="Arial"/>
          <w:sz w:val="18"/>
          <w:szCs w:val="18"/>
          <w:color w:val="auto"/>
        </w:rPr>
        <w:t>An Option shall be exercised by giving written notice to the Company at its principal office address, or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(in particular to the bank in charge of the execution of the capital increase as per article 653e par. 2 CO), together with provision for payment of Exercise Price for the Share as to which such Option is being exercised, and upon compliance with any other condition(s) set forth in the Option Award Agreement. Such written notice shall be signed by the person exercising the Option and shall contain any representation required by the law, the Plan or the Option Award Agreement.</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Before the exercise of the Options, the Participant shall sign and deliver to the Company the Shareholders Agreement. The Board may at its sole discretion impose to the Participant to sign any other agreement (as escrow agreement or any other similar agreement).</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If the Company has not received the payment of the Exercise Price and the executed Shareholders Agreement 30 days after the date of receipt of the abovementioned written notice, the Board shall have the right to declare such exercised Options as terminated and thereby forfeited.</w:t>
      </w:r>
    </w:p>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Upon evidence by the person exercising the Option that the Exercise Price has been fully paid and that all other applicable terms and conditions are fulfilled, the Company or the Company’s designee shall then reasonably promptly (i) issue and deliver the Share as to which such Option was exercised and</w:t>
      </w:r>
    </w:p>
    <w:p>
      <w:pPr>
        <w:ind w:right="40" w:firstLine="8"/>
        <w:spacing w:after="0" w:line="252" w:lineRule="auto"/>
        <w:tabs>
          <w:tab w:leader="none" w:pos="26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register the Participant in the Company’s share register. The Participant may be required to endorse the Share in blank if such is required by the Shareholders’ Agreement, an escrow agreement or any similar agreement and to deposit it with an escrow agent. In determining what constitutes “reasonably promptly”, it is expressly understood that the delivery of the Shares may be delayed by the Company in order to take into account the circumstances and modalities of a Corporate Transaction or the Company’s IPO (if applicable) or to comply with any law or regulation which requires the Company to take any action with respect to the Shares prior to their issuance. The Shares shall, upon delivery, be evidenced by an appropriate certificate or certificates for fully paid Shares.</w:t>
      </w:r>
    </w:p>
    <w:p>
      <w:pPr>
        <w:spacing w:after="0" w:line="190" w:lineRule="exact"/>
        <w:rPr>
          <w:rFonts w:ascii="Arial" w:cs="Arial" w:eastAsia="Arial" w:hAnsi="Arial"/>
          <w:sz w:val="18"/>
          <w:szCs w:val="18"/>
          <w:color w:val="auto"/>
        </w:rPr>
      </w:pPr>
    </w:p>
    <w:p>
      <w:pPr>
        <w:ind w:right="440" w:firstLine="464"/>
        <w:spacing w:after="0" w:line="347" w:lineRule="auto"/>
        <w:tabs>
          <w:tab w:leader="none" w:pos="701" w:val="left"/>
        </w:tabs>
        <w:numPr>
          <w:ilvl w:val="1"/>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w:t>
      </w:r>
      <w:r>
        <w:rPr>
          <w:rFonts w:ascii="Arial" w:cs="Arial" w:eastAsia="Arial" w:hAnsi="Arial"/>
          <w:sz w:val="16"/>
          <w:szCs w:val="16"/>
          <w:color w:val="auto"/>
        </w:rPr>
        <w:t>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8" w:lineRule="exact"/>
        <w:rPr>
          <w:rFonts w:ascii="Arial" w:cs="Arial" w:eastAsia="Arial" w:hAnsi="Arial"/>
          <w:sz w:val="16"/>
          <w:szCs w:val="16"/>
          <w:b w:val="1"/>
          <w:bCs w:val="1"/>
          <w:color w:val="auto"/>
        </w:rPr>
      </w:pPr>
    </w:p>
    <w:p>
      <w:pPr>
        <w:ind w:right="160" w:firstLine="921"/>
        <w:spacing w:after="0" w:line="282" w:lineRule="auto"/>
        <w:tabs>
          <w:tab w:leader="none" w:pos="1128" w:val="left"/>
        </w:tabs>
        <w:numPr>
          <w:ilvl w:val="2"/>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shall not be pledged, assigned or transferred except by will or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exercisable during the lifetime of the Participant only by the Participant.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494" w:name="page495"/>
    <w:bookmarkEnd w:id="494"/>
    <w:p>
      <w:pPr>
        <w:ind w:left="1180" w:hanging="259"/>
        <w:spacing w:after="0"/>
        <w:tabs>
          <w:tab w:leader="none" w:pos="1180" w:val="left"/>
        </w:tabs>
        <w:numPr>
          <w:ilvl w:val="1"/>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Divorce Settlements. </w:t>
      </w:r>
      <w:r>
        <w:rPr>
          <w:rFonts w:ascii="Arial" w:cs="Arial" w:eastAsia="Arial" w:hAnsi="Arial"/>
          <w:sz w:val="18"/>
          <w:szCs w:val="18"/>
          <w:color w:val="auto"/>
        </w:rPr>
        <w:t>Notwithstanding the foregoing, an Option may be transferred pursuant to a divorce settlement.</w:t>
      </w:r>
    </w:p>
    <w:p>
      <w:pPr>
        <w:spacing w:after="0" w:line="117" w:lineRule="exact"/>
        <w:rPr>
          <w:rFonts w:ascii="Arial" w:cs="Arial" w:eastAsia="Arial" w:hAnsi="Arial"/>
          <w:sz w:val="18"/>
          <w:szCs w:val="18"/>
          <w:b w:val="1"/>
          <w:bCs w:val="1"/>
          <w:color w:val="auto"/>
        </w:rPr>
      </w:pPr>
    </w:p>
    <w:p>
      <w:pPr>
        <w:ind w:right="140" w:firstLine="921"/>
        <w:spacing w:after="0" w:line="274" w:lineRule="auto"/>
        <w:tabs>
          <w:tab w:leader="none" w:pos="1228" w:val="left"/>
        </w:tabs>
        <w:numPr>
          <w:ilvl w:val="1"/>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Notwithstanding the foregoing and within the limits provided by applicable law in particular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form of such beneficiary designation, the Participant may, by delivering written notice to the Company, in a form provided by or otherwise satisfactory to the Company and any broker designated by the Company to effect Option exercises, designate a third party who, in the event of the death of the Participant, shall thereafter be the beneficiary of an Option with the right to exercise the Options and receive the Shares or other consideration resulting from such exercise. In the absence of such a designation, the executor or administrator of the Participant’s estate shall be entitled to exercise the Options and receive the Shares or other consideration resulting from such exercise.</w:t>
      </w:r>
    </w:p>
    <w:p>
      <w:pPr>
        <w:spacing w:after="0" w:line="173" w:lineRule="exact"/>
        <w:rPr>
          <w:rFonts w:ascii="Arial" w:cs="Arial" w:eastAsia="Arial" w:hAnsi="Arial"/>
          <w:sz w:val="17"/>
          <w:szCs w:val="17"/>
          <w:b w:val="1"/>
          <w:bCs w:val="1"/>
          <w:color w:val="auto"/>
        </w:rPr>
      </w:pPr>
    </w:p>
    <w:p>
      <w:pPr>
        <w:ind w:firstLine="464"/>
        <w:spacing w:after="0" w:line="281" w:lineRule="auto"/>
        <w:tabs>
          <w:tab w:leader="none" w:pos="681" w:val="left"/>
        </w:tabs>
        <w:numPr>
          <w:ilvl w:val="0"/>
          <w:numId w:val="3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An Option may vest and therefore become exercisable in periodic installments that may or may not be equal or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occurrence of certain conditions or the attainment of stated goals or events. The Option may be subject to such other terms and conditions on the time or times when it may or may not be exercised (which may be based on the satisfaction of performance goals or other criteria) as the Board may deem appropriate. The vesting provisions of individual Options may vary and shall be determined in the Option Award Agreement.</w:t>
      </w:r>
    </w:p>
    <w:p>
      <w:pPr>
        <w:spacing w:after="0" w:line="164" w:lineRule="exact"/>
        <w:rPr>
          <w:rFonts w:ascii="Arial" w:cs="Arial" w:eastAsia="Arial" w:hAnsi="Arial"/>
          <w:sz w:val="17"/>
          <w:szCs w:val="17"/>
          <w:b w:val="1"/>
          <w:bCs w:val="1"/>
          <w:color w:val="auto"/>
        </w:rPr>
      </w:pPr>
    </w:p>
    <w:p>
      <w:pPr>
        <w:ind w:right="300" w:firstLine="464"/>
        <w:spacing w:after="0" w:line="282" w:lineRule="auto"/>
        <w:tabs>
          <w:tab w:leader="none" w:pos="711"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with or without Cause. </w:t>
      </w:r>
      <w:r>
        <w:rPr>
          <w:rFonts w:ascii="Arial" w:cs="Arial" w:eastAsia="Arial" w:hAnsi="Arial"/>
          <w:sz w:val="18"/>
          <w:szCs w:val="18"/>
          <w:color w:val="auto"/>
        </w:rPr>
        <w:t>Except as otherwise provided in the applicable Option Award Agreement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Participant and the Company:</w:t>
      </w:r>
    </w:p>
    <w:p>
      <w:pPr>
        <w:spacing w:after="0" w:line="53" w:lineRule="exact"/>
        <w:rPr>
          <w:rFonts w:ascii="Arial" w:cs="Arial" w:eastAsia="Arial" w:hAnsi="Arial"/>
          <w:sz w:val="18"/>
          <w:szCs w:val="18"/>
          <w:b w:val="1"/>
          <w:bCs w:val="1"/>
          <w:color w:val="auto"/>
        </w:rPr>
      </w:pPr>
    </w:p>
    <w:p>
      <w:pPr>
        <w:ind w:right="20" w:firstLine="921"/>
        <w:spacing w:after="0" w:line="258" w:lineRule="auto"/>
        <w:tabs>
          <w:tab w:leader="none" w:pos="1128" w:val="left"/>
        </w:tabs>
        <w:numPr>
          <w:ilvl w:val="1"/>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or termination before the end of the first year of services. </w:t>
      </w:r>
      <w:r>
        <w:rPr>
          <w:rFonts w:ascii="Arial" w:cs="Arial" w:eastAsia="Arial" w:hAnsi="Arial"/>
          <w:sz w:val="18"/>
          <w:szCs w:val="18"/>
          <w:color w:val="auto"/>
        </w:rPr>
        <w:t>If a Participant resigns or the Company terminates before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Participant’s first year of services, all Options granted to such Participant shall be forfeited and the Company shall have no further obligation under the Plan or the Option Award Agreement in connection with these Options, as of the date of receipt by the Company of the resignation from the Participant or the date of notification of the termination by the Company to the Participant. Such forfeiture of the Options shall occur even if the notice period of the Participant ends after the Participant’s first year of services.</w:t>
      </w:r>
    </w:p>
    <w:p>
      <w:pPr>
        <w:spacing w:after="0" w:line="75" w:lineRule="exact"/>
        <w:rPr>
          <w:rFonts w:ascii="Arial" w:cs="Arial" w:eastAsia="Arial" w:hAnsi="Arial"/>
          <w:sz w:val="18"/>
          <w:szCs w:val="18"/>
          <w:b w:val="1"/>
          <w:bCs w:val="1"/>
          <w:color w:val="auto"/>
        </w:rPr>
      </w:pPr>
    </w:p>
    <w:p>
      <w:pPr>
        <w:ind w:right="20" w:firstLine="921"/>
        <w:spacing w:after="0" w:line="289" w:lineRule="auto"/>
        <w:tabs>
          <w:tab w:leader="none" w:pos="1178" w:val="left"/>
        </w:tabs>
        <w:numPr>
          <w:ilvl w:val="1"/>
          <w:numId w:val="3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Resignation or termination after the first year of services. </w:t>
      </w:r>
      <w:r>
        <w:rPr>
          <w:rFonts w:ascii="Arial" w:cs="Arial" w:eastAsia="Arial" w:hAnsi="Arial"/>
          <w:sz w:val="16"/>
          <w:szCs w:val="16"/>
          <w:color w:val="auto"/>
        </w:rPr>
        <w:t>In any other cases in which a Participant’s Continuous Service terminates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upon the Participant’s death or Disability), the Participant may exercise his or her vested Options (to the extent that the Participant was entitled to exercise such Options as of the date of termination of Continuous Service) but only within such period of time ending on the earlier of (i) the date</w:t>
      </w:r>
    </w:p>
    <w:p>
      <w:pPr>
        <w:spacing w:after="0" w:line="1" w:lineRule="exact"/>
        <w:rPr>
          <w:rFonts w:ascii="Arial" w:cs="Arial" w:eastAsia="Arial" w:hAnsi="Arial"/>
          <w:sz w:val="16"/>
          <w:szCs w:val="16"/>
          <w:b w:val="1"/>
          <w:bCs w:val="1"/>
          <w:color w:val="auto"/>
        </w:rPr>
      </w:pPr>
    </w:p>
    <w:p>
      <w:pPr>
        <w:ind w:right="14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three (3) months following the termination of the Participant’s Continuous Service (or such longer or shorter period specified in the Option Award Agreement) or (ii) the expiration of the term of the Options as set forth in the Option Award Agreement. If, after termination of Continuous Service, the Participant does not exercise his or her Option within the time specified herein or in the Option Award Agreement (as applicable), the Option shall terminate and the Company shall have no further obligation under the Plan or the Option Award Agreement. All Options that are not yet vested as of the date of termination of Continuous Service shall be forfeited, and the Company shall have no further obligation under the Plan or the Option Award Agreement. For the sake of clarity, the date of termination of service shall be the actual date of the end of the contractual relationship and not the date of the notice of termination.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495" w:name="page496"/>
    <w:bookmarkEnd w:id="495"/>
    <w:p>
      <w:pPr>
        <w:ind w:left="-60" w:firstLine="464"/>
        <w:spacing w:after="0" w:line="254" w:lineRule="auto"/>
        <w:tabs>
          <w:tab w:leader="none" w:pos="661"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Disability of Participant. </w:t>
      </w:r>
      <w:r>
        <w:rPr>
          <w:rFonts w:ascii="Arial" w:cs="Arial" w:eastAsia="Arial" w:hAnsi="Arial"/>
          <w:sz w:val="18"/>
          <w:szCs w:val="18"/>
          <w:color w:val="auto"/>
        </w:rPr>
        <w:t>Except as otherwise provided in the applicable Option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the event that a Participant’s Continuous Service terminates as a result of the Participant’s Disability, the Participant may exercise his or her vested Options (to the extent that the Participant was entitled to exercise such Options as of the date of termination of Continuous Service), but only within such period of time ending on the earlier of (i) the date twelve (12) months following such termination of Continuous Service (or such longer or shorter period specified in the Option Award Agreement), or (ii) the expiration of the term of the Options as set forth in the Option Award Agreement. If, after termination of Continuous Service, the Participant does not exercise his or her Option within the time specified herein or in the Option Award Agreement (as applicable), the Option shall terminate and the Company shall have no further obligation under the Plan or the Option Award Agreement. All Options that are not yet vested as of the date of termination of Continuous Service shall be forfeited, and the Company shall have no further obligation under the Plan or the Option Award Agreement.</w:t>
      </w:r>
    </w:p>
    <w:p>
      <w:pPr>
        <w:spacing w:after="0" w:line="189" w:lineRule="exact"/>
        <w:rPr>
          <w:rFonts w:ascii="Arial" w:cs="Arial" w:eastAsia="Arial" w:hAnsi="Arial"/>
          <w:sz w:val="18"/>
          <w:szCs w:val="18"/>
          <w:b w:val="1"/>
          <w:bCs w:val="1"/>
          <w:color w:val="auto"/>
        </w:rPr>
      </w:pPr>
    </w:p>
    <w:p>
      <w:pPr>
        <w:ind w:left="-60" w:right="20" w:firstLine="464"/>
        <w:spacing w:after="0" w:line="270" w:lineRule="auto"/>
        <w:tabs>
          <w:tab w:leader="none" w:pos="611"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Except as otherwise provided in the applicable Option Award Agreement or other agreement between the Participant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the event that (i) a Participant’s Continuous Service terminates as a result of the Participant’s death, or (ii) the Participant dies within the period (if any) specified in the Option Award Agreement after the termination of the Participant’s Continuous Service for a reason other than death, then the vested Options may be exercised (to the extent the Participant was entitled to exercise such Options as of the date of death) by the Participant’s heirs and successors, but only within the period ending on the earlier of (i) the date eighteen (18) months following the date of death (or such longer or shorter period specified in the Option Award Agreement), or (ii) the expiration of the term of such Option as set forth in the Option Award Agreement. If, after the Participant’s death, the Option is not exercised within the time specified herein or in the Option Award Agreement (as applicable), the Option shall terminate and the Company shall have no further obligation under the Plan or the Option Award Agreement. The heirs and successors of the deceased Participant shall designate a common representative as a general proxy, in order to represent them towards the Company for the exercise of the Options, the issuance of the underlying Shares and any operations related hereto.</w:t>
      </w:r>
    </w:p>
    <w:p>
      <w:pPr>
        <w:spacing w:after="0" w:line="177" w:lineRule="exact"/>
        <w:rPr>
          <w:rFonts w:ascii="Arial" w:cs="Arial" w:eastAsia="Arial" w:hAnsi="Arial"/>
          <w:sz w:val="17"/>
          <w:szCs w:val="17"/>
          <w:b w:val="1"/>
          <w:bCs w:val="1"/>
          <w:color w:val="auto"/>
        </w:rPr>
      </w:pPr>
    </w:p>
    <w:p>
      <w:pPr>
        <w:ind w:left="-60" w:right="60" w:firstLine="464"/>
        <w:spacing w:after="0" w:line="261" w:lineRule="auto"/>
        <w:tabs>
          <w:tab w:leader="none" w:pos="621"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The Option Award Agreement may include a provision whereby the Company may elect to repurchase all or any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acquired by the Participant pursuant to the exercise of the Option. The repurchase price for Shares shall be the original purchase price paid by the Participant plus 5% p.a. The Company shall be entitled to transfer any repurchase right to a nominee of its choice. The terms of any repurchase right shall be specified in the Option Award Agreement.</w:t>
      </w:r>
    </w:p>
    <w:p>
      <w:pPr>
        <w:spacing w:after="0" w:line="180" w:lineRule="exact"/>
        <w:rPr>
          <w:rFonts w:ascii="Arial" w:cs="Arial" w:eastAsia="Arial" w:hAnsi="Arial"/>
          <w:sz w:val="18"/>
          <w:szCs w:val="18"/>
          <w:b w:val="1"/>
          <w:bCs w:val="1"/>
          <w:color w:val="auto"/>
        </w:rPr>
      </w:pPr>
    </w:p>
    <w:p>
      <w:pPr>
        <w:ind w:left="-60" w:right="300" w:firstLine="464"/>
        <w:spacing w:after="0" w:line="282" w:lineRule="auto"/>
        <w:tabs>
          <w:tab w:leader="none" w:pos="661"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Other Obligations of the Participant</w:t>
      </w:r>
      <w:r>
        <w:rPr>
          <w:rFonts w:ascii="Arial" w:cs="Arial" w:eastAsia="Arial" w:hAnsi="Arial"/>
          <w:sz w:val="18"/>
          <w:szCs w:val="18"/>
          <w:color w:val="auto"/>
        </w:rPr>
        <w:t>. At the Board’s request, upon exercise of any Option, the Participant shall enter into and execute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and/or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300" w:top="270" w:right="299" w:bottom="1440" w:gutter="0" w:footer="0" w:header="0"/>
        </w:sectPr>
      </w:pPr>
    </w:p>
    <w:bookmarkStart w:id="496" w:name="page497"/>
    <w:bookmarkEnd w:id="4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specific agreements such as a shareholders’ agreement or an escrow agreement, in a form satisfactory to the Board, providing for certain protections for the Company and its other Shareholders including, but not limited to, requirements that the Participant’s or the Participant’s estate’s right to sell, transfer or dispose of the Shares may be restricted. The Participant may be required to endorse in blank the certificate incorporating his/her Shares issued upon exercise of an Option if such is required by a Shareholders’ agreement, an escrow agreement or any similar agreement. In addition, the newly issued registered Shares may be subject to transfer restrictions that may be foreseen in the Articles of Incorporation or right of repurchase according to Section 4(j) above.</w:t>
      </w:r>
    </w:p>
    <w:p>
      <w:pPr>
        <w:spacing w:after="0" w:line="338"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Each Share Award Agreement shall be in such form and shall contain such terms and conditions as the Board shall deem appropriate. The terms and conditions of Share Award Agreements may change from time to time, and the terms and conditions of separate Share Award Agreements need not be identical. In principle, each Share Award Agreement shall conform to (through incorporation of the provisions hereof by reference in the agreement or otherwise) the substance of each of the following provisions:</w:t>
      </w:r>
    </w:p>
    <w:p>
      <w:pPr>
        <w:spacing w:after="0" w:line="183" w:lineRule="exact"/>
        <w:rPr>
          <w:sz w:val="20"/>
          <w:szCs w:val="20"/>
          <w:color w:val="auto"/>
        </w:rPr>
      </w:pPr>
    </w:p>
    <w:p>
      <w:pPr>
        <w:jc w:val="both"/>
        <w:ind w:right="380" w:firstLine="464"/>
        <w:spacing w:after="0" w:line="281" w:lineRule="auto"/>
        <w:tabs>
          <w:tab w:leader="none" w:pos="711"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Consideration. </w:t>
      </w:r>
      <w:r>
        <w:rPr>
          <w:rFonts w:ascii="Arial" w:cs="Arial" w:eastAsia="Arial" w:hAnsi="Arial"/>
          <w:sz w:val="17"/>
          <w:szCs w:val="17"/>
          <w:color w:val="auto"/>
        </w:rPr>
        <w:t>A Share Award may be awarded in consideration for (A) cash or cash equivalents, (B) past services actually rendered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 Affiliate, or (C) any other form of legal consideration that may be acceptable to the Board in its sole discretion and permissible under applicable law. Notwithstanding the foregoing, as a condition to the receipt of a Share Award, the Participant may be required, at Board’s discretion, to subscribe and pay in, in cash, the Shares at not less than the par value of the Shares [i.e. CHF 5.- per Share].</w:t>
      </w:r>
    </w:p>
    <w:p>
      <w:pPr>
        <w:spacing w:after="0" w:line="164" w:lineRule="exact"/>
        <w:rPr>
          <w:rFonts w:ascii="Arial" w:cs="Arial" w:eastAsia="Arial" w:hAnsi="Arial"/>
          <w:sz w:val="17"/>
          <w:szCs w:val="17"/>
          <w:b w:val="1"/>
          <w:bCs w:val="1"/>
          <w:color w:val="auto"/>
        </w:rPr>
      </w:pPr>
    </w:p>
    <w:p>
      <w:pPr>
        <w:ind w:left="720" w:hanging="256"/>
        <w:spacing w:after="0"/>
        <w:tabs>
          <w:tab w:leader="none" w:pos="72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w:t>
      </w:r>
      <w:r>
        <w:rPr>
          <w:rFonts w:ascii="Arial" w:cs="Arial" w:eastAsia="Arial" w:hAnsi="Arial"/>
          <w:sz w:val="18"/>
          <w:szCs w:val="18"/>
          <w:color w:val="auto"/>
        </w:rPr>
        <w:t>The Board may insert restrictions in the Share Award Agreement including but not limited to:</w:t>
      </w:r>
    </w:p>
    <w:p>
      <w:pPr>
        <w:spacing w:after="0" w:line="117" w:lineRule="exact"/>
        <w:rPr>
          <w:rFonts w:ascii="Arial" w:cs="Arial" w:eastAsia="Arial" w:hAnsi="Arial"/>
          <w:sz w:val="18"/>
          <w:szCs w:val="18"/>
          <w:b w:val="1"/>
          <w:bCs w:val="1"/>
          <w:color w:val="auto"/>
        </w:rPr>
      </w:pPr>
    </w:p>
    <w:p>
      <w:pPr>
        <w:ind w:right="120" w:firstLine="921"/>
        <w:spacing w:after="0" w:line="261" w:lineRule="auto"/>
        <w:tabs>
          <w:tab w:leader="none" w:pos="1128" w:val="left"/>
        </w:tabs>
        <w:numPr>
          <w:ilvl w:val="1"/>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 of the Company</w:t>
      </w:r>
      <w:r>
        <w:rPr>
          <w:rFonts w:ascii="Arial" w:cs="Arial" w:eastAsia="Arial" w:hAnsi="Arial"/>
          <w:sz w:val="18"/>
          <w:szCs w:val="18"/>
          <w:color w:val="auto"/>
        </w:rPr>
        <w:t>. The Share Award Agreement may provide for a repurchase right of the Shares in favor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shall lapse after a maximum period of five years after the acquisition of the Shares by the Participant. The repurchase price shall be the original purchase price paid by the Participant plus 5 % p.a. The Company shall be entitled to transfer any repurchase right to a nominee of its choice. The Board decides on the principle and on the duration of the repurchase right.</w:t>
      </w:r>
    </w:p>
    <w:p>
      <w:pPr>
        <w:spacing w:after="0" w:line="71" w:lineRule="exact"/>
        <w:rPr>
          <w:rFonts w:ascii="Arial" w:cs="Arial" w:eastAsia="Arial" w:hAnsi="Arial"/>
          <w:sz w:val="18"/>
          <w:szCs w:val="18"/>
          <w:b w:val="1"/>
          <w:bCs w:val="1"/>
          <w:color w:val="auto"/>
        </w:rPr>
      </w:pPr>
    </w:p>
    <w:p>
      <w:pPr>
        <w:ind w:right="60" w:firstLine="921"/>
        <w:spacing w:after="0" w:line="282" w:lineRule="auto"/>
        <w:tabs>
          <w:tab w:leader="none" w:pos="1178" w:val="left"/>
        </w:tabs>
        <w:numPr>
          <w:ilvl w:val="1"/>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restriction</w:t>
      </w:r>
      <w:r>
        <w:rPr>
          <w:rFonts w:ascii="Arial" w:cs="Arial" w:eastAsia="Arial" w:hAnsi="Arial"/>
          <w:sz w:val="18"/>
          <w:szCs w:val="18"/>
          <w:color w:val="auto"/>
        </w:rPr>
        <w:t>. The transferability of the Shares awarded under the Share Award Agreement may be limited or excluded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period of five years. The Board decides on the principle and on the duration of the transferability restriction.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of any repurchase right and/or transferability restriction shall be specified in the Share Award Agreement.</w:t>
      </w:r>
    </w:p>
    <w:p>
      <w:pPr>
        <w:spacing w:after="0" w:line="221" w:lineRule="exact"/>
        <w:rPr>
          <w:sz w:val="20"/>
          <w:szCs w:val="20"/>
          <w:color w:val="auto"/>
        </w:rPr>
      </w:pPr>
    </w:p>
    <w:p>
      <w:pPr>
        <w:ind w:right="260" w:firstLine="464"/>
        <w:spacing w:after="0" w:line="282" w:lineRule="auto"/>
        <w:tabs>
          <w:tab w:leader="none" w:pos="701"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Share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in the event that a Participant’s Continuous Service terminates (including, but not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273" w:right="419" w:bottom="1440" w:gutter="0" w:footer="0" w:header="0"/>
        </w:sectPr>
      </w:pPr>
    </w:p>
    <w:bookmarkStart w:id="497" w:name="page498"/>
    <w:bookmarkEnd w:id="497"/>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limited to, upon the Participant’s death or Disability), the Shares acquired by the Participant as of the date of termination of Continuous Service shall remain the property of the Participant (or his or her heirs or successors in case of death). The repurchase right of the Company and the transferability restrictions set forth in Section 5(b) above, if any, shall continue to be applicable. For the sake of clarity, the date of termination of service shall be the actual date of the end of the contractual relationship and not the date of the notice of termination.</w:t>
      </w:r>
    </w:p>
    <w:p>
      <w:pPr>
        <w:spacing w:after="0" w:line="183" w:lineRule="exact"/>
        <w:rPr>
          <w:sz w:val="20"/>
          <w:szCs w:val="20"/>
          <w:color w:val="auto"/>
        </w:rPr>
      </w:pPr>
    </w:p>
    <w:p>
      <w:pPr>
        <w:ind w:right="240" w:firstLine="464"/>
        <w:spacing w:after="0" w:line="274" w:lineRule="auto"/>
        <w:tabs>
          <w:tab w:leader="none" w:pos="721" w:val="left"/>
        </w:tabs>
        <w:numPr>
          <w:ilvl w:val="1"/>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Obligations of the Participant. </w:t>
      </w:r>
      <w:r>
        <w:rPr>
          <w:rFonts w:ascii="Arial" w:cs="Arial" w:eastAsia="Arial" w:hAnsi="Arial"/>
          <w:sz w:val="17"/>
          <w:szCs w:val="17"/>
          <w:color w:val="auto"/>
        </w:rPr>
        <w:t>At the Board’s request, the Participant shall enter into and execute a share purchase/share subscription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and/or further specific agreements such as a shareholders’ agreement or an escrow agreement, in a form satisfactory to the Board, providing for certain protections for the Company and its other shareholders including, but not limited to, requirements that the Participant’s or the Participant’s estate’s right to sell, transfer or dispose of the Shares may be restricted. The Participant may be required to endorse in blank the certificate incorporating his/her Shares if such is required by a shareholders’ agreement, an escrow agreement or any similar agreement. In addition, the Shares may be subject to transfer restrictions that may be foreseen in the Articles of Incorporation.</w:t>
      </w:r>
    </w:p>
    <w:p>
      <w:pPr>
        <w:spacing w:after="0" w:line="173" w:lineRule="exact"/>
        <w:rPr>
          <w:rFonts w:ascii="Arial" w:cs="Arial" w:eastAsia="Arial" w:hAnsi="Arial"/>
          <w:sz w:val="17"/>
          <w:szCs w:val="17"/>
          <w:b w:val="1"/>
          <w:bCs w:val="1"/>
          <w:color w:val="auto"/>
        </w:rPr>
      </w:pPr>
    </w:p>
    <w:p>
      <w:pPr>
        <w:ind w:right="260" w:firstLine="464"/>
        <w:spacing w:after="0" w:line="282" w:lineRule="auto"/>
        <w:tabs>
          <w:tab w:leader="none" w:pos="701"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Except as otherwise provided in the applicable Share Award Agreement, the Participant has the right to receive any dividend paid on</w:t>
      </w:r>
      <w:r>
        <w:rPr>
          <w:rFonts w:ascii="Arial" w:cs="Arial" w:eastAsia="Arial" w:hAnsi="Arial"/>
          <w:sz w:val="18"/>
          <w:szCs w:val="18"/>
          <w:b w:val="1"/>
          <w:bCs w:val="1"/>
          <w:color w:val="auto"/>
        </w:rPr>
        <w:t xml:space="preserve"> </w:t>
      </w:r>
      <w:r>
        <w:rPr>
          <w:rFonts w:ascii="Arial" w:cs="Arial" w:eastAsia="Arial" w:hAnsi="Arial"/>
          <w:sz w:val="18"/>
          <w:szCs w:val="18"/>
          <w:color w:val="auto"/>
        </w:rPr>
        <w:t>his/her Shares, whether or not a restriction to the transferability is provided for in the Share Award Agreement.</w:t>
      </w:r>
    </w:p>
    <w:p>
      <w:pPr>
        <w:spacing w:after="0" w:line="310" w:lineRule="exact"/>
        <w:rPr>
          <w:rFonts w:ascii="Arial" w:cs="Arial" w:eastAsia="Arial" w:hAnsi="Arial"/>
          <w:sz w:val="18"/>
          <w:szCs w:val="18"/>
          <w:b w:val="1"/>
          <w:bCs w:val="1"/>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right="420" w:firstLine="464"/>
        <w:spacing w:after="0" w:line="266" w:lineRule="auto"/>
        <w:tabs>
          <w:tab w:leader="none" w:pos="711"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Incentive Award Agreements, the Company shall at all times ensure that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satisfy such Incentive Awards will be available for transfer to or subscription by the beneficiaries of such Incentive Awards, by keeping such shares available, maintaining the required conditional capital or otherwise.</w:t>
      </w:r>
    </w:p>
    <w:p>
      <w:pPr>
        <w:spacing w:after="0" w:line="176" w:lineRule="exact"/>
        <w:rPr>
          <w:rFonts w:ascii="Arial" w:cs="Arial" w:eastAsia="Arial" w:hAnsi="Arial"/>
          <w:sz w:val="18"/>
          <w:szCs w:val="18"/>
          <w:b w:val="1"/>
          <w:bCs w:val="1"/>
          <w:color w:val="auto"/>
        </w:rPr>
      </w:pPr>
    </w:p>
    <w:p>
      <w:pPr>
        <w:ind w:firstLine="464"/>
        <w:spacing w:after="0" w:line="295" w:lineRule="auto"/>
        <w:tabs>
          <w:tab w:leader="none" w:pos="721" w:val="left"/>
        </w:tabs>
        <w:numPr>
          <w:ilvl w:val="1"/>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shall seek to obtain from each regulatory commission or agency having jurisdiction over the Plan (if</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authority as may be required to grant Incentive Awards and to issue and sell Shares upon exercise of the Incentive Awards. If, after reasonable efforts, the Company is unable to obtain from any such regulatory commission or agency the authority that counsel for the Company deems necessary for the lawful issuance and sale of Shares under the Plan, the Company shall be relieved from any liability for failure to issue and sell Shares upon exercise of such Incentive Awards unless and until such authority is obtained. A Participant shall not be eligible for the grant of an Incentive Award or the subsequent issuance of Shares pursuant to the Incentive Award Agreement if such grant or issuance would be in violation of any applicable securities law.</w:t>
      </w:r>
    </w:p>
    <w:p>
      <w:pPr>
        <w:spacing w:after="0" w:line="155" w:lineRule="exact"/>
        <w:rPr>
          <w:rFonts w:ascii="Arial" w:cs="Arial" w:eastAsia="Arial" w:hAnsi="Arial"/>
          <w:sz w:val="16"/>
          <w:szCs w:val="16"/>
          <w:b w:val="1"/>
          <w:bCs w:val="1"/>
          <w:color w:val="auto"/>
        </w:rPr>
      </w:pPr>
    </w:p>
    <w:p>
      <w:pPr>
        <w:ind w:right="40" w:firstLine="464"/>
        <w:spacing w:after="0" w:line="281" w:lineRule="auto"/>
        <w:tabs>
          <w:tab w:leader="none" w:pos="701" w:val="left"/>
        </w:tabs>
        <w:numPr>
          <w:ilvl w:val="1"/>
          <w:numId w:val="3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w:t>
      </w:r>
      <w:r>
        <w:rPr>
          <w:rFonts w:ascii="Arial" w:cs="Arial" w:eastAsia="Arial" w:hAnsi="Arial"/>
          <w:sz w:val="17"/>
          <w:szCs w:val="17"/>
          <w:color w:val="auto"/>
        </w:rPr>
        <w:t>Except as otherwise provided herein, the Company shall have no duty or obligation to any Participant to advise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as to the time or manner of exercising such Incentive Award. Furthermore, the Company shall have no duty or obligation to warn or otherwise advise such Participant of a pending termination or expiration of an Incentive Award or a possible period in which the Incentive Award may not be exercised. The Company has no duty or obligation to minimize the tax consequences of an Incentive Award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498" w:name="page499"/>
    <w:bookmarkEnd w:id="498"/>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holder of such Incentive Award. The Participant is exclusively responsible for obtaining any and all information in connection with the Plan and/or an Incentive Award and in particular about the tax consequences the Participant has to bear in connection with the Plan and/or the Incentive Award. The Company has no obligation nor any responsibility towards him in this respect.</w:t>
      </w:r>
    </w:p>
    <w:p>
      <w:pPr>
        <w:spacing w:after="0" w:line="326"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464"/>
        <w:spacing w:after="0" w:line="255" w:lineRule="auto"/>
        <w:tabs>
          <w:tab w:leader="none" w:pos="711" w:val="left"/>
        </w:tabs>
        <w:numPr>
          <w:ilvl w:val="1"/>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No Participant shall be deemed to be the holder of, or to have any of the rights of a holder with respect to, any Shares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Incentive Award unless and until (i) such Participant has satisfied all requirements for exercise of the Share Award, or the issuance of Shares thereunder, pursuant to its terms including adherence to a shareholders’ agreement or an escrow agreement, in a form satisfactory to the Board, and (ii) the Shares have been registered in the Company’s share register in the name of the Participant (or of the Participant’s survivors, as the case may be); (iii) prior to the time of exercise the Participant (a) has not induced, solicited, aided or encouraged any employee of the Company to join any other business; (b) has not directly or indirectly used, disclosed or disseminated to any other person or entity, or otherwise has employed any confidential information (including but not limited to know-how) in any medium or form.</w:t>
      </w:r>
    </w:p>
    <w:p>
      <w:pPr>
        <w:spacing w:after="0" w:line="189" w:lineRule="exact"/>
        <w:rPr>
          <w:rFonts w:ascii="Arial" w:cs="Arial" w:eastAsia="Arial" w:hAnsi="Arial"/>
          <w:sz w:val="18"/>
          <w:szCs w:val="18"/>
          <w:b w:val="1"/>
          <w:bCs w:val="1"/>
          <w:color w:val="auto"/>
        </w:rPr>
      </w:pPr>
    </w:p>
    <w:p>
      <w:pPr>
        <w:ind w:firstLine="464"/>
        <w:spacing w:after="0" w:line="287" w:lineRule="auto"/>
        <w:tabs>
          <w:tab w:leader="none" w:pos="721" w:val="left"/>
        </w:tabs>
        <w:numPr>
          <w:ilvl w:val="1"/>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The Company may, without any liability, provide Participants with basic guidelines of the tax consequences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each Participant must consult his or her personal tax advisor regarding his or her specific circumstances which may vary depending, among other things, on his or her domicile and his or her position as Participant under the Plan. The Company has no obligation nor any responsibility towards him in this respect. The Participant shall be responsible and pay, and the Participant shall indemnify and hold the Company harmless in respect of all tax liabilities (including income taxes, capital or wealth taxes, stamp duties, both on the issuance and on the transfer of shares, withholding taxes, taxes withheld at source, value added taxes and all other taxes, duties, levies or imposts payable to any competent taxing authority in any jurisdiction, as well as any interest, penalties, costs and expenses reasonably related thereto) reasonably related to the Plan, in particular with the grant, holding, vesting and/or exercise of Incentive Awards and/or issuance and/or transfer of Shares. However, the stamp duty on issuance of the Shares shall be borne by the Company. Any social security contributions levied at the grant, at the vesting or at the exercise of any Incentive Awards and/or delivery and/or transfer of Shares shall be borne by the Company and the Participant as provided by law. The Company shall have the right, at its discretion, to deduct from any payment made to the Participant under any title, or to claim repayment from the Participant who hereby formally acknowledges his/her debt in this respect of, or to retain the delivery of any shares due upon exercise until payment or repayment by the Participant of, or to sell any shares due upon exercise and set off the gain resulting of the sale against, all amounts to be borne by the Participant such as employee social contributions or tax liabilities as hereabove defined.</w:t>
      </w:r>
    </w:p>
    <w:p>
      <w:pPr>
        <w:spacing w:after="0" w:line="164" w:lineRule="exact"/>
        <w:rPr>
          <w:rFonts w:ascii="Arial" w:cs="Arial" w:eastAsia="Arial" w:hAnsi="Arial"/>
          <w:sz w:val="16"/>
          <w:szCs w:val="16"/>
          <w:b w:val="1"/>
          <w:bCs w:val="1"/>
          <w:color w:val="auto"/>
        </w:rPr>
      </w:pPr>
    </w:p>
    <w:p>
      <w:pPr>
        <w:ind w:left="5620" w:right="60" w:hanging="5156"/>
        <w:spacing w:after="0" w:line="454" w:lineRule="auto"/>
        <w:tabs>
          <w:tab w:leader="none" w:pos="705" w:val="left"/>
        </w:tabs>
        <w:numPr>
          <w:ilvl w:val="1"/>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99" w:name="page500"/>
    <w:bookmarkEnd w:id="499"/>
    <w:p>
      <w:pPr>
        <w:ind w:right="100" w:firstLine="464"/>
        <w:spacing w:after="0" w:line="266" w:lineRule="auto"/>
        <w:tabs>
          <w:tab w:leader="none" w:pos="721"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right of Continued Employment/Contractual Relationship. </w:t>
      </w:r>
      <w:r>
        <w:rPr>
          <w:rFonts w:ascii="Arial" w:cs="Arial" w:eastAsia="Arial" w:hAnsi="Arial"/>
          <w:sz w:val="18"/>
          <w:szCs w:val="18"/>
          <w:color w:val="auto"/>
        </w:rPr>
        <w:t>Neither the establishment of the Plan, nor any Incentive Award Agreement, nor</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of any dividends, nor any action of the Company shall be held or construed to confer upon any Participant any legal right to continue to be employed by the Company or to remain in a contractual relationship with the Company.</w:t>
      </w:r>
    </w:p>
    <w:p>
      <w:pPr>
        <w:spacing w:after="0" w:line="176" w:lineRule="exact"/>
        <w:rPr>
          <w:rFonts w:ascii="Arial" w:cs="Arial" w:eastAsia="Arial" w:hAnsi="Arial"/>
          <w:sz w:val="18"/>
          <w:szCs w:val="18"/>
          <w:b w:val="1"/>
          <w:bCs w:val="1"/>
          <w:color w:val="auto"/>
        </w:rPr>
      </w:pPr>
    </w:p>
    <w:p>
      <w:pPr>
        <w:ind w:right="20" w:firstLine="464"/>
        <w:spacing w:after="0" w:line="261" w:lineRule="auto"/>
        <w:tabs>
          <w:tab w:leader="none" w:pos="701"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Should any of the provisions of this Plan become, or be held to be, in whole or in part, invalid, ineffective or unenforceable,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shall remain in full force and effect. Any invalid, ineffective or unenforceable provision will be deemed to be automatically amended and replaced by valid, effective and enforceable provisions, which accomplish as far as possible the purpose and intent of this Plan with respect to the invalid, ineffective or unenforceable provision.</w:t>
      </w:r>
    </w:p>
    <w:p>
      <w:pPr>
        <w:spacing w:after="0" w:line="180" w:lineRule="exact"/>
        <w:rPr>
          <w:rFonts w:ascii="Arial" w:cs="Arial" w:eastAsia="Arial" w:hAnsi="Arial"/>
          <w:sz w:val="18"/>
          <w:szCs w:val="18"/>
          <w:b w:val="1"/>
          <w:bCs w:val="1"/>
          <w:color w:val="auto"/>
        </w:rPr>
      </w:pPr>
    </w:p>
    <w:p>
      <w:pPr>
        <w:ind w:right="60" w:firstLine="464"/>
        <w:spacing w:after="0" w:line="295" w:lineRule="auto"/>
        <w:tabs>
          <w:tab w:leader="none" w:pos="681"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Participant’s personal data. </w:t>
      </w:r>
      <w:r>
        <w:rPr>
          <w:rFonts w:ascii="Arial" w:cs="Arial" w:eastAsia="Arial" w:hAnsi="Arial"/>
          <w:sz w:val="16"/>
          <w:szCs w:val="16"/>
          <w:color w:val="auto"/>
        </w:rPr>
        <w:t>By participating in this Plan, the Participant authorizes the Company and/or any person or entity authorized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connection with the implementation or administration of this Plan, as often as the Company or any such other person or entity may deem necessary for the purpose of implementing or administering the Plan, and to the full extent permitted by, and in full compliance with, applicable law, to access, store or process any personal data relevant to the Plan relating to the Participant. To the extent permitted by applicable law, neither the Company, nor any other person or entity authorized by the Company in connection with the implementation or administration of this Plan, will be liable for any loss or damage, whether direct, indirect or consequential, incurred by the Participant as a result of any use of the Participant’s personal data pursuant to this Section.</w:t>
      </w:r>
    </w:p>
    <w:p>
      <w:pPr>
        <w:spacing w:after="0" w:line="304"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sake of clarity, the following provisions are subject to the powers of the Board provided for in Section 2 and in particular Section 2(b).</w:t>
      </w:r>
    </w:p>
    <w:p>
      <w:pPr>
        <w:spacing w:after="0" w:line="221" w:lineRule="exact"/>
        <w:rPr>
          <w:sz w:val="20"/>
          <w:szCs w:val="20"/>
          <w:color w:val="auto"/>
        </w:rPr>
      </w:pPr>
    </w:p>
    <w:p>
      <w:pPr>
        <w:ind w:right="280" w:firstLine="464"/>
        <w:spacing w:after="0" w:line="274" w:lineRule="auto"/>
        <w:tabs>
          <w:tab w:leader="none" w:pos="711"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any share capital increase, issuance of new option rights, reduction of the share capital with</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of capital contributions, share split, combination of shares or any other corporate transaction or event having similar effect, the number of Options granted to a Participant hereunder and not previously exercised may be appropriately increased or decreased proportionately, and appropriate adjustments shall be made in the Exercise Price, in the par value of the Shares and/or in the number of Shares covered by outstanding Options in order to prevent dilution or enlargement of the rights of the Participant that has been granted Options that he has not already exercised. The Board may make such adjustments, and its determination shall be final, binding and conclusive.</w:t>
      </w:r>
    </w:p>
    <w:p>
      <w:pPr>
        <w:spacing w:after="0" w:line="173" w:lineRule="exact"/>
        <w:rPr>
          <w:rFonts w:ascii="Arial" w:cs="Arial" w:eastAsia="Arial" w:hAnsi="Arial"/>
          <w:sz w:val="17"/>
          <w:szCs w:val="17"/>
          <w:b w:val="1"/>
          <w:bCs w:val="1"/>
          <w:color w:val="auto"/>
        </w:rPr>
      </w:pPr>
    </w:p>
    <w:p>
      <w:pPr>
        <w:ind w:firstLine="464"/>
        <w:spacing w:after="0" w:line="274" w:lineRule="auto"/>
        <w:tabs>
          <w:tab w:leader="none" w:pos="721"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with Liquidation</w:t>
      </w:r>
      <w:r>
        <w:rPr>
          <w:rFonts w:ascii="Arial" w:cs="Arial" w:eastAsia="Arial" w:hAnsi="Arial"/>
          <w:sz w:val="17"/>
          <w:szCs w:val="17"/>
          <w:color w:val="auto"/>
        </w:rPr>
        <w:t>. Except as otherwise provided in the Option Award Agreement, in the event of a dissolution with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Option Awards which as of such date shall not have been exercised shall terminate immediately prior to the completion of such dissolution with liquidation. The Board may, in its sole discretion, cause some or all Option Awards to become fully vested, exercisable and/or no longer subject to repurchase or forfeiture (to the extent such Option Awards have not previously expired or terminated) before the dissolution with liquidation is completed but contingent on its completion. The Shares subject to the Company’s repurchase rights or subject to a forfeiture condition may be repurchased or reacquired by the Company notwithstanding the fact that the holder of such Shares is providing Continuous Service.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0" w:right="299" w:bottom="1440" w:gutter="0" w:footer="0" w:header="0"/>
        </w:sectPr>
      </w:pPr>
    </w:p>
    <w:bookmarkStart w:id="500" w:name="page501"/>
    <w:bookmarkEnd w:id="500"/>
    <w:p>
      <w:pPr>
        <w:ind w:left="-20" w:right="320" w:firstLine="464"/>
        <w:spacing w:after="0" w:line="266" w:lineRule="auto"/>
        <w:tabs>
          <w:tab w:leader="none" w:pos="681"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Corporate Transaction. </w:t>
      </w:r>
      <w:r>
        <w:rPr>
          <w:rFonts w:ascii="Arial" w:cs="Arial" w:eastAsia="Arial" w:hAnsi="Arial"/>
          <w:sz w:val="18"/>
          <w:szCs w:val="18"/>
          <w:color w:val="auto"/>
        </w:rPr>
        <w:t>The following provisions shall in principle apply to Incentive Awards in the event of a Corporate Transaction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 Incentive Award Agreement or any other written agreement between the Company or any Affiliate and the Participant or unless otherwise expressly provided by the Board at the time of grant of an Incentive Award.</w:t>
      </w:r>
    </w:p>
    <w:p>
      <w:pPr>
        <w:spacing w:after="0" w:line="68" w:lineRule="exact"/>
        <w:rPr>
          <w:rFonts w:ascii="Arial" w:cs="Arial" w:eastAsia="Arial" w:hAnsi="Arial"/>
          <w:sz w:val="18"/>
          <w:szCs w:val="18"/>
          <w:b w:val="1"/>
          <w:bCs w:val="1"/>
          <w:color w:val="auto"/>
        </w:rPr>
      </w:pPr>
    </w:p>
    <w:p>
      <w:pPr>
        <w:ind w:left="-20" w:right="120" w:firstLine="921"/>
        <w:spacing w:after="0" w:line="292" w:lineRule="auto"/>
        <w:tabs>
          <w:tab w:leader="none" w:pos="1108" w:val="left"/>
        </w:tabs>
        <w:numPr>
          <w:ilvl w:val="1"/>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Awards May Be Assumed. </w:t>
      </w:r>
      <w:r>
        <w:rPr>
          <w:rFonts w:ascii="Arial" w:cs="Arial" w:eastAsia="Arial" w:hAnsi="Arial"/>
          <w:sz w:val="16"/>
          <w:szCs w:val="16"/>
          <w:color w:val="auto"/>
        </w:rPr>
        <w:t>Except as otherwise stated in the Option Award Agreement, in the event of a Corporate Transaction,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corporation or acquiring corporation (or the surviving or acquiring corporation’s parent company) may assume or continue any or all Option Awards outstanding under the Plan or may substitute similar option awards and/or fair compensation for Option Awards outstanding under the Plan, and any reacquisition or repurchase rights held by the Company in respect of Shares issued pursuant to Incentive Awards may be assigned by the Company to the successor of the Company (or the successor’s parent company, if any), in connection with such Corporate Transaction. A surviving corporation or acquiring corporation (or its parent) may choose to assume or continue only a portion of an Option Award or substitute a similar option award for only a portion of an Option Award. The terms of any assumption, continuation or substitution shall be set by the Board in accordance with the provisions of Section 2.</w:t>
      </w:r>
    </w:p>
    <w:p>
      <w:pPr>
        <w:spacing w:after="0" w:line="53" w:lineRule="exact"/>
        <w:rPr>
          <w:rFonts w:ascii="Arial" w:cs="Arial" w:eastAsia="Arial" w:hAnsi="Arial"/>
          <w:sz w:val="16"/>
          <w:szCs w:val="16"/>
          <w:b w:val="1"/>
          <w:bCs w:val="1"/>
          <w:color w:val="auto"/>
        </w:rPr>
      </w:pPr>
    </w:p>
    <w:p>
      <w:pPr>
        <w:ind w:left="-20" w:firstLine="921"/>
        <w:spacing w:after="0" w:line="269" w:lineRule="auto"/>
        <w:tabs>
          <w:tab w:leader="none" w:pos="1158" w:val="left"/>
        </w:tabs>
        <w:numPr>
          <w:ilvl w:val="1"/>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Awards Held by Current Participants. </w:t>
      </w:r>
      <w:r>
        <w:rPr>
          <w:rFonts w:ascii="Arial" w:cs="Arial" w:eastAsia="Arial" w:hAnsi="Arial"/>
          <w:sz w:val="17"/>
          <w:szCs w:val="17"/>
          <w:color w:val="auto"/>
        </w:rPr>
        <w:t>Except as otherwise stated in the Option Award Agreement, in the event of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which the surviving corporation or acquiring corporation (or its parent company) does not assume or continue such outstanding Option Awards or substitute similar option awards for such outstanding Option Awards, then with respect to Option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i w:val="1"/>
          <w:iCs w:val="1"/>
          <w:color w:val="auto"/>
        </w:rPr>
        <w:t>Current Participants</w:t>
      </w:r>
      <w:r>
        <w:rPr>
          <w:rFonts w:ascii="Arial" w:cs="Arial" w:eastAsia="Arial" w:hAnsi="Arial"/>
          <w:sz w:val="17"/>
          <w:szCs w:val="17"/>
          <w:color w:val="auto"/>
        </w:rPr>
        <w:t>”), the Vesting of such Option Awards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Option Awards shall terminate if not exercised (if applicable) at or prior to the effective time of the Corporate Transaction, and any reacquisition or repurchase rights held by the Company with respect to such Option Awards shall lapse (contingent upon the effectiveness of the Corporate Transaction). In such case, no later than thirty (30) days before the expected closing of the Corporate Transaction, the Board shall deliver to all holders of Option Awards that could be exercised a notice advising such holders of the occurrence of the Corporate Transaction. Within ten (10) days from the date of such notice, the holders of Option Awards that could be exercised may exercise such Option Awards in accordance with the applicable procedure.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69" w:right="259" w:bottom="1440" w:gutter="0" w:footer="0" w:header="0"/>
        </w:sectPr>
      </w:pPr>
    </w:p>
    <w:bookmarkStart w:id="501" w:name="page502"/>
    <w:bookmarkEnd w:id="501"/>
    <w:p>
      <w:pPr>
        <w:ind w:left="-20" w:firstLine="921"/>
        <w:spacing w:after="0" w:line="272" w:lineRule="auto"/>
        <w:tabs>
          <w:tab w:leader="none" w:pos="1208" w:val="left"/>
        </w:tabs>
        <w:numPr>
          <w:ilvl w:val="1"/>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Option Awards Held by Persons other than Current Participants. </w:t>
      </w:r>
      <w:r>
        <w:rPr>
          <w:rFonts w:ascii="Arial" w:cs="Arial" w:eastAsia="Arial" w:hAnsi="Arial"/>
          <w:sz w:val="17"/>
          <w:szCs w:val="17"/>
          <w:color w:val="auto"/>
        </w:rPr>
        <w:t>Except as otherwise stated in the Option Award Agreement,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event of a Corporate Transaction in which the surviving corporation or acquiring corporation (or its parent company) does not assume or continue such outstanding Option Awards or substitute similar option awards for such outstanding Option Awards, then with respect to Option Awards that have not been assumed, continued or substituted and that are held by persons other than Current Participants, the vesting of such Option Awards (and, if applicable, the time at which such Share Award may be exercised) shall not be accelerated and such Option Awards (other than a Option Award consisting of vested and outstanding Shares not subject to the Company’s right of repurchase) shall terminate if not exercised (if applicable) prior to the effective time of the Corporate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reacquisition or repurchase rights held by the Company with respect to such Option Awards shall not terminate and may continue to be exercised notwithstanding the Corporate Transaction.</w:t>
      </w:r>
    </w:p>
    <w:p>
      <w:pPr>
        <w:spacing w:after="0" w:line="64" w:lineRule="exact"/>
        <w:rPr>
          <w:rFonts w:ascii="Arial" w:cs="Arial" w:eastAsia="Arial" w:hAnsi="Arial"/>
          <w:sz w:val="17"/>
          <w:szCs w:val="17"/>
          <w:b w:val="1"/>
          <w:bCs w:val="1"/>
          <w:color w:val="auto"/>
        </w:rPr>
      </w:pPr>
    </w:p>
    <w:p>
      <w:pPr>
        <w:ind w:left="-20" w:right="20" w:firstLine="921"/>
        <w:spacing w:after="0" w:line="258" w:lineRule="auto"/>
        <w:tabs>
          <w:tab w:leader="none" w:pos="1198" w:val="left"/>
        </w:tabs>
        <w:numPr>
          <w:ilvl w:val="1"/>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for Option Awards in Lieu of Exercise. </w:t>
      </w:r>
      <w:r>
        <w:rPr>
          <w:rFonts w:ascii="Arial" w:cs="Arial" w:eastAsia="Arial" w:hAnsi="Arial"/>
          <w:sz w:val="18"/>
          <w:szCs w:val="18"/>
          <w:color w:val="auto"/>
        </w:rPr>
        <w:t>Notwithstanding the foregoing, in the event an Option Award will terminate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the effective time of a Corporate Transaction, the Board may provide, in its sole discretion, that the holder of such Option Award may not exercise such Option Award but will receive a payment, in such form as may be determined by the Board, equal in value to the excess, if any, of (A) the Fair Market Value of the Shares the Participant would have received upon the exercise of the Option Award, over (B) any Exercise Price payable by such holder in connection with such exercise.</w:t>
      </w:r>
    </w:p>
    <w:p>
      <w:pPr>
        <w:spacing w:after="0" w:line="75" w:lineRule="exact"/>
        <w:rPr>
          <w:rFonts w:ascii="Arial" w:cs="Arial" w:eastAsia="Arial" w:hAnsi="Arial"/>
          <w:sz w:val="18"/>
          <w:szCs w:val="18"/>
          <w:b w:val="1"/>
          <w:bCs w:val="1"/>
          <w:color w:val="auto"/>
        </w:rPr>
      </w:pPr>
    </w:p>
    <w:p>
      <w:pPr>
        <w:ind w:left="-20" w:right="20" w:firstLine="921"/>
        <w:spacing w:after="0" w:line="261" w:lineRule="auto"/>
        <w:tabs>
          <w:tab w:leader="none" w:pos="1148" w:val="left"/>
        </w:tabs>
        <w:numPr>
          <w:ilvl w:val="1"/>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Awards. </w:t>
      </w:r>
      <w:r>
        <w:rPr>
          <w:rFonts w:ascii="Arial" w:cs="Arial" w:eastAsia="Arial" w:hAnsi="Arial"/>
          <w:sz w:val="18"/>
          <w:szCs w:val="18"/>
          <w:color w:val="auto"/>
        </w:rPr>
        <w:t>Except as otherwise stated in the Share Award Agreement, in the event of a Corporate Transaction, any repurchase rights held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respect of Shares issued pursuant to Share Award Agreements may be assigned by the Company to the successor of the Company (or the successor’s parent company, if any), in connection with such Corporate Transaction. The Board may also decide to terminate any repurchase right and/or any transferability restrictions provided for in Share Award Agreements</w:t>
      </w:r>
    </w:p>
    <w:p>
      <w:pPr>
        <w:spacing w:after="0" w:line="180" w:lineRule="exact"/>
        <w:rPr>
          <w:rFonts w:ascii="Arial" w:cs="Arial" w:eastAsia="Arial" w:hAnsi="Arial"/>
          <w:sz w:val="18"/>
          <w:szCs w:val="18"/>
          <w:b w:val="1"/>
          <w:bCs w:val="1"/>
          <w:color w:val="auto"/>
        </w:rPr>
      </w:pPr>
    </w:p>
    <w:p>
      <w:pPr>
        <w:ind w:left="-20" w:right="40" w:firstLine="464"/>
        <w:spacing w:after="0" w:line="266" w:lineRule="auto"/>
        <w:tabs>
          <w:tab w:leader="none" w:pos="701"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IPO. </w:t>
      </w:r>
      <w:r>
        <w:rPr>
          <w:rFonts w:ascii="Arial" w:cs="Arial" w:eastAsia="Arial" w:hAnsi="Arial"/>
          <w:sz w:val="18"/>
          <w:szCs w:val="18"/>
          <w:color w:val="auto"/>
        </w:rPr>
        <w:t>The following provisions shall in principle apply to Incentive Awards in the event of an IPO unless otherwise provided in the Incentive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other written agreement between the Company or any Affiliate and the holder of the Incentive Award or unless otherwise expressly provided by the Board at the time of grant of an Incentive Award.</w:t>
      </w:r>
    </w:p>
    <w:p>
      <w:pPr>
        <w:spacing w:after="0" w:line="68" w:lineRule="exact"/>
        <w:rPr>
          <w:rFonts w:ascii="Arial" w:cs="Arial" w:eastAsia="Arial" w:hAnsi="Arial"/>
          <w:sz w:val="18"/>
          <w:szCs w:val="18"/>
          <w:b w:val="1"/>
          <w:bCs w:val="1"/>
          <w:color w:val="auto"/>
        </w:rPr>
      </w:pPr>
    </w:p>
    <w:p>
      <w:pPr>
        <w:ind w:left="-20" w:right="240" w:firstLine="921"/>
        <w:spacing w:after="0" w:line="295" w:lineRule="auto"/>
        <w:tabs>
          <w:tab w:leader="none" w:pos="1108" w:val="left"/>
        </w:tabs>
        <w:numPr>
          <w:ilvl w:val="1"/>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Awards. </w:t>
      </w:r>
      <w:r>
        <w:rPr>
          <w:rFonts w:ascii="Arial" w:cs="Arial" w:eastAsia="Arial" w:hAnsi="Arial"/>
          <w:sz w:val="16"/>
          <w:szCs w:val="16"/>
          <w:color w:val="auto"/>
        </w:rPr>
        <w:t>On or before an IPO, the Board may determine that all vested Options and/or unvested Options shall become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fully vested and must be exercised. In such case, no later than thirty (30) days before the expected date of the IPO, the Board shall deliver to all holders of Options a notice advising such holders of the occurrence of the IPO (the “IPO Notice”). The IPO Notice shall be sent by e-mail and registered mail. Within ten (10) days from the date of the IPO Notice (the “IPO Exercise Deadline”), the holders of Options may exercise such Options in accordance with the procedure set forth in Section 4(d). Options that are not exercised within the IPO Exercise Deadline shall lapse and be automatically discontinued and forfeited and the Company shall have no further obligation with regard to such unexercised Options under the Plan or the Option Award Agreement.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69" w:right="239" w:bottom="1440" w:gutter="0" w:footer="0" w:header="0"/>
        </w:sectPr>
      </w:pPr>
    </w:p>
    <w:bookmarkStart w:id="502" w:name="page503"/>
    <w:bookmarkEnd w:id="502"/>
    <w:p>
      <w:pPr>
        <w:ind w:right="280" w:firstLine="921"/>
        <w:spacing w:after="0" w:line="282" w:lineRule="auto"/>
        <w:tabs>
          <w:tab w:leader="none" w:pos="1178" w:val="left"/>
        </w:tabs>
        <w:numPr>
          <w:ilvl w:val="2"/>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Awards. </w:t>
      </w:r>
      <w:r>
        <w:rPr>
          <w:rFonts w:ascii="Arial" w:cs="Arial" w:eastAsia="Arial" w:hAnsi="Arial"/>
          <w:sz w:val="18"/>
          <w:szCs w:val="18"/>
          <w:color w:val="auto"/>
        </w:rPr>
        <w:t>Except as otherwise stated in the Share Award Agreement, in the event of an IPO, the Board may decide to terminate 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right and/or any transferability restrictions provided for in Share Award Agreements.</w:t>
      </w:r>
    </w:p>
    <w:p>
      <w:pPr>
        <w:spacing w:after="0" w:line="310" w:lineRule="exact"/>
        <w:rPr>
          <w:rFonts w:ascii="Arial" w:cs="Arial" w:eastAsia="Arial" w:hAnsi="Arial"/>
          <w:sz w:val="18"/>
          <w:szCs w:val="18"/>
          <w:b w:val="1"/>
          <w:bCs w:val="1"/>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80" w:firstLine="464"/>
        <w:spacing w:after="0" w:line="266" w:lineRule="auto"/>
        <w:tabs>
          <w:tab w:leader="none" w:pos="711" w:val="left"/>
        </w:tabs>
        <w:numPr>
          <w:ilvl w:val="1"/>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on the day before the tenth (10th) anniversary of the Effective Date. No Incentive Awards may be granted under the Plan while the Plan is suspended or after it is terminated.</w:t>
      </w:r>
    </w:p>
    <w:p>
      <w:pPr>
        <w:spacing w:after="0" w:line="176" w:lineRule="exact"/>
        <w:rPr>
          <w:rFonts w:ascii="Arial" w:cs="Arial" w:eastAsia="Arial" w:hAnsi="Arial"/>
          <w:sz w:val="18"/>
          <w:szCs w:val="18"/>
          <w:b w:val="1"/>
          <w:bCs w:val="1"/>
          <w:color w:val="auto"/>
        </w:rPr>
      </w:pPr>
    </w:p>
    <w:p>
      <w:pPr>
        <w:ind w:right="80" w:firstLine="464"/>
        <w:spacing w:after="0" w:line="266" w:lineRule="auto"/>
        <w:tabs>
          <w:tab w:leader="none" w:pos="721" w:val="left"/>
        </w:tabs>
        <w:numPr>
          <w:ilvl w:val="1"/>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Incentive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(1) with the written consent of the affected Participant or (2) the aggregate economic value of the Incentive Awards held by the Participant has not decreased as a result of such suspension or termination.</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shall become effective on the Effective Date.</w:t>
      </w:r>
    </w:p>
    <w:p>
      <w:pPr>
        <w:spacing w:after="0" w:line="370"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 AND</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URISDICTION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law of Switzerland shall govern all questions concerning the construction, validity and interpretation of this Plan, without regard to its conflict of laws rules.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dispute arising under or in connection with the Plan shall be of the competence of the ordinary courts of Lausanne (Switzerland).</w:t>
      </w:r>
    </w:p>
    <w:p>
      <w:pPr>
        <w:spacing w:after="0" w:line="370"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121" w:lineRule="exact"/>
        <w:rPr>
          <w:rFonts w:ascii="Arial" w:cs="Arial" w:eastAsia="Arial" w:hAnsi="Arial"/>
          <w:sz w:val="18"/>
          <w:szCs w:val="18"/>
          <w:b w:val="1"/>
          <w:bCs w:val="1"/>
          <w:color w:val="auto"/>
        </w:rPr>
      </w:pPr>
    </w:p>
    <w:p>
      <w:pPr>
        <w:ind w:right="460" w:firstLine="464"/>
        <w:spacing w:after="0" w:line="277" w:lineRule="auto"/>
        <w:tabs>
          <w:tab w:leader="none" w:pos="711" w:val="left"/>
        </w:tabs>
        <w:numPr>
          <w:ilvl w:val="1"/>
          <w:numId w:val="3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at the time of determination, any entity that owns or controls, is owned or controlled by, or is under common ownership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the Company.</w:t>
      </w:r>
    </w:p>
    <w:p>
      <w:pPr>
        <w:spacing w:after="0" w:line="170" w:lineRule="exact"/>
        <w:rPr>
          <w:rFonts w:ascii="Arial" w:cs="Arial" w:eastAsia="Arial" w:hAnsi="Arial"/>
          <w:sz w:val="18"/>
          <w:szCs w:val="18"/>
          <w:b w:val="1"/>
          <w:bCs w:val="1"/>
          <w:color w:val="auto"/>
        </w:rPr>
      </w:pPr>
    </w:p>
    <w:p>
      <w:pPr>
        <w:ind w:left="720" w:hanging="256"/>
        <w:spacing w:after="0"/>
        <w:tabs>
          <w:tab w:leader="none" w:pos="720" w:val="left"/>
        </w:tabs>
        <w:numPr>
          <w:ilvl w:val="1"/>
          <w:numId w:val="3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“Articles of Incorporation” </w:t>
      </w:r>
      <w:r>
        <w:rPr>
          <w:rFonts w:ascii="Arial" w:cs="Arial" w:eastAsia="Arial" w:hAnsi="Arial"/>
          <w:sz w:val="18"/>
          <w:szCs w:val="18"/>
          <w:color w:val="auto"/>
        </w:rPr>
        <w:t>mean the articles of incorporation of the Company, as amended from time to time.</w:t>
      </w:r>
    </w:p>
    <w:p>
      <w:pPr>
        <w:spacing w:after="0" w:line="225" w:lineRule="exact"/>
        <w:rPr>
          <w:rFonts w:ascii="Arial" w:cs="Arial" w:eastAsia="Arial" w:hAnsi="Arial"/>
          <w:sz w:val="18"/>
          <w:szCs w:val="18"/>
          <w:b w:val="1"/>
          <w:bCs w:val="1"/>
          <w:color w:val="auto"/>
        </w:rPr>
      </w:pPr>
    </w:p>
    <w:p>
      <w:pPr>
        <w:ind w:firstLine="464"/>
        <w:spacing w:after="0" w:line="277" w:lineRule="auto"/>
        <w:tabs>
          <w:tab w:leader="none" w:pos="701" w:val="left"/>
        </w:tabs>
        <w:numPr>
          <w:ilvl w:val="1"/>
          <w:numId w:val="3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or, if the Board has elected to delegate all or part of its powers under the Plan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Section 2 (a) hereof, the person to which such powers have been delegated.</w:t>
      </w:r>
    </w:p>
    <w:p>
      <w:pPr>
        <w:spacing w:after="0" w:line="170" w:lineRule="exact"/>
        <w:rPr>
          <w:rFonts w:ascii="Arial" w:cs="Arial" w:eastAsia="Arial" w:hAnsi="Arial"/>
          <w:sz w:val="18"/>
          <w:szCs w:val="18"/>
          <w:b w:val="1"/>
          <w:bCs w:val="1"/>
          <w:color w:val="auto"/>
        </w:rPr>
      </w:pPr>
    </w:p>
    <w:p>
      <w:pPr>
        <w:ind w:right="60" w:firstLine="464"/>
        <w:spacing w:after="0" w:line="276" w:lineRule="auto"/>
        <w:tabs>
          <w:tab w:leader="none" w:pos="721" w:val="left"/>
        </w:tabs>
        <w:numPr>
          <w:ilvl w:val="1"/>
          <w:numId w:val="3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“Capitalization Adjustment” </w:t>
      </w:r>
      <w:r>
        <w:rPr>
          <w:rFonts w:ascii="Arial" w:cs="Arial" w:eastAsia="Arial" w:hAnsi="Arial"/>
          <w:sz w:val="17"/>
          <w:szCs w:val="17"/>
          <w:color w:val="auto"/>
        </w:rPr>
        <w:t>means any change that is made in, or other events that occur with respect to, the Shares subject to the Plan or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any Option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Notwithstanding the foregoing, the conversion of any convertible securities of the Company shall not be treated as a Capitalization Adjustment.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0" w:right="299" w:bottom="1440" w:gutter="0" w:footer="0" w:header="0"/>
        </w:sectPr>
      </w:pPr>
    </w:p>
    <w:bookmarkStart w:id="503" w:name="page504"/>
    <w:bookmarkEnd w:id="503"/>
    <w:p>
      <w:pPr>
        <w:ind w:right="40" w:firstLine="464"/>
        <w:spacing w:after="0" w:line="270" w:lineRule="auto"/>
        <w:tabs>
          <w:tab w:leader="none" w:pos="701"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“Cause” </w:t>
      </w:r>
      <w:r>
        <w:rPr>
          <w:rFonts w:ascii="Arial" w:cs="Arial" w:eastAsia="Arial" w:hAnsi="Arial"/>
          <w:sz w:val="17"/>
          <w:szCs w:val="17"/>
          <w:color w:val="auto"/>
        </w:rPr>
        <w:t>shall refer to the reason for termination and is met if (i) the Participant induces, solicits, aids or encourages any employee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join any other business; (ii) the Participant directly or indirectly uses, discloses or disseminates to any other person or entity, or otherwise employs any confidential information (including but not limited to know-how) in any medium or form; (iii) the Participants operates a business for his/her own account which competes the Company, or works for or participates in a direct competitor of the Company; or (iv) the Participants has been terminated for justified motives (“</w:t>
      </w:r>
      <w:r>
        <w:rPr>
          <w:rFonts w:ascii="Arial" w:cs="Arial" w:eastAsia="Arial" w:hAnsi="Arial"/>
          <w:sz w:val="17"/>
          <w:szCs w:val="17"/>
          <w:i w:val="1"/>
          <w:iCs w:val="1"/>
          <w:color w:val="auto"/>
        </w:rPr>
        <w:t>justes motifs</w:t>
      </w:r>
      <w:r>
        <w:rPr>
          <w:rFonts w:ascii="Arial" w:cs="Arial" w:eastAsia="Arial" w:hAnsi="Arial"/>
          <w:sz w:val="17"/>
          <w:szCs w:val="17"/>
          <w:color w:val="auto"/>
        </w:rPr>
        <w:t>”) as referred to by Article 337 CO (applied by analogy to the agreements with Directors as the case may be) as to justify immediate termination of service.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Incentive Awards held by such Participant shall have no effect upon any determination of the rights or obligations of the Company or such Participant for any other purpose.</w:t>
      </w:r>
    </w:p>
    <w:p>
      <w:pPr>
        <w:spacing w:after="0" w:line="181" w:lineRule="exact"/>
        <w:rPr>
          <w:rFonts w:ascii="Arial" w:cs="Arial" w:eastAsia="Arial" w:hAnsi="Arial"/>
          <w:sz w:val="17"/>
          <w:szCs w:val="17"/>
          <w:b w:val="1"/>
          <w:bCs w:val="1"/>
          <w:color w:val="auto"/>
        </w:rPr>
      </w:pPr>
    </w:p>
    <w:p>
      <w:pPr>
        <w:ind w:left="680" w:hanging="216"/>
        <w:spacing w:after="0"/>
        <w:tabs>
          <w:tab w:leader="none" w:pos="68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 </w:t>
      </w:r>
      <w:r>
        <w:rPr>
          <w:rFonts w:ascii="Arial" w:cs="Arial" w:eastAsia="Arial" w:hAnsi="Arial"/>
          <w:sz w:val="18"/>
          <w:szCs w:val="18"/>
          <w:color w:val="auto"/>
        </w:rPr>
        <w:t>means the Swiss Code of Obligations.</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AC Immune SA (AC Immune AG) (AC Immune Ltd), in Ecublens, Switzerland.</w:t>
      </w:r>
    </w:p>
    <w:p>
      <w:pPr>
        <w:spacing w:after="0" w:line="225" w:lineRule="exact"/>
        <w:rPr>
          <w:rFonts w:ascii="Arial" w:cs="Arial" w:eastAsia="Arial" w:hAnsi="Arial"/>
          <w:sz w:val="18"/>
          <w:szCs w:val="18"/>
          <w:b w:val="1"/>
          <w:bCs w:val="1"/>
          <w:color w:val="auto"/>
        </w:rPr>
      </w:pPr>
    </w:p>
    <w:p>
      <w:pPr>
        <w:ind w:firstLine="464"/>
        <w:spacing w:after="0" w:line="288" w:lineRule="auto"/>
        <w:tabs>
          <w:tab w:leader="none" w:pos="721"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“Continuous Service” </w:t>
      </w:r>
      <w:r>
        <w:rPr>
          <w:rFonts w:ascii="Arial" w:cs="Arial" w:eastAsia="Arial" w:hAnsi="Arial"/>
          <w:sz w:val="16"/>
          <w:szCs w:val="16"/>
          <w:color w:val="auto"/>
        </w:rPr>
        <w:t>means that the Participant’s service with the Company or an Affiliate, whether as an Employee or Director, is not interrupted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terminated. A change in the capacity in which the Participant renders service to the Company or an Affiliate as an Employee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Director of an Affiliate shall not constitute an interruption of Continuous Service. To the extent permitted by law, the Board, in its sole discretion, may determine whether Continuous Service shall be considered interrupted in the case of any leave of absence approved by the Board or chief executive officer,. Notwithstanding the foregoing, a leave of absence shall be treated as Continuous Service for purposes of vesting in an Option Award only to such extent as may be provided in the Company’s leave of absence policy, in the written terms of any leave of absence agreement or policy applicable to the Participant, or as otherwise required by law.</w:t>
      </w:r>
    </w:p>
    <w:p>
      <w:pPr>
        <w:spacing w:after="0" w:line="169" w:lineRule="exact"/>
        <w:rPr>
          <w:rFonts w:ascii="Arial" w:cs="Arial" w:eastAsia="Arial" w:hAnsi="Arial"/>
          <w:sz w:val="16"/>
          <w:szCs w:val="16"/>
          <w:b w:val="1"/>
          <w:bCs w:val="1"/>
          <w:color w:val="auto"/>
        </w:rPr>
      </w:pPr>
    </w:p>
    <w:p>
      <w:pPr>
        <w:ind w:left="680" w:hanging="216"/>
        <w:spacing w:after="0"/>
        <w:tabs>
          <w:tab w:leader="none" w:pos="680"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“Corporate Transaction” </w:t>
      </w:r>
      <w:r>
        <w:rPr>
          <w:rFonts w:ascii="Arial" w:cs="Arial" w:eastAsia="Arial" w:hAnsi="Arial"/>
          <w:sz w:val="16"/>
          <w:szCs w:val="16"/>
          <w:color w:val="auto"/>
        </w:rPr>
        <w:t>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504" w:name="page505"/>
    <w:bookmarkEnd w:id="504"/>
    <w:p>
      <w:pPr>
        <w:ind w:left="-20" w:right="320" w:firstLine="921"/>
        <w:spacing w:after="0" w:line="277" w:lineRule="auto"/>
        <w:tabs>
          <w:tab w:leader="none" w:pos="1108"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completion of a sale or other disposition of all or substantially all, as determined by the Board in its sole discretion, of the assets of the Company and its subsidiaries;</w:t>
      </w:r>
    </w:p>
    <w:p>
      <w:pPr>
        <w:spacing w:after="0" w:line="62" w:lineRule="exact"/>
        <w:rPr>
          <w:rFonts w:ascii="Arial" w:cs="Arial" w:eastAsia="Arial" w:hAnsi="Arial"/>
          <w:sz w:val="18"/>
          <w:szCs w:val="18"/>
          <w:b w:val="1"/>
          <w:bCs w:val="1"/>
          <w:color w:val="auto"/>
        </w:rPr>
      </w:pPr>
    </w:p>
    <w:p>
      <w:pPr>
        <w:ind w:left="1160" w:hanging="259"/>
        <w:spacing w:after="0"/>
        <w:tabs>
          <w:tab w:leader="none" w:pos="1160"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the completion of a sale or other disposition of at least ninety percent (90%) of the outstanding Shares of the Company;</w:t>
      </w:r>
    </w:p>
    <w:p>
      <w:pPr>
        <w:spacing w:after="0" w:line="117" w:lineRule="exact"/>
        <w:rPr>
          <w:rFonts w:ascii="Arial" w:cs="Arial" w:eastAsia="Arial" w:hAnsi="Arial"/>
          <w:sz w:val="18"/>
          <w:szCs w:val="18"/>
          <w:b w:val="1"/>
          <w:bCs w:val="1"/>
          <w:color w:val="auto"/>
        </w:rPr>
      </w:pPr>
    </w:p>
    <w:p>
      <w:pPr>
        <w:ind w:left="1220" w:hanging="319"/>
        <w:spacing w:after="0"/>
        <w:tabs>
          <w:tab w:leader="none" w:pos="1220"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the completion of a merger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left="-20" w:right="140" w:firstLine="921"/>
        <w:spacing w:after="0" w:line="264" w:lineRule="auto"/>
        <w:tabs>
          <w:tab w:leader="none" w:pos="1198"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the completion of a merger or similar transaction following which the Company is the surviving corporation but the shares of the Company outstanding immediately preceding the merger or similar transaction are converted or exchanged by virtue of the merger or similar transaction into other property, whether in the form of securities, cash or otherwise.</w:t>
      </w:r>
    </w:p>
    <w:p>
      <w:pPr>
        <w:spacing w:after="0" w:line="181" w:lineRule="exact"/>
        <w:rPr>
          <w:rFonts w:ascii="Arial" w:cs="Arial" w:eastAsia="Arial" w:hAnsi="Arial"/>
          <w:sz w:val="18"/>
          <w:szCs w:val="18"/>
          <w:b w:val="1"/>
          <w:bCs w:val="1"/>
          <w:color w:val="auto"/>
        </w:rPr>
      </w:pPr>
    </w:p>
    <w:p>
      <w:pPr>
        <w:ind w:left="660" w:hanging="216"/>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left="-20" w:firstLine="464"/>
        <w:spacing w:after="0" w:line="286" w:lineRule="auto"/>
        <w:tabs>
          <w:tab w:leader="none" w:pos="701"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“Disability” </w:t>
      </w:r>
      <w:r>
        <w:rPr>
          <w:rFonts w:ascii="Arial" w:cs="Arial" w:eastAsia="Arial" w:hAnsi="Arial"/>
          <w:sz w:val="17"/>
          <w:szCs w:val="17"/>
          <w:color w:val="auto"/>
        </w:rPr>
        <w:t>means permanent and total disability as defined under the Swiss federal law on invalidity insurance (LAI). The occurrence of disability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date hereof shall be determined by the Board on the basis of such medical evidence as the Board deems warranted under the circumstances. If requested, the Participant shall be examined by a physician selected or approved by the Company, at the Company’s costs.</w:t>
      </w:r>
    </w:p>
    <w:p>
      <w:pPr>
        <w:spacing w:after="0" w:line="165" w:lineRule="exact"/>
        <w:rPr>
          <w:rFonts w:ascii="Arial" w:cs="Arial" w:eastAsia="Arial" w:hAnsi="Arial"/>
          <w:sz w:val="17"/>
          <w:szCs w:val="17"/>
          <w:b w:val="1"/>
          <w:bCs w:val="1"/>
          <w:color w:val="auto"/>
        </w:rPr>
      </w:pPr>
    </w:p>
    <w:p>
      <w:pPr>
        <w:ind w:left="660" w:hanging="216"/>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the effective date of this Plan, which is the date this Plan is adopted by the Board.</w:t>
      </w:r>
    </w:p>
    <w:p>
      <w:pPr>
        <w:spacing w:after="0" w:line="225" w:lineRule="exact"/>
        <w:rPr>
          <w:rFonts w:ascii="Arial" w:cs="Arial" w:eastAsia="Arial" w:hAnsi="Arial"/>
          <w:sz w:val="18"/>
          <w:szCs w:val="18"/>
          <w:b w:val="1"/>
          <w:bCs w:val="1"/>
          <w:color w:val="auto"/>
        </w:rPr>
      </w:pPr>
    </w:p>
    <w:p>
      <w:pPr>
        <w:ind w:left="-20" w:right="460" w:firstLine="464"/>
        <w:spacing w:after="0" w:line="277" w:lineRule="auto"/>
        <w:tabs>
          <w:tab w:leader="none" w:pos="751"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700" w:hanging="256"/>
        <w:spacing w:after="0"/>
        <w:tabs>
          <w:tab w:leader="none" w:pos="70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700" w:hanging="256"/>
        <w:spacing w:after="0"/>
        <w:tabs>
          <w:tab w:leader="none" w:pos="70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means the price per share paid by the Optionholder to purchase the Share covered by the Option.</w:t>
      </w:r>
    </w:p>
    <w:p>
      <w:pPr>
        <w:spacing w:after="0" w:line="225" w:lineRule="exact"/>
        <w:rPr>
          <w:rFonts w:ascii="Arial" w:cs="Arial" w:eastAsia="Arial" w:hAnsi="Arial"/>
          <w:sz w:val="18"/>
          <w:szCs w:val="18"/>
          <w:b w:val="1"/>
          <w:bCs w:val="1"/>
          <w:color w:val="auto"/>
        </w:rPr>
      </w:pPr>
    </w:p>
    <w:p>
      <w:pPr>
        <w:ind w:left="700" w:hanging="256"/>
        <w:spacing w:after="0"/>
        <w:tabs>
          <w:tab w:leader="none" w:pos="70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as of any date either of the following:</w:t>
      </w:r>
    </w:p>
    <w:p>
      <w:pPr>
        <w:spacing w:after="0" w:line="117" w:lineRule="exact"/>
        <w:rPr>
          <w:rFonts w:ascii="Arial" w:cs="Arial" w:eastAsia="Arial" w:hAnsi="Arial"/>
          <w:sz w:val="18"/>
          <w:szCs w:val="18"/>
          <w:b w:val="1"/>
          <w:bCs w:val="1"/>
          <w:color w:val="auto"/>
        </w:rPr>
      </w:pPr>
    </w:p>
    <w:p>
      <w:pPr>
        <w:ind w:left="-20" w:right="120" w:firstLine="921"/>
        <w:spacing w:after="0" w:line="264" w:lineRule="auto"/>
        <w:tabs>
          <w:tab w:leader="none" w:pos="1108"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If the Shares of the Company are listed on a stock exchange and sales prices of the Shares are regularly reported, either the average of the closing or last prices of the Share for the ten (10) consecutive trading days immediately preceding the applicable date or the closing or last price of the Share for the trading day immediately preceding the applicable date, as the Board shall determine.</w:t>
      </w:r>
    </w:p>
    <w:p>
      <w:pPr>
        <w:spacing w:after="0" w:line="73" w:lineRule="exact"/>
        <w:rPr>
          <w:rFonts w:ascii="Arial" w:cs="Arial" w:eastAsia="Arial" w:hAnsi="Arial"/>
          <w:sz w:val="18"/>
          <w:szCs w:val="18"/>
          <w:b w:val="1"/>
          <w:bCs w:val="1"/>
          <w:color w:val="auto"/>
        </w:rPr>
      </w:pPr>
    </w:p>
    <w:p>
      <w:pPr>
        <w:ind w:left="-20" w:right="80" w:firstLine="921"/>
        <w:spacing w:after="0" w:line="264" w:lineRule="auto"/>
        <w:tabs>
          <w:tab w:leader="none" w:pos="1158"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If Shares of the Company are not listed on a stock exchange, but an increase of the share capital of the Company has taken place during the twelve months preceding the applicable date (last financing round), the highest price per Share paid by external investors to subscribe shares at such increase of the share capital.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505" w:name="page506"/>
    <w:bookmarkEnd w:id="505"/>
    <w:p>
      <w:pPr>
        <w:ind w:right="60" w:firstLine="921"/>
        <w:spacing w:after="0" w:line="277" w:lineRule="auto"/>
        <w:tabs>
          <w:tab w:leader="none" w:pos="1228"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 Corporate Transaction being (i) a sale of a majority of the then outstanding shares in the Company: the highest price per Share paid by the acquirer as of the closing of the sale; (ii) a merger: the value per Share used to set the exchange ratio.</w:t>
      </w:r>
    </w:p>
    <w:p>
      <w:pPr>
        <w:spacing w:after="0" w:line="62" w:lineRule="exact"/>
        <w:rPr>
          <w:rFonts w:ascii="Arial" w:cs="Arial" w:eastAsia="Arial" w:hAnsi="Arial"/>
          <w:sz w:val="18"/>
          <w:szCs w:val="18"/>
          <w:b w:val="1"/>
          <w:bCs w:val="1"/>
          <w:color w:val="auto"/>
        </w:rPr>
      </w:pPr>
    </w:p>
    <w:p>
      <w:pPr>
        <w:ind w:left="1220" w:hanging="299"/>
        <w:spacing w:after="0"/>
        <w:tabs>
          <w:tab w:leader="none" w:pos="1220"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In all other cases, such value as the Board, in good faith, shall determine.</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“Incentive Award” </w:t>
      </w:r>
      <w:r>
        <w:rPr>
          <w:rFonts w:ascii="Arial" w:cs="Arial" w:eastAsia="Arial" w:hAnsi="Arial"/>
          <w:sz w:val="16"/>
          <w:szCs w:val="16"/>
          <w:color w:val="auto"/>
        </w:rPr>
        <w:t>means any right to receive Options and/or Shares granted under the Plan, including an Option Award and a Share Award.</w:t>
      </w:r>
    </w:p>
    <w:p>
      <w:pPr>
        <w:spacing w:after="0" w:line="248" w:lineRule="exact"/>
        <w:rPr>
          <w:rFonts w:ascii="Arial" w:cs="Arial" w:eastAsia="Arial" w:hAnsi="Arial"/>
          <w:sz w:val="16"/>
          <w:szCs w:val="16"/>
          <w:b w:val="1"/>
          <w:bCs w:val="1"/>
          <w:color w:val="auto"/>
        </w:rPr>
      </w:pPr>
    </w:p>
    <w:p>
      <w:pPr>
        <w:ind w:firstLine="464"/>
        <w:spacing w:after="0" w:line="264" w:lineRule="auto"/>
        <w:tabs>
          <w:tab w:leader="none" w:pos="701"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“Incentive Award Agreement” </w:t>
      </w:r>
      <w:r>
        <w:rPr>
          <w:rFonts w:ascii="Arial" w:cs="Arial" w:eastAsia="Arial" w:hAnsi="Arial"/>
          <w:sz w:val="18"/>
          <w:szCs w:val="18"/>
          <w:color w:val="auto"/>
        </w:rPr>
        <w:t>means a written agreement between the Company and a Participant evidencing the terms and conditions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Award grant, including an Option Award and a Share Award. Each Option Award Agreement and each Share Award Agreement shall be subject to the terms and conditions of the Plan.</w:t>
      </w:r>
    </w:p>
    <w:p>
      <w:pPr>
        <w:spacing w:after="0" w:line="181" w:lineRule="exact"/>
        <w:rPr>
          <w:rFonts w:ascii="Arial" w:cs="Arial" w:eastAsia="Arial" w:hAnsi="Arial"/>
          <w:sz w:val="18"/>
          <w:szCs w:val="18"/>
          <w:b w:val="1"/>
          <w:bCs w:val="1"/>
          <w:color w:val="auto"/>
        </w:rPr>
      </w:pPr>
    </w:p>
    <w:p>
      <w:pPr>
        <w:ind w:firstLine="464"/>
        <w:spacing w:after="0" w:line="342" w:lineRule="auto"/>
        <w:tabs>
          <w:tab w:leader="none" w:pos="691"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“IPO” </w:t>
      </w:r>
      <w:r>
        <w:rPr>
          <w:rFonts w:ascii="Arial" w:cs="Arial" w:eastAsia="Arial" w:hAnsi="Arial"/>
          <w:sz w:val="16"/>
          <w:szCs w:val="16"/>
          <w:color w:val="auto"/>
        </w:rPr>
        <w:t>meaning the first public offering of shares of the Company on any European or U.S. stock exchange or automated quotation system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operated by the National Association of Securities Dealers in the U.S., by the Swiss Stock Exchange (SIX) or by any European equivalent.</w:t>
      </w:r>
    </w:p>
    <w:p>
      <w:pPr>
        <w:spacing w:after="0" w:line="123" w:lineRule="exact"/>
        <w:rPr>
          <w:rFonts w:ascii="Arial" w:cs="Arial" w:eastAsia="Arial" w:hAnsi="Arial"/>
          <w:sz w:val="16"/>
          <w:szCs w:val="16"/>
          <w:b w:val="1"/>
          <w:bCs w:val="1"/>
          <w:color w:val="auto"/>
        </w:rPr>
      </w:pPr>
    </w:p>
    <w:p>
      <w:pPr>
        <w:ind w:left="680" w:hanging="216"/>
        <w:spacing w:after="0"/>
        <w:tabs>
          <w:tab w:leader="none" w:pos="68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“IPO Exercise Deadline” </w:t>
      </w:r>
      <w:r>
        <w:rPr>
          <w:rFonts w:ascii="Arial" w:cs="Arial" w:eastAsia="Arial" w:hAnsi="Arial"/>
          <w:sz w:val="18"/>
          <w:szCs w:val="18"/>
          <w:color w:val="auto"/>
        </w:rPr>
        <w:t>shall have the meaning set forth in Section 8(d).</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“IPO Notice” </w:t>
      </w:r>
      <w:r>
        <w:rPr>
          <w:rFonts w:ascii="Arial" w:cs="Arial" w:eastAsia="Arial" w:hAnsi="Arial"/>
          <w:sz w:val="18"/>
          <w:szCs w:val="18"/>
          <w:color w:val="auto"/>
        </w:rPr>
        <w:t>shall have the meaning set forth in Section 8(d).</w:t>
      </w:r>
    </w:p>
    <w:p>
      <w:pPr>
        <w:spacing w:after="0" w:line="225" w:lineRule="exact"/>
        <w:rPr>
          <w:rFonts w:ascii="Arial" w:cs="Arial" w:eastAsia="Arial" w:hAnsi="Arial"/>
          <w:sz w:val="18"/>
          <w:szCs w:val="18"/>
          <w:b w:val="1"/>
          <w:bCs w:val="1"/>
          <w:color w:val="auto"/>
        </w:rPr>
      </w:pPr>
    </w:p>
    <w:p>
      <w:pPr>
        <w:ind w:right="80" w:firstLine="464"/>
        <w:spacing w:after="0" w:line="264" w:lineRule="auto"/>
        <w:tabs>
          <w:tab w:leader="none" w:pos="711"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the right of the recipient, on exercise thereof in accordance with the provisions of the Plan and the applicable Incentive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subscribe or purchase one registered share of the Company with a par value of CHF 5.- at a specified Exercise Price. Each Option entitles to subscribe or purchase one Share.</w:t>
      </w:r>
    </w:p>
    <w:p>
      <w:pPr>
        <w:spacing w:after="0" w:line="181" w:lineRule="exact"/>
        <w:rPr>
          <w:rFonts w:ascii="Arial" w:cs="Arial" w:eastAsia="Arial" w:hAnsi="Arial"/>
          <w:sz w:val="18"/>
          <w:szCs w:val="18"/>
          <w:b w:val="1"/>
          <w:bCs w:val="1"/>
          <w:color w:val="auto"/>
        </w:rPr>
      </w:pPr>
    </w:p>
    <w:p>
      <w:pPr>
        <w:ind w:right="220" w:firstLine="464"/>
        <w:spacing w:after="0" w:line="277" w:lineRule="auto"/>
        <w:tabs>
          <w:tab w:leader="none" w:pos="751"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Award Agreement” </w:t>
      </w:r>
      <w:r>
        <w:rPr>
          <w:rFonts w:ascii="Arial" w:cs="Arial" w:eastAsia="Arial" w:hAnsi="Arial"/>
          <w:sz w:val="18"/>
          <w:szCs w:val="18"/>
          <w:color w:val="auto"/>
        </w:rPr>
        <w:t>means a written agreement between the Company and an Optionholder evidencing the terms and conditions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Award grant. Each Option Agreement shall be subject to the terms and conditions of the Plan.</w:t>
      </w:r>
    </w:p>
    <w:p>
      <w:pPr>
        <w:spacing w:after="0" w:line="170" w:lineRule="exact"/>
        <w:rPr>
          <w:rFonts w:ascii="Arial" w:cs="Arial" w:eastAsia="Arial" w:hAnsi="Arial"/>
          <w:sz w:val="18"/>
          <w:szCs w:val="18"/>
          <w:b w:val="1"/>
          <w:bCs w:val="1"/>
          <w:color w:val="auto"/>
        </w:rPr>
      </w:pPr>
    </w:p>
    <w:p>
      <w:pPr>
        <w:ind w:left="720" w:hanging="256"/>
        <w:spacing w:after="0"/>
        <w:tabs>
          <w:tab w:leader="none" w:pos="72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Award” </w:t>
      </w:r>
      <w:r>
        <w:rPr>
          <w:rFonts w:ascii="Arial" w:cs="Arial" w:eastAsia="Arial" w:hAnsi="Arial"/>
          <w:sz w:val="18"/>
          <w:szCs w:val="18"/>
          <w:color w:val="auto"/>
        </w:rPr>
        <w:t>means an award of Options which is granted pursuant to the terms and conditions of Section 4.</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“Optionholder” </w:t>
      </w:r>
      <w:r>
        <w:rPr>
          <w:rFonts w:ascii="Arial" w:cs="Arial" w:eastAsia="Arial" w:hAnsi="Arial"/>
          <w:sz w:val="16"/>
          <w:szCs w:val="16"/>
          <w:color w:val="auto"/>
        </w:rPr>
        <w:t>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b w:val="1"/>
          <w:bCs w:val="1"/>
          <w:color w:val="auto"/>
        </w:rPr>
      </w:pPr>
    </w:p>
    <w:p>
      <w:pPr>
        <w:ind w:right="580" w:firstLine="464"/>
        <w:spacing w:after="0" w:line="277" w:lineRule="auto"/>
        <w:tabs>
          <w:tab w:leader="none" w:pos="701"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 person to whom a Incentive Award is granted pursuant to the Plan or, if applicable, such other person who holds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Incentive Award.</w:t>
      </w:r>
    </w:p>
    <w:p>
      <w:pPr>
        <w:spacing w:after="0" w:line="170" w:lineRule="exact"/>
        <w:rPr>
          <w:sz w:val="20"/>
          <w:szCs w:val="20"/>
          <w:color w:val="auto"/>
        </w:rPr>
      </w:pPr>
    </w:p>
    <w:p>
      <w:pPr>
        <w:ind w:left="800" w:hanging="336"/>
        <w:spacing w:after="0"/>
        <w:tabs>
          <w:tab w:leader="none" w:pos="80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AC Immune Ltd 2013 Equity Incentive Plan.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273" w:right="399" w:bottom="1440" w:gutter="0" w:footer="0" w:header="0"/>
        </w:sectPr>
      </w:pPr>
    </w:p>
    <w:bookmarkStart w:id="506" w:name="page507"/>
    <w:bookmarkEnd w:id="506"/>
    <w:p>
      <w:pPr>
        <w:ind w:left="820" w:hanging="356"/>
        <w:spacing w:after="0"/>
        <w:tabs>
          <w:tab w:leader="none" w:pos="82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w:t>
      </w:r>
      <w:r>
        <w:rPr>
          <w:rFonts w:ascii="Arial" w:cs="Arial" w:eastAsia="Arial" w:hAnsi="Arial"/>
          <w:sz w:val="18"/>
          <w:szCs w:val="18"/>
          <w:color w:val="auto"/>
        </w:rPr>
        <w:t>mean an ordinary registered share of the Company, with a nominal value of CHF 5.- each.</w:t>
      </w:r>
    </w:p>
    <w:p>
      <w:pPr>
        <w:spacing w:after="0" w:line="225" w:lineRule="exact"/>
        <w:rPr>
          <w:rFonts w:ascii="Arial" w:cs="Arial" w:eastAsia="Arial" w:hAnsi="Arial"/>
          <w:sz w:val="18"/>
          <w:szCs w:val="18"/>
          <w:b w:val="1"/>
          <w:bCs w:val="1"/>
          <w:color w:val="auto"/>
        </w:rPr>
      </w:pPr>
    </w:p>
    <w:p>
      <w:pPr>
        <w:ind w:left="780" w:hanging="316"/>
        <w:spacing w:after="0"/>
        <w:tabs>
          <w:tab w:leader="none" w:pos="78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“Share Award” </w:t>
      </w:r>
      <w:r>
        <w:rPr>
          <w:rFonts w:ascii="Arial" w:cs="Arial" w:eastAsia="Arial" w:hAnsi="Arial"/>
          <w:sz w:val="17"/>
          <w:szCs w:val="17"/>
          <w:color w:val="auto"/>
        </w:rPr>
        <w:t>means any right to receive Shares granted under the Plan.</w:t>
      </w:r>
    </w:p>
    <w:p>
      <w:pPr>
        <w:spacing w:after="0" w:line="236" w:lineRule="exact"/>
        <w:rPr>
          <w:rFonts w:ascii="Arial" w:cs="Arial" w:eastAsia="Arial" w:hAnsi="Arial"/>
          <w:sz w:val="17"/>
          <w:szCs w:val="17"/>
          <w:b w:val="1"/>
          <w:bCs w:val="1"/>
          <w:color w:val="auto"/>
        </w:rPr>
      </w:pPr>
    </w:p>
    <w:p>
      <w:pPr>
        <w:ind w:right="240" w:firstLine="464"/>
        <w:spacing w:after="0" w:line="277" w:lineRule="auto"/>
        <w:tabs>
          <w:tab w:leader="none" w:pos="821"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“Share Award Agreement” </w:t>
      </w:r>
      <w:r>
        <w:rPr>
          <w:rFonts w:ascii="Arial" w:cs="Arial" w:eastAsia="Arial" w:hAnsi="Arial"/>
          <w:sz w:val="18"/>
          <w:szCs w:val="18"/>
          <w:color w:val="auto"/>
        </w:rPr>
        <w:t>means a written agreement between the Company and a Participant evidencing the terms and conditions of a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 Each Share Award Agreement shall be subject to the terms and conditions of the Plan.</w:t>
      </w:r>
    </w:p>
    <w:p>
      <w:pPr>
        <w:spacing w:after="0" w:line="170" w:lineRule="exact"/>
        <w:rPr>
          <w:rFonts w:ascii="Arial" w:cs="Arial" w:eastAsia="Arial" w:hAnsi="Arial"/>
          <w:sz w:val="18"/>
          <w:szCs w:val="18"/>
          <w:b w:val="1"/>
          <w:bCs w:val="1"/>
          <w:color w:val="auto"/>
        </w:rPr>
      </w:pPr>
    </w:p>
    <w:p>
      <w:pPr>
        <w:ind w:left="780" w:hanging="316"/>
        <w:spacing w:after="0"/>
        <w:tabs>
          <w:tab w:leader="none" w:pos="78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“Shareholders’ Agreement” </w:t>
      </w:r>
      <w:r>
        <w:rPr>
          <w:rFonts w:ascii="Arial" w:cs="Arial" w:eastAsia="Arial" w:hAnsi="Arial"/>
          <w:sz w:val="17"/>
          <w:szCs w:val="17"/>
          <w:color w:val="auto"/>
        </w:rPr>
        <w:t>means the shareholder agreement signed by the company shareholders as amended from time to time.</w:t>
      </w:r>
    </w:p>
    <w:p>
      <w:pPr>
        <w:spacing w:after="0" w:line="232" w:lineRule="exact"/>
        <w:rPr>
          <w:rFonts w:ascii="Arial" w:cs="Arial" w:eastAsia="Arial" w:hAnsi="Arial"/>
          <w:sz w:val="17"/>
          <w:szCs w:val="17"/>
          <w:b w:val="1"/>
          <w:bCs w:val="1"/>
          <w:color w:val="auto"/>
        </w:rPr>
      </w:pPr>
    </w:p>
    <w:p>
      <w:pPr>
        <w:ind w:firstLine="464"/>
        <w:spacing w:after="0" w:line="282" w:lineRule="auto"/>
        <w:tabs>
          <w:tab w:leader="none" w:pos="741"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date on which an Option that has been granted to a Participant becomes fully exercisable (“vested”), the exercise hereof being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set forth in the Plan, in particular its Section 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AC Immune SA:</w:t>
            </w:r>
          </w:p>
        </w:tc>
        <w:tc>
          <w:tcPr>
            <w:tcW w:w="5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c>
          <w:tcPr>
            <w:tcW w:w="5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Andrea Pfeifer, CEO</w:t>
            </w:r>
          </w:p>
        </w:tc>
        <w:tc>
          <w:tcPr>
            <w:tcW w:w="5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Martin Velasco, Chairman</w:t>
            </w:r>
          </w:p>
        </w:tc>
        <w:tc>
          <w:tcPr>
            <w:tcW w:w="0" w:type="dxa"/>
            <w:vAlign w:val="bottom"/>
          </w:tcPr>
          <w:p>
            <w:pPr>
              <w:spacing w:after="0"/>
              <w:rPr>
                <w:sz w:val="1"/>
                <w:szCs w:val="1"/>
                <w:color w:val="auto"/>
              </w:rPr>
            </w:pPr>
          </w:p>
        </w:tc>
      </w:tr>
      <w:tr>
        <w:trPr>
          <w:trHeight w:val="1080"/>
        </w:trPr>
        <w:tc>
          <w:tcPr>
            <w:tcW w:w="4040" w:type="dxa"/>
            <w:vAlign w:val="bottom"/>
          </w:tcPr>
          <w:p>
            <w:pPr>
              <w:spacing w:after="0"/>
              <w:rPr>
                <w:sz w:val="20"/>
                <w:szCs w:val="20"/>
                <w:color w:val="auto"/>
              </w:rPr>
            </w:pPr>
            <w:r>
              <w:rPr>
                <w:rFonts w:ascii="Arial" w:cs="Arial" w:eastAsia="Arial" w:hAnsi="Arial"/>
                <w:sz w:val="18"/>
                <w:szCs w:val="18"/>
                <w:color w:val="auto"/>
              </w:rPr>
              <w:t>The Participant:</w:t>
            </w: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040" w:type="dxa"/>
            <w:vAlign w:val="bottom"/>
            <w:tcBorders>
              <w:bottom w:val="single" w:sz="8" w:color="auto"/>
            </w:tcBorders>
          </w:tcPr>
          <w:p>
            <w:pPr>
              <w:spacing w:after="0"/>
              <w:rPr>
                <w:sz w:val="24"/>
                <w:szCs w:val="24"/>
                <w:color w:val="auto"/>
              </w:rPr>
            </w:pPr>
          </w:p>
        </w:tc>
        <w:tc>
          <w:tcPr>
            <w:tcW w:w="4520" w:type="dxa"/>
            <w:vAlign w:val="bottom"/>
            <w:gridSpan w:val="2"/>
            <w:vMerge w:val="restart"/>
          </w:tcPr>
          <w:p>
            <w:pPr>
              <w:jc w:val="right"/>
              <w:ind w:right="26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4"/>
                <w:szCs w:val="24"/>
                <w:color w:val="auto"/>
              </w:rPr>
            </w:pPr>
          </w:p>
        </w:tc>
        <w:tc>
          <w:tcPr>
            <w:tcW w:w="4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b w:val="1"/>
          <w:bCs w:val="1"/>
          <w:color w:val="auto"/>
        </w:rPr>
        <w:t>Exhibit 10.8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made as of 16 October 2015</w:t>
      </w:r>
    </w:p>
    <w:p>
      <w:pPr>
        <w:spacing w:after="0" w:line="2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by and among</w:t>
      </w:r>
    </w:p>
    <w:p>
      <w:pPr>
        <w:spacing w:after="0" w:line="131" w:lineRule="exact"/>
        <w:rPr>
          <w:sz w:val="20"/>
          <w:szCs w:val="20"/>
          <w:color w:val="auto"/>
        </w:rPr>
      </w:pPr>
    </w:p>
    <w:p>
      <w:pPr>
        <w:ind w:left="466" w:right="6880" w:hanging="466"/>
        <w:spacing w:after="0" w:line="258" w:lineRule="auto"/>
        <w:tabs>
          <w:tab w:leader="none" w:pos="44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Fidelity Select Portfolios: Biotechnology Portfolio c/o Brown Brothers Harriman &amp; Co.</w:t>
      </w:r>
    </w:p>
    <w:p>
      <w:pPr>
        <w:spacing w:after="0" w:line="1" w:lineRule="exact"/>
        <w:rPr>
          <w:rFonts w:ascii="Arial" w:cs="Arial" w:eastAsia="Arial" w:hAnsi="Arial"/>
          <w:sz w:val="18"/>
          <w:szCs w:val="18"/>
          <w:color w:val="auto"/>
        </w:rPr>
      </w:pPr>
    </w:p>
    <w:p>
      <w:pPr>
        <w:jc w:val="both"/>
        <w:ind w:left="466" w:right="8940"/>
        <w:spacing w:after="0" w:line="255" w:lineRule="auto"/>
        <w:rPr>
          <w:rFonts w:ascii="Arial" w:cs="Arial" w:eastAsia="Arial" w:hAnsi="Arial"/>
          <w:sz w:val="18"/>
          <w:szCs w:val="18"/>
          <w:color w:val="auto"/>
        </w:rPr>
      </w:pPr>
      <w:r>
        <w:rPr>
          <w:rFonts w:ascii="Arial" w:cs="Arial" w:eastAsia="Arial" w:hAnsi="Arial"/>
          <w:sz w:val="18"/>
          <w:szCs w:val="18"/>
          <w:color w:val="auto"/>
        </w:rPr>
        <w:t>525 Washington Blvd Jersey City NJ 07310 USA</w:t>
      </w:r>
    </w:p>
    <w:p>
      <w:pPr>
        <w:spacing w:after="0" w:line="95" w:lineRule="exact"/>
        <w:rPr>
          <w:rFonts w:ascii="Arial" w:cs="Arial" w:eastAsia="Arial" w:hAnsi="Arial"/>
          <w:sz w:val="18"/>
          <w:szCs w:val="18"/>
          <w:color w:val="auto"/>
        </w:rPr>
      </w:pPr>
    </w:p>
    <w:p>
      <w:pPr>
        <w:ind w:left="466" w:right="5760" w:hanging="466"/>
        <w:spacing w:after="0" w:line="258" w:lineRule="auto"/>
        <w:tabs>
          <w:tab w:leader="none" w:pos="44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Fidelity Advisor Series VII: Fidelity Advisor Biotechnology Fund c/o State Street Bank &amp; Trust</w:t>
      </w:r>
    </w:p>
    <w:p>
      <w:pPr>
        <w:spacing w:after="0" w:line="1"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PO Box 5756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Boston, Massachusetts 02206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6" w:lineRule="exact"/>
        <w:rPr>
          <w:rFonts w:ascii="Arial" w:cs="Arial" w:eastAsia="Arial" w:hAnsi="Arial"/>
          <w:sz w:val="18"/>
          <w:szCs w:val="18"/>
          <w:color w:val="auto"/>
        </w:rPr>
      </w:pPr>
    </w:p>
    <w:p>
      <w:pPr>
        <w:ind w:left="466" w:right="5860" w:hanging="466"/>
        <w:spacing w:after="0" w:line="258" w:lineRule="auto"/>
        <w:tabs>
          <w:tab w:leader="none" w:pos="44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Fidelity Securities Fund: Fidelity Series Blue Chip Growth Fund c/o State Street Bank &amp; Trust</w:t>
      </w:r>
    </w:p>
    <w:p>
      <w:pPr>
        <w:spacing w:after="0" w:line="1"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PO Box 5756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Boston, Massachusetts 02206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6" w:lineRule="exact"/>
        <w:rPr>
          <w:rFonts w:ascii="Arial" w:cs="Arial" w:eastAsia="Arial" w:hAnsi="Arial"/>
          <w:sz w:val="18"/>
          <w:szCs w:val="18"/>
          <w:color w:val="auto"/>
        </w:rPr>
      </w:pPr>
    </w:p>
    <w:p>
      <w:pPr>
        <w:ind w:left="446" w:hanging="446"/>
        <w:spacing w:after="0"/>
        <w:tabs>
          <w:tab w:leader="none" w:pos="44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Fidelity Blue Chip Growth Commingled Pool</w:t>
      </w:r>
    </w:p>
    <w:p>
      <w:pPr>
        <w:spacing w:after="0" w:line="23" w:lineRule="exact"/>
        <w:rPr>
          <w:sz w:val="20"/>
          <w:szCs w:val="20"/>
          <w:color w:val="auto"/>
        </w:rPr>
      </w:pPr>
    </w:p>
    <w:p>
      <w:pPr>
        <w:ind w:left="466"/>
        <w:spacing w:after="0"/>
        <w:rPr>
          <w:sz w:val="20"/>
          <w:szCs w:val="20"/>
          <w:color w:val="auto"/>
        </w:rPr>
      </w:pPr>
      <w:r>
        <w:rPr>
          <w:rFonts w:ascii="Arial" w:cs="Arial" w:eastAsia="Arial" w:hAnsi="Arial"/>
          <w:sz w:val="18"/>
          <w:szCs w:val="18"/>
          <w:color w:val="auto"/>
        </w:rPr>
        <w:t>by Fidelity Management &amp; Trust Co.</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 Brown Brothers Harriman &amp; Co.</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jc w:val="both"/>
        <w:ind w:left="466" w:right="6480" w:hanging="466"/>
        <w:spacing w:after="0" w:line="256" w:lineRule="auto"/>
        <w:tabs>
          <w:tab w:leader="none" w:pos="44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Pyramis Lifecycle Blue Chip Growth Commingled Pool by Pyramis Global Advisors Trust Company, as Trustee c/o State Street Bank &amp; Trust</w:t>
      </w:r>
    </w:p>
    <w:p>
      <w:pPr>
        <w:ind w:left="466"/>
        <w:spacing w:after="0"/>
        <w:rPr>
          <w:rFonts w:ascii="Arial" w:cs="Arial" w:eastAsia="Arial" w:hAnsi="Arial"/>
          <w:sz w:val="18"/>
          <w:szCs w:val="18"/>
          <w:color w:val="auto"/>
        </w:rPr>
      </w:pPr>
      <w:r>
        <w:rPr>
          <w:rFonts w:ascii="Arial" w:cs="Arial" w:eastAsia="Arial" w:hAnsi="Arial"/>
          <w:sz w:val="18"/>
          <w:szCs w:val="18"/>
          <w:color w:val="auto"/>
        </w:rPr>
        <w:t>PO Box 5756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Boston, Massachusetts 02206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USA</w:t>
      </w:r>
    </w:p>
    <w:p>
      <w:pPr>
        <w:sectPr>
          <w:pgSz w:w="11900" w:h="16838" w:orient="portrait"/>
          <w:cols w:equalWidth="0" w:num="1">
            <w:col w:w="10966"/>
          </w:cols>
          <w:pgMar w:left="694" w:top="121" w:right="239" w:bottom="1440" w:gutter="0" w:footer="0" w:header="0"/>
        </w:sectPr>
      </w:pPr>
    </w:p>
    <w:bookmarkStart w:id="508" w:name="page509"/>
    <w:bookmarkEnd w:id="508"/>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hanging="446"/>
        <w:spacing w:after="0"/>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Fidelity Securities Fund: Fidelity Blue Chip Growth Fund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M.Gardiner &amp; Co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JPMorgan Chase Bank, N.A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35308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Newark, NJ 07101-8006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to 6. above collectively “</w:t>
      </w:r>
      <w:r>
        <w:rPr>
          <w:rFonts w:ascii="Arial" w:cs="Arial" w:eastAsia="Arial" w:hAnsi="Arial"/>
          <w:sz w:val="18"/>
          <w:szCs w:val="18"/>
          <w:b w:val="1"/>
          <w:bCs w:val="1"/>
          <w:color w:val="auto"/>
        </w:rPr>
        <w:t>Fidelity</w:t>
      </w:r>
      <w:r>
        <w:rPr>
          <w:rFonts w:ascii="Arial" w:cs="Arial" w:eastAsia="Arial" w:hAnsi="Arial"/>
          <w:sz w:val="18"/>
          <w:szCs w:val="18"/>
          <w:color w:val="auto"/>
        </w:rPr>
        <w:t>”)</w:t>
      </w:r>
    </w:p>
    <w:p>
      <w:pPr>
        <w:spacing w:after="0" w:line="229" w:lineRule="exact"/>
        <w:rPr>
          <w:sz w:val="20"/>
          <w:szCs w:val="20"/>
          <w:color w:val="auto"/>
        </w:rPr>
      </w:pPr>
    </w:p>
    <w:p>
      <w:pPr>
        <w:ind w:right="4000"/>
        <w:spacing w:after="0" w:line="277" w:lineRule="auto"/>
        <w:rPr>
          <w:sz w:val="20"/>
          <w:szCs w:val="20"/>
          <w:color w:val="auto"/>
        </w:rPr>
      </w:pPr>
      <w:r>
        <w:rPr>
          <w:rFonts w:ascii="Arial" w:cs="Arial" w:eastAsia="Arial" w:hAnsi="Arial"/>
          <w:sz w:val="18"/>
          <w:szCs w:val="18"/>
          <w:color w:val="auto"/>
        </w:rPr>
        <w:t>Other investors adhering to this Subscription Agreement through signing of the Adherence Declaration and accepted by the Company</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(together with Fidelity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each individually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 Switzerland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all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2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4"/>
                <w:szCs w:val="24"/>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CURRENT EQUITY STRUCTURE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160" w:type="dxa"/>
            <w:vAlign w:val="bottom"/>
          </w:tcPr>
          <w:p>
            <w:pPr>
              <w:ind w:left="60"/>
              <w:spacing w:after="0"/>
              <w:rPr>
                <w:sz w:val="20"/>
                <w:szCs w:val="20"/>
                <w:color w:val="auto"/>
              </w:rPr>
            </w:pPr>
            <w:r>
              <w:rPr>
                <w:rFonts w:ascii="Arial" w:cs="Arial" w:eastAsia="Arial" w:hAnsi="Arial"/>
                <w:sz w:val="18"/>
                <w:szCs w:val="18"/>
                <w:color w:val="auto"/>
              </w:rPr>
              <w:t>Share capital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160" w:type="dxa"/>
            <w:vAlign w:val="bottom"/>
          </w:tcPr>
          <w:p>
            <w:pPr>
              <w:ind w:left="60"/>
              <w:spacing w:after="0"/>
              <w:rPr>
                <w:sz w:val="20"/>
                <w:szCs w:val="20"/>
                <w:color w:val="auto"/>
              </w:rPr>
            </w:pPr>
            <w:r>
              <w:rPr>
                <w:rFonts w:ascii="Arial" w:cs="Arial" w:eastAsia="Arial" w:hAnsi="Arial"/>
                <w:sz w:val="18"/>
                <w:szCs w:val="18"/>
                <w:color w:val="auto"/>
              </w:rPr>
              <w:t>Articles of Association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INCREASE OF SHARE CAPITAL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60"/>
              <w:spacing w:after="0"/>
              <w:rPr>
                <w:sz w:val="20"/>
                <w:szCs w:val="20"/>
                <w:color w:val="auto"/>
              </w:rPr>
            </w:pPr>
            <w:r>
              <w:rPr>
                <w:rFonts w:ascii="Arial" w:cs="Arial" w:eastAsia="Arial" w:hAnsi="Arial"/>
                <w:sz w:val="18"/>
                <w:szCs w:val="18"/>
                <w:color w:val="auto"/>
              </w:rPr>
              <w:t>Subscription Undertaking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60"/>
              <w:spacing w:after="0"/>
              <w:rPr>
                <w:sz w:val="20"/>
                <w:szCs w:val="20"/>
                <w:color w:val="auto"/>
              </w:rPr>
            </w:pPr>
            <w:r>
              <w:rPr>
                <w:rFonts w:ascii="Arial" w:cs="Arial" w:eastAsia="Arial" w:hAnsi="Arial"/>
                <w:sz w:val="18"/>
                <w:szCs w:val="18"/>
                <w:color w:val="auto"/>
              </w:rPr>
              <w:t>Payment Undertaking at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passed by the Extraordinary General Meeting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of the Board</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OWNERSHIP STRUCTURE AFTER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CLOSING</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8160" w:type="dxa"/>
            <w:vAlign w:val="bottom"/>
          </w:tcPr>
          <w:p>
            <w:pPr>
              <w:ind w:left="60"/>
              <w:spacing w:after="0"/>
              <w:rPr>
                <w:sz w:val="20"/>
                <w:szCs w:val="20"/>
                <w:color w:val="auto"/>
              </w:rPr>
            </w:pPr>
            <w:r>
              <w:rPr>
                <w:rFonts w:ascii="Arial" w:cs="Arial" w:eastAsia="Arial" w:hAnsi="Arial"/>
                <w:sz w:val="18"/>
                <w:szCs w:val="18"/>
                <w:color w:val="auto"/>
              </w:rPr>
              <w:t>Place and Date of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5.2</w:t>
            </w:r>
          </w:p>
        </w:tc>
        <w:tc>
          <w:tcPr>
            <w:tcW w:w="8160" w:type="dxa"/>
            <w:vAlign w:val="bottom"/>
          </w:tcPr>
          <w:p>
            <w:pPr>
              <w:ind w:left="60"/>
              <w:spacing w:after="0"/>
              <w:rPr>
                <w:sz w:val="20"/>
                <w:szCs w:val="20"/>
                <w:color w:val="auto"/>
              </w:rPr>
            </w:pPr>
            <w:r>
              <w:rPr>
                <w:rFonts w:ascii="Arial" w:cs="Arial" w:eastAsia="Arial" w:hAnsi="Arial"/>
                <w:sz w:val="18"/>
                <w:szCs w:val="18"/>
                <w:color w:val="auto"/>
              </w:rPr>
              <w:t>Conditions Precedent to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8160" w:type="dxa"/>
            <w:vAlign w:val="bottom"/>
          </w:tcPr>
          <w:p>
            <w:pPr>
              <w:ind w:left="60"/>
              <w:spacing w:after="0"/>
              <w:rPr>
                <w:sz w:val="20"/>
                <w:szCs w:val="20"/>
                <w:color w:val="auto"/>
              </w:rPr>
            </w:pPr>
            <w:r>
              <w:rPr>
                <w:rFonts w:ascii="Arial" w:cs="Arial" w:eastAsia="Arial" w:hAnsi="Arial"/>
                <w:sz w:val="18"/>
                <w:szCs w:val="18"/>
                <w:color w:val="auto"/>
              </w:rPr>
              <w:t>Closing Actions for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TERMINATION AND RECISSION</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7.1</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7.2</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each Investor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7.3</w:t>
            </w:r>
          </w:p>
        </w:tc>
        <w:tc>
          <w:tcPr>
            <w:tcW w:w="8160" w:type="dxa"/>
            <w:vAlign w:val="bottom"/>
          </w:tcPr>
          <w:p>
            <w:pPr>
              <w:ind w:left="60"/>
              <w:spacing w:after="0"/>
              <w:rPr>
                <w:sz w:val="20"/>
                <w:szCs w:val="20"/>
                <w:color w:val="auto"/>
              </w:rPr>
            </w:pPr>
            <w:r>
              <w:rPr>
                <w:rFonts w:ascii="Arial" w:cs="Arial" w:eastAsia="Arial" w:hAnsi="Arial"/>
                <w:sz w:val="18"/>
                <w:szCs w:val="18"/>
                <w:color w:val="auto"/>
              </w:rPr>
              <w:t>Exclusive 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INDEMNIFICATION AND REMEDIES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of Breach (</w:t>
            </w:r>
            <w:r>
              <w:rPr>
                <w:rFonts w:ascii="Arial" w:cs="Arial" w:eastAsia="Arial" w:hAnsi="Arial"/>
                <w:sz w:val="18"/>
                <w:szCs w:val="18"/>
                <w:i w:val="1"/>
                <w:iCs w:val="1"/>
                <w:color w:val="auto"/>
              </w:rPr>
              <w:t>Rügefrist</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8.2</w:t>
            </w:r>
          </w:p>
        </w:tc>
        <w:tc>
          <w:tcPr>
            <w:tcW w:w="8160" w:type="dxa"/>
            <w:vAlign w:val="bottom"/>
          </w:tcPr>
          <w:p>
            <w:pPr>
              <w:ind w:left="60"/>
              <w:spacing w:after="0"/>
              <w:rPr>
                <w:sz w:val="20"/>
                <w:szCs w:val="20"/>
                <w:color w:val="auto"/>
              </w:rPr>
            </w:pPr>
            <w:r>
              <w:rPr>
                <w:rFonts w:ascii="Arial" w:cs="Arial" w:eastAsia="Arial" w:hAnsi="Arial"/>
                <w:sz w:val="18"/>
                <w:szCs w:val="18"/>
                <w:color w:val="auto"/>
              </w:rPr>
              <w:t>Time Limitations on Claims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8.3</w:t>
            </w:r>
          </w:p>
        </w:tc>
        <w:tc>
          <w:tcPr>
            <w:tcW w:w="8160" w:type="dxa"/>
            <w:vAlign w:val="bottom"/>
          </w:tcPr>
          <w:p>
            <w:pPr>
              <w:ind w:left="60"/>
              <w:spacing w:after="0"/>
              <w:rPr>
                <w:sz w:val="20"/>
                <w:szCs w:val="20"/>
                <w:color w:val="auto"/>
              </w:rPr>
            </w:pPr>
            <w:r>
              <w:rPr>
                <w:rFonts w:ascii="Arial" w:cs="Arial" w:eastAsia="Arial" w:hAnsi="Arial"/>
                <w:sz w:val="18"/>
                <w:szCs w:val="18"/>
                <w:color w:val="auto"/>
              </w:rPr>
              <w:t>Remedies for the Investors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8.4</w:t>
            </w:r>
          </w:p>
        </w:tc>
        <w:tc>
          <w:tcPr>
            <w:tcW w:w="8160" w:type="dxa"/>
            <w:vAlign w:val="bottom"/>
          </w:tcPr>
          <w:p>
            <w:pPr>
              <w:ind w:left="60"/>
              <w:spacing w:after="0"/>
              <w:rPr>
                <w:sz w:val="20"/>
                <w:szCs w:val="20"/>
                <w:color w:val="auto"/>
              </w:rPr>
            </w:pPr>
            <w:r>
              <w:rPr>
                <w:rFonts w:ascii="Arial" w:cs="Arial" w:eastAsia="Arial" w:hAnsi="Arial"/>
                <w:sz w:val="18"/>
                <w:szCs w:val="18"/>
                <w:color w:val="auto"/>
              </w:rPr>
              <w:t>Limitations on Liability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COVENANTS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9.1</w:t>
            </w:r>
          </w:p>
        </w:tc>
        <w:tc>
          <w:tcPr>
            <w:tcW w:w="8160" w:type="dxa"/>
            <w:vAlign w:val="bottom"/>
          </w:tcPr>
          <w:p>
            <w:pPr>
              <w:ind w:left="60"/>
              <w:spacing w:after="0"/>
              <w:rPr>
                <w:sz w:val="20"/>
                <w:szCs w:val="20"/>
                <w:color w:val="auto"/>
              </w:rPr>
            </w:pPr>
            <w:r>
              <w:rPr>
                <w:rFonts w:ascii="Arial" w:cs="Arial" w:eastAsia="Arial" w:hAnsi="Arial"/>
                <w:sz w:val="18"/>
                <w:szCs w:val="18"/>
                <w:color w:val="auto"/>
              </w:rPr>
              <w:t>Issuance of New Shares and Registration in the Share Register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9.2</w:t>
            </w:r>
          </w:p>
        </w:tc>
        <w:tc>
          <w:tcPr>
            <w:tcW w:w="8160" w:type="dxa"/>
            <w:vAlign w:val="bottom"/>
          </w:tcPr>
          <w:p>
            <w:pPr>
              <w:ind w:left="60"/>
              <w:spacing w:after="0"/>
              <w:rPr>
                <w:sz w:val="20"/>
                <w:szCs w:val="20"/>
                <w:color w:val="auto"/>
              </w:rPr>
            </w:pPr>
            <w:r>
              <w:rPr>
                <w:rFonts w:ascii="Arial" w:cs="Arial" w:eastAsia="Arial" w:hAnsi="Arial"/>
                <w:sz w:val="18"/>
                <w:szCs w:val="18"/>
                <w:color w:val="auto"/>
              </w:rPr>
              <w:t>Information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NATURE OF PARTIES’ RIGHTS AND OBLIGATIONS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w:t>
            </w:r>
          </w:p>
        </w:tc>
        <w:tc>
          <w:tcPr>
            <w:tcW w:w="81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11.2</w:t>
            </w:r>
          </w:p>
        </w:tc>
        <w:tc>
          <w:tcPr>
            <w:tcW w:w="8160" w:type="dxa"/>
            <w:vAlign w:val="bottom"/>
          </w:tcPr>
          <w:p>
            <w:pPr>
              <w:ind w:left="60"/>
              <w:spacing w:after="0"/>
              <w:rPr>
                <w:sz w:val="20"/>
                <w:szCs w:val="20"/>
                <w:color w:val="auto"/>
              </w:rPr>
            </w:pPr>
            <w:r>
              <w:rPr>
                <w:rFonts w:ascii="Arial" w:cs="Arial" w:eastAsia="Arial" w:hAnsi="Arial"/>
                <w:sz w:val="18"/>
                <w:szCs w:val="18"/>
                <w:color w:val="auto"/>
              </w:rPr>
              <w:t>Successors and Assignment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11.3</w:t>
            </w:r>
          </w:p>
        </w:tc>
        <w:tc>
          <w:tcPr>
            <w:tcW w:w="8160" w:type="dxa"/>
            <w:vAlign w:val="bottom"/>
          </w:tcPr>
          <w:p>
            <w:pPr>
              <w:ind w:left="60"/>
              <w:spacing w:after="0"/>
              <w:rPr>
                <w:sz w:val="20"/>
                <w:szCs w:val="20"/>
                <w:color w:val="auto"/>
              </w:rPr>
            </w:pPr>
            <w:r>
              <w:rPr>
                <w:rFonts w:ascii="Arial" w:cs="Arial" w:eastAsia="Arial" w:hAnsi="Arial"/>
                <w:sz w:val="18"/>
                <w:szCs w:val="18"/>
                <w:color w:val="auto"/>
              </w:rPr>
              <w:t>Costs and Expenses, Taxes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11.4</w:t>
            </w:r>
          </w:p>
        </w:tc>
        <w:tc>
          <w:tcPr>
            <w:tcW w:w="8160" w:type="dxa"/>
            <w:vAlign w:val="bottom"/>
          </w:tcPr>
          <w:p>
            <w:pPr>
              <w:ind w:left="6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11.5</w:t>
            </w:r>
          </w:p>
        </w:tc>
        <w:tc>
          <w:tcPr>
            <w:tcW w:w="81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11.6</w:t>
            </w:r>
          </w:p>
        </w:tc>
        <w:tc>
          <w:tcPr>
            <w:tcW w:w="81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8160" w:type="dxa"/>
            <w:vAlign w:val="bottom"/>
          </w:tcPr>
          <w:p>
            <w:pPr>
              <w:ind w:left="60"/>
              <w:spacing w:after="0"/>
              <w:rPr>
                <w:sz w:val="20"/>
                <w:szCs w:val="20"/>
                <w:color w:val="auto"/>
              </w:rPr>
            </w:pPr>
            <w:r>
              <w:rPr>
                <w:rFonts w:ascii="Arial" w:cs="Arial" w:eastAsia="Arial" w:hAnsi="Arial"/>
                <w:sz w:val="18"/>
                <w:szCs w:val="18"/>
                <w:color w:val="auto"/>
              </w:rPr>
              <w:t>Termination at IPO and Survival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11.8</w:t>
            </w:r>
          </w:p>
        </w:tc>
        <w:tc>
          <w:tcPr>
            <w:tcW w:w="81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11.9</w:t>
            </w:r>
          </w:p>
        </w:tc>
        <w:tc>
          <w:tcPr>
            <w:tcW w:w="8160" w:type="dxa"/>
            <w:vAlign w:val="bottom"/>
          </w:tcPr>
          <w:p>
            <w:pPr>
              <w:ind w:left="60"/>
              <w:spacing w:after="0"/>
              <w:rPr>
                <w:sz w:val="20"/>
                <w:szCs w:val="20"/>
                <w:color w:val="auto"/>
              </w:rPr>
            </w:pPr>
            <w:r>
              <w:rPr>
                <w:rFonts w:ascii="Arial" w:cs="Arial" w:eastAsia="Arial" w:hAnsi="Arial"/>
                <w:sz w:val="18"/>
                <w:szCs w:val="18"/>
                <w:color w:val="auto"/>
              </w:rPr>
              <w:t>Waiver of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11.10</w:t>
            </w:r>
          </w:p>
        </w:tc>
        <w:tc>
          <w:tcPr>
            <w:tcW w:w="8160" w:type="dxa"/>
            <w:vAlign w:val="bottom"/>
          </w:tcPr>
          <w:p>
            <w:pPr>
              <w:ind w:left="60"/>
              <w:spacing w:after="0"/>
              <w:rPr>
                <w:sz w:val="20"/>
                <w:szCs w:val="20"/>
                <w:color w:val="auto"/>
              </w:rPr>
            </w:pPr>
            <w:r>
              <w:rPr>
                <w:rFonts w:ascii="Arial" w:cs="Arial" w:eastAsia="Arial" w:hAnsi="Arial"/>
                <w:sz w:val="18"/>
                <w:szCs w:val="18"/>
                <w:color w:val="auto"/>
              </w:rPr>
              <w:t>Announcement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11.11</w:t>
            </w:r>
          </w:p>
        </w:tc>
        <w:tc>
          <w:tcPr>
            <w:tcW w:w="81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11.12</w:t>
            </w:r>
          </w:p>
        </w:tc>
        <w:tc>
          <w:tcPr>
            <w:tcW w:w="8160" w:type="dxa"/>
            <w:vAlign w:val="bottom"/>
          </w:tcPr>
          <w:p>
            <w:pPr>
              <w:ind w:left="60"/>
              <w:spacing w:after="0"/>
              <w:rPr>
                <w:sz w:val="20"/>
                <w:szCs w:val="20"/>
                <w:color w:val="auto"/>
              </w:rPr>
            </w:pPr>
            <w:r>
              <w:rPr>
                <w:rFonts w:ascii="Arial" w:cs="Arial" w:eastAsia="Arial" w:hAnsi="Arial"/>
                <w:sz w:val="18"/>
                <w:szCs w:val="18"/>
                <w:color w:val="auto"/>
              </w:rPr>
              <w:t>Applicable Law</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11.13</w:t>
            </w:r>
          </w:p>
        </w:tc>
        <w:tc>
          <w:tcPr>
            <w:tcW w:w="816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Annexes 28</w:t>
      </w:r>
    </w:p>
    <w:p>
      <w:pPr>
        <w:sectPr>
          <w:pgSz w:w="11900" w:h="16838" w:orient="portrait"/>
          <w:cols w:equalWidth="0" w:num="1">
            <w:col w:w="11420"/>
          </w:cols>
          <w:pgMar w:left="240" w:top="274" w:right="239" w:bottom="1035"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Company intends to increase its share capital in a fifth round of financing (the “</w:t>
      </w:r>
      <w:r>
        <w:rPr>
          <w:rFonts w:ascii="Arial" w:cs="Arial" w:eastAsia="Arial" w:hAnsi="Arial"/>
          <w:sz w:val="18"/>
          <w:szCs w:val="18"/>
          <w:b w:val="1"/>
          <w:bCs w:val="1"/>
          <w:color w:val="auto"/>
        </w:rPr>
        <w:t>Series E Financing Round</w:t>
      </w:r>
      <w:r>
        <w:rPr>
          <w:rFonts w:ascii="Arial" w:cs="Arial" w:eastAsia="Arial" w:hAnsi="Arial"/>
          <w:sz w:val="18"/>
          <w:szCs w:val="18"/>
          <w:color w:val="auto"/>
        </w:rPr>
        <w:t>”) by way of issuance of up to 20’536 Series E Preferred Shares in the Company with a nominal value of CHF 5.00 per Series E Preferred Share, each to be fully paid-in in cash, thereby increasing the issued share capital of the Company by a nominal amount of up to CHF 102’680.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Parties wish to determine their respective rights and obligations in relation to the Investors’ investment in the Company and the subscription and issuance of new Series E Preferred Shares in the Company in this Subscription Agreement and its Annexes and Appendices.</w:t>
      </w:r>
    </w:p>
    <w:p>
      <w:pPr>
        <w:spacing w:after="0" w:line="315" w:lineRule="exact"/>
        <w:rPr>
          <w:sz w:val="20"/>
          <w:szCs w:val="20"/>
          <w:color w:val="auto"/>
        </w:rPr>
      </w:pPr>
    </w:p>
    <w:p>
      <w:pPr>
        <w:ind w:left="680" w:hanging="672"/>
        <w:spacing w:after="0"/>
        <w:tabs>
          <w:tab w:leader="none" w:pos="68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purposes of this Subscription Agreement (including the introductory paragraphs and the Appendices), capitalized terms shall have the meanings as follows or, if not defined herein, in the Shareholders’ Agreement):</w:t>
      </w:r>
    </w:p>
    <w:p>
      <w:pPr>
        <w:sectPr>
          <w:pgSz w:w="11900" w:h="16838" w:orient="portrait"/>
          <w:cols w:equalWidth="0" w:num="1">
            <w:col w:w="11420"/>
          </w:cols>
          <w:pgMar w:left="240" w:top="273"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Articles of Association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means the Articles of Association of the Company substantially in the form of </w:t>
      </w:r>
      <w:r>
        <w:rPr>
          <w:rFonts w:ascii="Arial" w:cs="Arial" w:eastAsia="Arial" w:hAnsi="Arial"/>
          <w:sz w:val="18"/>
          <w:szCs w:val="18"/>
          <w:b w:val="1"/>
          <w:bCs w:val="1"/>
          <w:color w:val="auto"/>
        </w:rPr>
        <w:t>Annex 2.2</w:t>
      </w:r>
      <w:r>
        <w:rPr>
          <w:rFonts w:ascii="Arial" w:cs="Arial" w:eastAsia="Arial" w:hAnsi="Arial"/>
          <w:sz w:val="18"/>
          <w:szCs w:val="18"/>
          <w:color w:val="auto"/>
        </w:rPr>
        <w:t>, as amended from time to time.</w:t>
      </w:r>
    </w:p>
    <w:p>
      <w:pPr>
        <w:spacing w:after="0" w:line="54" w:lineRule="exact"/>
        <w:rPr>
          <w:sz w:val="20"/>
          <w:szCs w:val="20"/>
          <w:color w:val="auto"/>
        </w:rPr>
      </w:pPr>
    </w:p>
    <w:p>
      <w:pPr>
        <w:sectPr>
          <w:pgSz w:w="11900" w:h="16838" w:orient="portrait"/>
          <w:cols w:equalWidth="0" w:num="2">
            <w:col w:w="2480" w:space="720"/>
            <w:col w:w="8220"/>
          </w:cols>
          <w:pgMar w:left="240" w:top="27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Basket 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8.4.</w:t>
      </w:r>
    </w:p>
    <w:p>
      <w:pPr>
        <w:spacing w:after="0" w:line="136" w:lineRule="exact"/>
        <w:rPr>
          <w:sz w:val="20"/>
          <w:szCs w:val="20"/>
          <w:color w:val="auto"/>
        </w:rPr>
      </w:pPr>
    </w:p>
    <w:p>
      <w:pPr>
        <w:sectPr>
          <w:pgSz w:w="11900" w:h="16838" w:orient="portrait"/>
          <w:cols w:equalWidth="0" w:num="2">
            <w:col w:w="2480" w:space="720"/>
            <w:col w:w="822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Blocked Capital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3.2.</w:t>
      </w:r>
    </w:p>
    <w:p>
      <w:pPr>
        <w:spacing w:after="0" w:line="136" w:lineRule="exact"/>
        <w:rPr>
          <w:sz w:val="20"/>
          <w:szCs w:val="20"/>
          <w:color w:val="auto"/>
        </w:rPr>
      </w:pPr>
    </w:p>
    <w:p>
      <w:pPr>
        <w:sectPr>
          <w:pgSz w:w="11900" w:h="16838" w:orient="portrait"/>
          <w:cols w:equalWidth="0" w:num="2">
            <w:col w:w="2480" w:space="720"/>
            <w:col w:w="822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Company’s board of directors as the same shall be constituted from time to time.</w:t>
      </w:r>
    </w:p>
    <w:p>
      <w:pPr>
        <w:spacing w:after="0" w:line="136" w:lineRule="exact"/>
        <w:rPr>
          <w:sz w:val="20"/>
          <w:szCs w:val="20"/>
          <w:color w:val="auto"/>
        </w:rPr>
      </w:pPr>
    </w:p>
    <w:p>
      <w:pPr>
        <w:sectPr>
          <w:pgSz w:w="11900" w:h="16838" w:orient="portrait"/>
          <w:cols w:equalWidth="0" w:num="2">
            <w:col w:w="2480" w:space="720"/>
            <w:col w:w="8220"/>
          </w:cols>
          <w:pgMar w:left="240" w:top="273"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Swiss Code of Obligations dated 30 March 1911 as amended from time to time.</w:t>
      </w:r>
    </w:p>
    <w:p>
      <w:pPr>
        <w:spacing w:after="0" w:line="135" w:lineRule="exact"/>
        <w:rPr>
          <w:sz w:val="20"/>
          <w:szCs w:val="20"/>
          <w:color w:val="auto"/>
        </w:rPr>
      </w:pPr>
    </w:p>
    <w:p>
      <w:pPr>
        <w:sectPr>
          <w:pgSz w:w="11900" w:h="16838" w:orient="portrait"/>
          <w:cols w:equalWidth="0" w:num="2">
            <w:col w:w="2480" w:space="720"/>
            <w:col w:w="822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Common Shares</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shall mean the existing 35,034 restricted common shares (</w:t>
      </w:r>
      <w:r>
        <w:rPr>
          <w:rFonts w:ascii="Arial" w:cs="Arial" w:eastAsia="Arial" w:hAnsi="Arial"/>
          <w:sz w:val="18"/>
          <w:szCs w:val="18"/>
          <w:i w:val="1"/>
          <w:iCs w:val="1"/>
          <w:color w:val="auto"/>
        </w:rPr>
        <w:t>vinkulierte Namenaktien / actions nominatives avec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with a nominal value of CHF 5.00 each per Common Share, and having the transfer restrictions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Articles of Association.</w:t>
      </w:r>
    </w:p>
    <w:p>
      <w:pPr>
        <w:spacing w:after="0" w:line="69" w:lineRule="exact"/>
        <w:rPr>
          <w:sz w:val="20"/>
          <w:szCs w:val="20"/>
          <w:color w:val="auto"/>
        </w:rPr>
      </w:pPr>
    </w:p>
    <w:p>
      <w:pPr>
        <w:sectPr>
          <w:pgSz w:w="11900" w:h="16838" w:orient="portrait"/>
          <w:cols w:equalWidth="0" w:num="2">
            <w:col w:w="2480" w:space="720"/>
            <w:col w:w="822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the introduction of this Subscription Agreement.</w:t>
      </w:r>
    </w:p>
    <w:p>
      <w:pPr>
        <w:sectPr>
          <w:pgSz w:w="11900" w:h="16838" w:orient="portrait"/>
          <w:cols w:equalWidth="0" w:num="2">
            <w:col w:w="2480" w:space="720"/>
            <w:col w:w="8220"/>
          </w:cols>
          <w:pgMar w:left="240" w:top="273" w:right="239" w:bottom="1440" w:gutter="0" w:footer="0" w:header="0"/>
          <w:type w:val="continuous"/>
        </w:sectPr>
      </w:pPr>
    </w:p>
    <w:bookmarkStart w:id="511" w:name="page512"/>
    <w:bookmarkEnd w:id="511"/>
    <w:tbl>
      <w:tblPr>
        <w:tblLayout w:type="fixed"/>
        <w:tblInd w:w="0" w:type="dxa"/>
        <w:tblCellMar>
          <w:top w:w="0" w:type="dxa"/>
          <w:left w:w="0" w:type="dxa"/>
          <w:bottom w:w="0" w:type="dxa"/>
          <w:right w:w="0" w:type="dxa"/>
        </w:tblCellMar>
      </w:tblPr>
      <w:tr>
        <w:trPr>
          <w:trHeight w:val="230"/>
        </w:trPr>
        <w:tc>
          <w:tcPr>
            <w:tcW w:w="1130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r>
      <w:tr>
        <w:trPr>
          <w:trHeight w:val="365"/>
        </w:trPr>
        <w:tc>
          <w:tcPr>
            <w:tcW w:w="2940" w:type="dxa"/>
            <w:vAlign w:val="bottom"/>
          </w:tcPr>
          <w:p>
            <w:pPr>
              <w:spacing w:after="0"/>
              <w:rPr>
                <w:sz w:val="20"/>
                <w:szCs w:val="20"/>
                <w:color w:val="auto"/>
              </w:rPr>
            </w:pPr>
            <w:r>
              <w:rPr>
                <w:rFonts w:ascii="Arial" w:cs="Arial" w:eastAsia="Arial" w:hAnsi="Arial"/>
                <w:sz w:val="18"/>
                <w:szCs w:val="18"/>
                <w:b w:val="1"/>
                <w:bCs w:val="1"/>
                <w:color w:val="auto"/>
              </w:rPr>
              <w:t>Compensatory Capital Increase</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8.3.</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Debt Repayment Triggering Event</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7.</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Defaulting Party</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10.</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Environmental Laws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21.</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Extraordinary General Meeting</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3.3(a).</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FCPA</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22.</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FDA</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16.</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13.</w:t>
            </w:r>
          </w:p>
        </w:tc>
        <w:tc>
          <w:tcPr>
            <w:tcW w:w="120" w:type="dxa"/>
            <w:vAlign w:val="bottom"/>
          </w:tcPr>
          <w:p>
            <w:pPr>
              <w:spacing w:after="0"/>
              <w:rPr>
                <w:sz w:val="24"/>
                <w:szCs w:val="24"/>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b w:val="1"/>
                <w:bCs w:val="1"/>
                <w:color w:val="auto"/>
              </w:rPr>
              <w:t>Full Consummation</w:t>
            </w:r>
          </w:p>
        </w:tc>
        <w:tc>
          <w:tcPr>
            <w:tcW w:w="8360" w:type="dxa"/>
            <w:vAlign w:val="bottom"/>
          </w:tcPr>
          <w:p>
            <w:pPr>
              <w:ind w:left="260"/>
              <w:spacing w:after="0"/>
              <w:rPr>
                <w:sz w:val="20"/>
                <w:szCs w:val="20"/>
                <w:color w:val="auto"/>
              </w:rPr>
            </w:pPr>
            <w:r>
              <w:rPr>
                <w:rFonts w:ascii="Arial" w:cs="Arial" w:eastAsia="Arial" w:hAnsi="Arial"/>
                <w:sz w:val="18"/>
                <w:szCs w:val="18"/>
                <w:color w:val="auto"/>
                <w:w w:val="89"/>
              </w:rPr>
              <w:t>shall mean that the Series E Preferred Shares issued in connection with the Series E Financing Round have been</w:t>
            </w:r>
          </w:p>
        </w:tc>
        <w:tc>
          <w:tcPr>
            <w:tcW w:w="12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registered in the commercial register in accordance with Section 5.3 of this Subscription Agreement.</w:t>
            </w:r>
          </w:p>
        </w:tc>
        <w:tc>
          <w:tcPr>
            <w:tcW w:w="12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Governmental Authority</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22.</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Intellectual Property Rights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9.</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20" w:type="dxa"/>
            <w:vAlign w:val="bottom"/>
          </w:tcPr>
          <w:p>
            <w:pPr>
              <w:spacing w:after="0"/>
              <w:rPr>
                <w:sz w:val="24"/>
                <w:szCs w:val="24"/>
                <w:color w:val="auto"/>
              </w:rPr>
            </w:pPr>
          </w:p>
        </w:tc>
      </w:tr>
      <w:tr>
        <w:trPr>
          <w:trHeight w:val="306"/>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knowledge </w:t>
            </w:r>
            <w:r>
              <w:rPr>
                <w:rFonts w:ascii="Arial" w:cs="Arial" w:eastAsia="Arial" w:hAnsi="Arial"/>
                <w:sz w:val="18"/>
                <w:szCs w:val="18"/>
                <w:color w:val="auto"/>
              </w:rPr>
              <w:t>including the phrase “</w:t>
            </w:r>
            <w:r>
              <w:rPr>
                <w:rFonts w:ascii="Arial" w:cs="Arial" w:eastAsia="Arial" w:hAnsi="Arial"/>
                <w:sz w:val="18"/>
                <w:szCs w:val="18"/>
                <w:b w:val="1"/>
                <w:bCs w:val="1"/>
                <w:color w:val="auto"/>
              </w:rPr>
              <w:t>to</w:t>
            </w:r>
          </w:p>
        </w:tc>
        <w:tc>
          <w:tcPr>
            <w:tcW w:w="8360" w:type="dxa"/>
            <w:vAlign w:val="bottom"/>
          </w:tcPr>
          <w:p>
            <w:pPr>
              <w:ind w:left="260"/>
              <w:spacing w:after="0"/>
              <w:rPr>
                <w:sz w:val="20"/>
                <w:szCs w:val="20"/>
                <w:color w:val="auto"/>
              </w:rPr>
            </w:pPr>
            <w:r>
              <w:rPr>
                <w:rFonts w:ascii="Arial" w:cs="Arial" w:eastAsia="Arial" w:hAnsi="Arial"/>
                <w:sz w:val="18"/>
                <w:szCs w:val="18"/>
                <w:color w:val="auto"/>
                <w:w w:val="98"/>
              </w:rPr>
              <w:t>shall mean the actual knowledge after reasonable investigation of the Chief Executive Officer, the Chief</w:t>
            </w:r>
          </w:p>
        </w:tc>
        <w:tc>
          <w:tcPr>
            <w:tcW w:w="1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the Company’s knowledge</w:t>
            </w:r>
            <w:r>
              <w:rPr>
                <w:rFonts w:ascii="Arial" w:cs="Arial" w:eastAsia="Arial" w:hAnsi="Arial"/>
                <w:sz w:val="18"/>
                <w:szCs w:val="18"/>
                <w:color w:val="auto"/>
              </w:rPr>
              <w:t>”</w:t>
            </w:r>
          </w:p>
        </w:tc>
        <w:tc>
          <w:tcPr>
            <w:tcW w:w="8360" w:type="dxa"/>
            <w:vAlign w:val="bottom"/>
          </w:tcPr>
          <w:p>
            <w:pPr>
              <w:ind w:left="260"/>
              <w:spacing w:after="0"/>
              <w:rPr>
                <w:sz w:val="20"/>
                <w:szCs w:val="20"/>
                <w:color w:val="auto"/>
              </w:rPr>
            </w:pPr>
            <w:r>
              <w:rPr>
                <w:rFonts w:ascii="Arial" w:cs="Arial" w:eastAsia="Arial" w:hAnsi="Arial"/>
                <w:sz w:val="18"/>
                <w:szCs w:val="18"/>
                <w:color w:val="auto"/>
              </w:rPr>
              <w:t>Scientific Officer and Chief Financial Officer of the Company.</w:t>
            </w:r>
          </w:p>
        </w:tc>
        <w:tc>
          <w:tcPr>
            <w:tcW w:w="12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Loss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8.3.</w:t>
            </w:r>
          </w:p>
        </w:tc>
        <w:tc>
          <w:tcPr>
            <w:tcW w:w="120" w:type="dxa"/>
            <w:vAlign w:val="bottom"/>
          </w:tcPr>
          <w:p>
            <w:pPr>
              <w:spacing w:after="0"/>
              <w:rPr>
                <w:sz w:val="24"/>
                <w:szCs w:val="24"/>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b w:val="1"/>
                <w:bCs w:val="1"/>
                <w:color w:val="auto"/>
              </w:rPr>
              <w:t>Material Adverse Effect</w:t>
            </w:r>
          </w:p>
        </w:tc>
        <w:tc>
          <w:tcPr>
            <w:tcW w:w="8360" w:type="dxa"/>
            <w:vAlign w:val="bottom"/>
          </w:tcPr>
          <w:p>
            <w:pPr>
              <w:ind w:left="260"/>
              <w:spacing w:after="0"/>
              <w:rPr>
                <w:sz w:val="20"/>
                <w:szCs w:val="20"/>
                <w:color w:val="auto"/>
              </w:rPr>
            </w:pPr>
            <w:r>
              <w:rPr>
                <w:rFonts w:ascii="Arial" w:cs="Arial" w:eastAsia="Arial" w:hAnsi="Arial"/>
                <w:sz w:val="18"/>
                <w:szCs w:val="18"/>
                <w:color w:val="auto"/>
                <w:w w:val="97"/>
              </w:rPr>
              <w:t>means a material adverse effect on the business, assets (including intangible assets), liabilities, financial</w:t>
            </w:r>
          </w:p>
        </w:tc>
        <w:tc>
          <w:tcPr>
            <w:tcW w:w="12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condition, property or results of operations of the Company.</w:t>
            </w:r>
          </w:p>
        </w:tc>
        <w:tc>
          <w:tcPr>
            <w:tcW w:w="12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OFAC</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23.</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Official</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22.</w:t>
            </w:r>
          </w:p>
        </w:tc>
        <w:tc>
          <w:tcPr>
            <w:tcW w:w="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12" w:name="page513"/>
    <w:bookmarkEnd w:id="512"/>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365"/>
        </w:trPr>
        <w:tc>
          <w:tcPr>
            <w:tcW w:w="2800" w:type="dxa"/>
            <w:vAlign w:val="bottom"/>
          </w:tcPr>
          <w:p>
            <w:pPr>
              <w:spacing w:after="0"/>
              <w:rPr>
                <w:sz w:val="20"/>
                <w:szCs w:val="20"/>
                <w:color w:val="auto"/>
              </w:rPr>
            </w:pPr>
            <w:r>
              <w:rPr>
                <w:rFonts w:ascii="Arial" w:cs="Arial" w:eastAsia="Arial" w:hAnsi="Arial"/>
                <w:sz w:val="18"/>
                <w:szCs w:val="18"/>
                <w:b w:val="1"/>
                <w:bCs w:val="1"/>
                <w:color w:val="auto"/>
              </w:rPr>
              <w:t>Party or Parties</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00" w:type="dxa"/>
            <w:vAlign w:val="bottom"/>
          </w:tcPr>
          <w:p>
            <w:pPr>
              <w:spacing w:after="0"/>
              <w:rPr>
                <w:sz w:val="24"/>
                <w:szCs w:val="24"/>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Permits</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Annex 7.1 Section 20.</w:t>
            </w:r>
          </w:p>
        </w:tc>
        <w:tc>
          <w:tcPr>
            <w:tcW w:w="100" w:type="dxa"/>
            <w:vAlign w:val="bottom"/>
          </w:tcPr>
          <w:p>
            <w:pPr>
              <w:spacing w:after="0"/>
              <w:rPr>
                <w:sz w:val="24"/>
                <w:szCs w:val="24"/>
                <w:color w:val="auto"/>
              </w:rPr>
            </w:pPr>
          </w:p>
        </w:tc>
      </w:tr>
      <w:tr>
        <w:trPr>
          <w:trHeight w:val="306"/>
        </w:trPr>
        <w:tc>
          <w:tcPr>
            <w:tcW w:w="2800" w:type="dxa"/>
            <w:vAlign w:val="bottom"/>
          </w:tcPr>
          <w:p>
            <w:pPr>
              <w:spacing w:after="0"/>
              <w:rPr>
                <w:sz w:val="20"/>
                <w:szCs w:val="20"/>
                <w:color w:val="auto"/>
              </w:rPr>
            </w:pPr>
            <w:r>
              <w:rPr>
                <w:rFonts w:ascii="Arial" w:cs="Arial" w:eastAsia="Arial" w:hAnsi="Arial"/>
                <w:sz w:val="18"/>
                <w:szCs w:val="18"/>
                <w:b w:val="1"/>
                <w:bCs w:val="1"/>
                <w:color w:val="auto"/>
              </w:rPr>
              <w:t>Registration Rights Agreement</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means the agreement among the Company and certain shareholders of the Company dated as of the date of the</w:t>
            </w:r>
          </w:p>
        </w:tc>
        <w:tc>
          <w:tcPr>
            <w:tcW w:w="10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 xml:space="preserve">Closing, in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attached to this Subscription Agreement.</w:t>
            </w:r>
          </w:p>
        </w:tc>
        <w:tc>
          <w:tcPr>
            <w:tcW w:w="100" w:type="dxa"/>
            <w:vAlign w:val="bottom"/>
          </w:tcPr>
          <w:p>
            <w:pPr>
              <w:spacing w:after="0"/>
              <w:rPr>
                <w:sz w:val="20"/>
                <w:szCs w:val="20"/>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Regulatory Agencies</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Annex 7.1 Section 16.</w:t>
            </w:r>
          </w:p>
        </w:tc>
        <w:tc>
          <w:tcPr>
            <w:tcW w:w="100" w:type="dxa"/>
            <w:vAlign w:val="bottom"/>
          </w:tcPr>
          <w:p>
            <w:pPr>
              <w:spacing w:after="0"/>
              <w:rPr>
                <w:sz w:val="24"/>
                <w:szCs w:val="24"/>
                <w:color w:val="auto"/>
              </w:rPr>
            </w:pPr>
          </w:p>
        </w:tc>
      </w:tr>
      <w:tr>
        <w:trPr>
          <w:trHeight w:val="306"/>
        </w:trPr>
        <w:tc>
          <w:tcPr>
            <w:tcW w:w="2800" w:type="dxa"/>
            <w:vAlign w:val="bottom"/>
          </w:tcPr>
          <w:p>
            <w:pPr>
              <w:spacing w:after="0"/>
              <w:rPr>
                <w:sz w:val="20"/>
                <w:szCs w:val="20"/>
                <w:color w:val="auto"/>
              </w:rPr>
            </w:pPr>
            <w:r>
              <w:rPr>
                <w:rFonts w:ascii="Arial" w:cs="Arial" w:eastAsia="Arial" w:hAnsi="Arial"/>
                <w:sz w:val="18"/>
                <w:szCs w:val="18"/>
                <w:b w:val="1"/>
                <w:bCs w:val="1"/>
                <w:color w:val="auto"/>
              </w:rPr>
              <w:t>Revised Articles of Association</w:t>
            </w:r>
          </w:p>
        </w:tc>
        <w:tc>
          <w:tcPr>
            <w:tcW w:w="8520" w:type="dxa"/>
            <w:vAlign w:val="bottom"/>
          </w:tcPr>
          <w:p>
            <w:pPr>
              <w:ind w:left="400"/>
              <w:spacing w:after="0"/>
              <w:rPr>
                <w:sz w:val="20"/>
                <w:szCs w:val="20"/>
                <w:color w:val="auto"/>
              </w:rPr>
            </w:pPr>
            <w:r>
              <w:rPr>
                <w:rFonts w:ascii="Arial" w:cs="Arial" w:eastAsia="Arial" w:hAnsi="Arial"/>
                <w:sz w:val="18"/>
                <w:szCs w:val="18"/>
                <w:color w:val="auto"/>
                <w:w w:val="92"/>
              </w:rPr>
              <w:t xml:space="preserve">means the Articles of Association of the Company to be adopted at Closing substantially in the form of </w:t>
            </w:r>
            <w:r>
              <w:rPr>
                <w:rFonts w:ascii="Arial" w:cs="Arial" w:eastAsia="Arial" w:hAnsi="Arial"/>
                <w:sz w:val="18"/>
                <w:szCs w:val="18"/>
                <w:b w:val="1"/>
                <w:bCs w:val="1"/>
                <w:color w:val="auto"/>
                <w:w w:val="92"/>
              </w:rPr>
              <w:t>Annex</w:t>
            </w:r>
          </w:p>
        </w:tc>
        <w:tc>
          <w:tcPr>
            <w:tcW w:w="10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8520" w:type="dxa"/>
            <w:vAlign w:val="bottom"/>
          </w:tcPr>
          <w:p>
            <w:pPr>
              <w:ind w:left="400"/>
              <w:spacing w:after="0"/>
              <w:rPr>
                <w:sz w:val="20"/>
                <w:szCs w:val="20"/>
                <w:color w:val="auto"/>
              </w:rPr>
            </w:pPr>
            <w:r>
              <w:rPr>
                <w:rFonts w:ascii="Arial" w:cs="Arial" w:eastAsia="Arial" w:hAnsi="Arial"/>
                <w:sz w:val="18"/>
                <w:szCs w:val="18"/>
                <w:color w:val="auto"/>
                <w:w w:val="97"/>
              </w:rPr>
              <w:t>means the United States Securities Act of 1933, as amended, and the rules and regulations promulgated</w:t>
            </w:r>
          </w:p>
        </w:tc>
        <w:tc>
          <w:tcPr>
            <w:tcW w:w="10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thereunder.</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A Preferred Shares</w:t>
            </w:r>
          </w:p>
        </w:tc>
        <w:tc>
          <w:tcPr>
            <w:tcW w:w="8620" w:type="dxa"/>
            <w:vAlign w:val="bottom"/>
            <w:gridSpan w:val="2"/>
          </w:tcPr>
          <w:p>
            <w:pPr>
              <w:ind w:left="400"/>
              <w:spacing w:after="0"/>
              <w:rPr>
                <w:sz w:val="20"/>
                <w:szCs w:val="20"/>
                <w:color w:val="auto"/>
              </w:rPr>
            </w:pPr>
            <w:r>
              <w:rPr>
                <w:rFonts w:ascii="Arial" w:cs="Arial" w:eastAsia="Arial" w:hAnsi="Arial"/>
                <w:sz w:val="18"/>
                <w:szCs w:val="18"/>
                <w:color w:val="auto"/>
                <w:w w:val="90"/>
              </w:rPr>
              <w:t>shall mean the existing 14’152 Series A preferred shares (</w:t>
            </w:r>
            <w:r>
              <w:rPr>
                <w:rFonts w:ascii="Arial" w:cs="Arial" w:eastAsia="Arial" w:hAnsi="Arial"/>
                <w:sz w:val="18"/>
                <w:szCs w:val="18"/>
                <w:i w:val="1"/>
                <w:iCs w:val="1"/>
                <w:color w:val="auto"/>
                <w:w w:val="90"/>
              </w:rPr>
              <w:t>Vorzugsaktien der Serie A / actions privilégiées série A)</w:t>
            </w:r>
          </w:p>
        </w:tc>
      </w:tr>
      <w:tr>
        <w:trPr>
          <w:trHeight w:val="216"/>
        </w:trPr>
        <w:tc>
          <w:tcPr>
            <w:tcW w:w="2800" w:type="dxa"/>
            <w:vAlign w:val="bottom"/>
          </w:tcPr>
          <w:p>
            <w:pPr>
              <w:spacing w:after="0"/>
              <w:rPr>
                <w:sz w:val="18"/>
                <w:szCs w:val="18"/>
                <w:color w:val="auto"/>
              </w:rPr>
            </w:pPr>
          </w:p>
        </w:tc>
        <w:tc>
          <w:tcPr>
            <w:tcW w:w="8620" w:type="dxa"/>
            <w:vAlign w:val="bottom"/>
            <w:gridSpan w:val="2"/>
          </w:tcPr>
          <w:p>
            <w:pPr>
              <w:ind w:left="400"/>
              <w:spacing w:after="0"/>
              <w:rPr>
                <w:sz w:val="20"/>
                <w:szCs w:val="20"/>
                <w:color w:val="auto"/>
              </w:rPr>
            </w:pPr>
            <w:r>
              <w:rPr>
                <w:rFonts w:ascii="Arial" w:cs="Arial" w:eastAsia="Arial" w:hAnsi="Arial"/>
                <w:sz w:val="18"/>
                <w:szCs w:val="18"/>
                <w:color w:val="auto"/>
                <w:w w:val="90"/>
              </w:rPr>
              <w:t>with a nominal value of CHF 5.00 each per Series A Preferred Share, and having the preference rights set forth in</w:t>
            </w: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the Articles of Association.</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B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67’130 Series B preferred shares (</w:t>
            </w:r>
            <w:r>
              <w:rPr>
                <w:rFonts w:ascii="Arial" w:cs="Arial" w:eastAsia="Arial" w:hAnsi="Arial"/>
                <w:sz w:val="18"/>
                <w:szCs w:val="18"/>
                <w:i w:val="1"/>
                <w:iCs w:val="1"/>
                <w:color w:val="auto"/>
                <w:w w:val="90"/>
              </w:rPr>
              <w:t>Vorzugsaktien der Serie B / actions privilégiées série B)</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w w:val="91"/>
              </w:rPr>
              <w:t>nominal value of CHF 5.00 each per Series B Preferred Share, and having the preference rights set forth in the</w:t>
            </w: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Articles of Association.</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C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38’476 Series C preferred shares (</w:t>
            </w:r>
            <w:r>
              <w:rPr>
                <w:rFonts w:ascii="Arial" w:cs="Arial" w:eastAsia="Arial" w:hAnsi="Arial"/>
                <w:sz w:val="18"/>
                <w:szCs w:val="18"/>
                <w:i w:val="1"/>
                <w:iCs w:val="1"/>
                <w:color w:val="auto"/>
                <w:w w:val="90"/>
              </w:rPr>
              <w:t>Vorzugsaktien der Serie C / actions privilégiées série C)</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w w:val="91"/>
              </w:rPr>
              <w:t>nominal value of CHF 5.00 each per Series C Preferred Share, and having the preference rights set forth in the</w:t>
            </w: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Articles of Association.</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D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16’490 Series D preferred shares (</w:t>
            </w:r>
            <w:r>
              <w:rPr>
                <w:rFonts w:ascii="Arial" w:cs="Arial" w:eastAsia="Arial" w:hAnsi="Arial"/>
                <w:sz w:val="18"/>
                <w:szCs w:val="18"/>
                <w:i w:val="1"/>
                <w:iCs w:val="1"/>
                <w:color w:val="auto"/>
                <w:w w:val="90"/>
              </w:rPr>
              <w:t>Vorzugsaktien der Serie D / actions privilégiées série D)</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w w:val="91"/>
              </w:rPr>
              <w:t>nominal value of CHF 5.00 each per Series D Preferred Share, and having the preference rights set forth in the</w:t>
            </w: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Articles of Association.</w:t>
            </w:r>
          </w:p>
        </w:tc>
        <w:tc>
          <w:tcPr>
            <w:tcW w:w="100" w:type="dxa"/>
            <w:vAlign w:val="bottom"/>
          </w:tcPr>
          <w:p>
            <w:pPr>
              <w:spacing w:after="0"/>
              <w:rPr>
                <w:sz w:val="20"/>
                <w:szCs w:val="20"/>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Financing Round</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the Preamble.</w:t>
            </w:r>
          </w:p>
        </w:tc>
        <w:tc>
          <w:tcPr>
            <w:tcW w:w="100" w:type="dxa"/>
            <w:vAlign w:val="bottom"/>
          </w:tcPr>
          <w:p>
            <w:pPr>
              <w:spacing w:after="0"/>
              <w:rPr>
                <w:sz w:val="24"/>
                <w:szCs w:val="24"/>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Original Issue Price</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Section 3.1.</w:t>
            </w:r>
          </w:p>
        </w:tc>
        <w:tc>
          <w:tcPr>
            <w:tcW w:w="100" w:type="dxa"/>
            <w:vAlign w:val="bottom"/>
          </w:tcPr>
          <w:p>
            <w:pPr>
              <w:spacing w:after="0"/>
              <w:rPr>
                <w:sz w:val="24"/>
                <w:szCs w:val="24"/>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up to 12,453 Series E Preferred Shares (</w:t>
            </w:r>
            <w:r>
              <w:rPr>
                <w:rFonts w:ascii="Arial" w:cs="Arial" w:eastAsia="Arial" w:hAnsi="Arial"/>
                <w:sz w:val="18"/>
                <w:szCs w:val="18"/>
                <w:i w:val="1"/>
                <w:iCs w:val="1"/>
                <w:color w:val="auto"/>
                <w:w w:val="90"/>
              </w:rPr>
              <w:t>Vorzugsaktien der Serie E / actions privilégiées série E)</w:t>
            </w:r>
          </w:p>
        </w:tc>
        <w:tc>
          <w:tcPr>
            <w:tcW w:w="10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with a</w:t>
            </w:r>
          </w:p>
        </w:tc>
        <w:tc>
          <w:tcPr>
            <w:tcW w:w="1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13" w:name="page514"/>
    <w:bookmarkEnd w:id="513"/>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350"/>
        </w:trPr>
        <w:tc>
          <w:tcPr>
            <w:tcW w:w="260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2"/>
              </w:rPr>
              <w:t>nominal value of CHF 5.00 each per Series E Preferred Share, each to be fully paid in pursuant the terms and</w:t>
            </w:r>
          </w:p>
        </w:tc>
        <w:tc>
          <w:tcPr>
            <w:tcW w:w="100" w:type="dxa"/>
            <w:vAlign w:val="bottom"/>
          </w:tcPr>
          <w:p>
            <w:pPr>
              <w:spacing w:after="0"/>
              <w:rPr>
                <w:sz w:val="24"/>
                <w:szCs w:val="24"/>
                <w:color w:val="auto"/>
              </w:rPr>
            </w:pPr>
          </w:p>
        </w:tc>
      </w:tr>
      <w:tr>
        <w:trPr>
          <w:trHeight w:val="212"/>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5"/>
              </w:rPr>
              <w:t>conditions set forth in the Subscription Agreement and having the preference rights set forth in the Revised</w:t>
            </w:r>
          </w:p>
        </w:tc>
        <w:tc>
          <w:tcPr>
            <w:tcW w:w="100" w:type="dxa"/>
            <w:vAlign w:val="bottom"/>
          </w:tcPr>
          <w:p>
            <w:pPr>
              <w:spacing w:after="0"/>
              <w:rPr>
                <w:sz w:val="18"/>
                <w:szCs w:val="18"/>
                <w:color w:val="auto"/>
              </w:rPr>
            </w:pPr>
          </w:p>
        </w:tc>
      </w:tr>
      <w:tr>
        <w:trPr>
          <w:trHeight w:val="220"/>
        </w:trPr>
        <w:tc>
          <w:tcPr>
            <w:tcW w:w="2600" w:type="dxa"/>
            <w:vAlign w:val="bottom"/>
          </w:tcPr>
          <w:p>
            <w:pPr>
              <w:spacing w:after="0"/>
              <w:rPr>
                <w:sz w:val="19"/>
                <w:szCs w:val="19"/>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1"/>
              </w:rPr>
              <w:t xml:space="preserve">Articles of Association in </w:t>
            </w:r>
            <w:r>
              <w:rPr>
                <w:rFonts w:ascii="Arial" w:cs="Arial" w:eastAsia="Arial" w:hAnsi="Arial"/>
                <w:sz w:val="18"/>
                <w:szCs w:val="18"/>
                <w:b w:val="1"/>
                <w:bCs w:val="1"/>
                <w:color w:val="auto"/>
                <w:w w:val="91"/>
              </w:rPr>
              <w:t>Annex 3.3.</w:t>
            </w:r>
            <w:r>
              <w:rPr>
                <w:rFonts w:ascii="Arial" w:cs="Arial" w:eastAsia="Arial" w:hAnsi="Arial"/>
                <w:sz w:val="18"/>
                <w:szCs w:val="18"/>
                <w:color w:val="auto"/>
                <w:w w:val="91"/>
              </w:rPr>
              <w:t xml:space="preserve"> and any additional Series E Preferred Shares subscribed by any adhering</w:t>
            </w:r>
          </w:p>
        </w:tc>
        <w:tc>
          <w:tcPr>
            <w:tcW w:w="10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Investor</w:t>
            </w:r>
          </w:p>
        </w:tc>
        <w:tc>
          <w:tcPr>
            <w:tcW w:w="100" w:type="dxa"/>
            <w:vAlign w:val="bottom"/>
          </w:tcPr>
          <w:p>
            <w:pPr>
              <w:spacing w:after="0"/>
              <w:rPr>
                <w:sz w:val="20"/>
                <w:szCs w:val="20"/>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Shareholder</w:t>
            </w:r>
          </w:p>
        </w:tc>
        <w:tc>
          <w:tcPr>
            <w:tcW w:w="8720" w:type="dxa"/>
            <w:vAlign w:val="bottom"/>
          </w:tcPr>
          <w:p>
            <w:pPr>
              <w:ind w:left="600"/>
              <w:spacing w:after="0"/>
              <w:rPr>
                <w:sz w:val="20"/>
                <w:szCs w:val="20"/>
                <w:color w:val="auto"/>
              </w:rPr>
            </w:pPr>
            <w:r>
              <w:rPr>
                <w:rFonts w:ascii="Arial" w:cs="Arial" w:eastAsia="Arial" w:hAnsi="Arial"/>
                <w:sz w:val="18"/>
                <w:szCs w:val="18"/>
                <w:color w:val="auto"/>
                <w:w w:val="94"/>
              </w:rPr>
              <w:t>means any shareholder of the Company which at any given time is a party to the Shareholders’ Agreement.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Shareholders’ Agreement</w:t>
            </w:r>
          </w:p>
        </w:tc>
        <w:tc>
          <w:tcPr>
            <w:tcW w:w="8720" w:type="dxa"/>
            <w:vAlign w:val="bottom"/>
          </w:tcPr>
          <w:p>
            <w:pPr>
              <w:ind w:left="600"/>
              <w:spacing w:after="0"/>
              <w:rPr>
                <w:sz w:val="20"/>
                <w:szCs w:val="20"/>
                <w:color w:val="auto"/>
              </w:rPr>
            </w:pPr>
            <w:r>
              <w:rPr>
                <w:rFonts w:ascii="Arial" w:cs="Arial" w:eastAsia="Arial" w:hAnsi="Arial"/>
                <w:sz w:val="18"/>
                <w:szCs w:val="18"/>
                <w:color w:val="auto"/>
              </w:rPr>
              <w:t xml:space="preserve">means the shareholders’ agreement regarding the Company dated 16 October 2015 in </w:t>
            </w:r>
            <w:r>
              <w:rPr>
                <w:rFonts w:ascii="Arial" w:cs="Arial" w:eastAsia="Arial" w:hAnsi="Arial"/>
                <w:sz w:val="18"/>
                <w:szCs w:val="18"/>
                <w:b w:val="1"/>
                <w:bCs w:val="1"/>
                <w:color w:val="auto"/>
              </w:rPr>
              <w:t>Annex 0</w:t>
            </w: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8720" w:type="dxa"/>
            <w:vAlign w:val="bottom"/>
          </w:tcPr>
          <w:p>
            <w:pPr>
              <w:ind w:left="600"/>
              <w:spacing w:after="0"/>
              <w:rPr>
                <w:sz w:val="20"/>
                <w:szCs w:val="20"/>
                <w:color w:val="auto"/>
              </w:rPr>
            </w:pPr>
            <w:r>
              <w:rPr>
                <w:rFonts w:ascii="Arial" w:cs="Arial" w:eastAsia="Arial" w:hAnsi="Arial"/>
                <w:sz w:val="18"/>
                <w:szCs w:val="18"/>
                <w:color w:val="auto"/>
              </w:rPr>
              <w:t>shall mean any share of the Company</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Subscription Agreement</w:t>
            </w:r>
          </w:p>
        </w:tc>
        <w:tc>
          <w:tcPr>
            <w:tcW w:w="8720" w:type="dxa"/>
            <w:vAlign w:val="bottom"/>
          </w:tcPr>
          <w:p>
            <w:pPr>
              <w:ind w:left="600"/>
              <w:spacing w:after="0"/>
              <w:rPr>
                <w:sz w:val="20"/>
                <w:szCs w:val="20"/>
                <w:color w:val="auto"/>
              </w:rPr>
            </w:pPr>
            <w:r>
              <w:rPr>
                <w:rFonts w:ascii="Arial" w:cs="Arial" w:eastAsia="Arial" w:hAnsi="Arial"/>
                <w:sz w:val="18"/>
                <w:szCs w:val="18"/>
                <w:color w:val="auto"/>
              </w:rPr>
              <w:t>means this Subscription Agreement.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Subscription Form</w:t>
            </w:r>
          </w:p>
        </w:tc>
        <w:tc>
          <w:tcPr>
            <w:tcW w:w="8720" w:type="dxa"/>
            <w:vAlign w:val="bottom"/>
          </w:tcPr>
          <w:p>
            <w:pPr>
              <w:ind w:left="600"/>
              <w:spacing w:after="0"/>
              <w:rPr>
                <w:sz w:val="20"/>
                <w:szCs w:val="20"/>
                <w:color w:val="auto"/>
              </w:rPr>
            </w:pPr>
            <w:r>
              <w:rPr>
                <w:rFonts w:ascii="Arial" w:cs="Arial" w:eastAsia="Arial" w:hAnsi="Arial"/>
                <w:sz w:val="18"/>
                <w:szCs w:val="18"/>
                <w:color w:val="auto"/>
              </w:rPr>
              <w:t>shall have the meaning as defined in Section 3.2</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Tax Authority</w:t>
            </w:r>
          </w:p>
        </w:tc>
        <w:tc>
          <w:tcPr>
            <w:tcW w:w="8720" w:type="dxa"/>
            <w:vAlign w:val="bottom"/>
          </w:tcPr>
          <w:p>
            <w:pPr>
              <w:ind w:left="600"/>
              <w:spacing w:after="0"/>
              <w:rPr>
                <w:sz w:val="20"/>
                <w:szCs w:val="20"/>
                <w:color w:val="auto"/>
              </w:rPr>
            </w:pPr>
            <w:r>
              <w:rPr>
                <w:rFonts w:ascii="Arial" w:cs="Arial" w:eastAsia="Arial" w:hAnsi="Arial"/>
                <w:sz w:val="18"/>
                <w:szCs w:val="18"/>
                <w:color w:val="auto"/>
                <w:w w:val="91"/>
              </w:rPr>
              <w:t>shall mean any governmental or other authority whatsoever competent to impose, collect or assess any Taxes,</w:t>
            </w:r>
          </w:p>
        </w:tc>
        <w:tc>
          <w:tcPr>
            <w:tcW w:w="10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whether in Switzerland or elsewhere.</w:t>
            </w:r>
          </w:p>
        </w:tc>
        <w:tc>
          <w:tcPr>
            <w:tcW w:w="100" w:type="dxa"/>
            <w:vAlign w:val="bottom"/>
          </w:tcPr>
          <w:p>
            <w:pPr>
              <w:spacing w:after="0"/>
              <w:rPr>
                <w:sz w:val="20"/>
                <w:szCs w:val="20"/>
                <w:color w:val="auto"/>
              </w:rPr>
            </w:pP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8720" w:type="dxa"/>
            <w:vAlign w:val="bottom"/>
          </w:tcPr>
          <w:p>
            <w:pPr>
              <w:ind w:left="600"/>
              <w:spacing w:after="0"/>
              <w:rPr>
                <w:sz w:val="20"/>
                <w:szCs w:val="20"/>
                <w:color w:val="auto"/>
              </w:rPr>
            </w:pPr>
            <w:r>
              <w:rPr>
                <w:rFonts w:ascii="Arial" w:cs="Arial" w:eastAsia="Arial" w:hAnsi="Arial"/>
                <w:sz w:val="18"/>
                <w:szCs w:val="18"/>
                <w:color w:val="auto"/>
                <w:w w:val="95"/>
              </w:rPr>
              <w:t>shall mean all forms of taxation and statutory, governmental, state, federal, provincial, local, government or</w:t>
            </w:r>
          </w:p>
        </w:tc>
        <w:tc>
          <w:tcPr>
            <w:tcW w:w="10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4"/>
              </w:rPr>
              <w:t>municipal charges, duties, imposts, contributions, levies, withholdings or liabilities wherever chargeable and</w:t>
            </w: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5"/>
              </w:rPr>
              <w:t>whether of Switzerland or any other jurisdiction, and any penalty, fine, surcharge, interest, charges or costs</w:t>
            </w: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0"/>
              </w:rPr>
              <w:t>relating thereto or to any account, record, form, return or computation required to be kept, preserved, maintained</w:t>
            </w:r>
          </w:p>
        </w:tc>
        <w:tc>
          <w:tcPr>
            <w:tcW w:w="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or submitted to any Tax Authority, and Taxation shall have the same meaning.</w:t>
            </w:r>
          </w:p>
        </w:tc>
        <w:tc>
          <w:tcPr>
            <w:tcW w:w="100" w:type="dxa"/>
            <w:vAlign w:val="bottom"/>
          </w:tcPr>
          <w:p>
            <w:pPr>
              <w:spacing w:after="0"/>
              <w:rPr>
                <w:sz w:val="20"/>
                <w:szCs w:val="20"/>
                <w:color w:val="auto"/>
              </w:rPr>
            </w:pP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Transaction Documents</w:t>
            </w:r>
          </w:p>
        </w:tc>
        <w:tc>
          <w:tcPr>
            <w:tcW w:w="8720" w:type="dxa"/>
            <w:vAlign w:val="bottom"/>
          </w:tcPr>
          <w:p>
            <w:pPr>
              <w:ind w:left="600"/>
              <w:spacing w:after="0"/>
              <w:rPr>
                <w:sz w:val="20"/>
                <w:szCs w:val="20"/>
                <w:color w:val="auto"/>
              </w:rPr>
            </w:pPr>
            <w:r>
              <w:rPr>
                <w:rFonts w:ascii="Arial" w:cs="Arial" w:eastAsia="Arial" w:hAnsi="Arial"/>
                <w:sz w:val="18"/>
                <w:szCs w:val="18"/>
                <w:color w:val="auto"/>
                <w:w w:val="91"/>
              </w:rPr>
              <w:t>shall mean, collectively, the Subscription Agreement, the Registration Rights Agreement and the Shareholders’</w:t>
            </w:r>
          </w:p>
        </w:tc>
        <w:tc>
          <w:tcPr>
            <w:tcW w:w="10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CURRENT EQUITY STRUCTURE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capital</w:t>
      </w:r>
    </w:p>
    <w:p>
      <w:pPr>
        <w:spacing w:after="0" w:line="117"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As at the date of this Subscription Agreement the Company has an issued statutory share capital in the nominal amount of CHF 853’900.00 divided into 34’532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92’010.00 corresponding to up to 18’402 Common Shares. The Company has no treasury shares.</w:t>
      </w:r>
    </w:p>
    <w:p>
      <w:pPr>
        <w:sectPr>
          <w:pgSz w:w="11900" w:h="16838" w:orient="portrait"/>
          <w:cols w:equalWidth="0" w:num="1">
            <w:col w:w="11420"/>
          </w:cols>
          <w:pgMar w:left="240" w:top="274" w:right="239" w:bottom="1440" w:gutter="0" w:footer="0" w:header="0"/>
        </w:sectPr>
      </w:pPr>
    </w:p>
    <w:bookmarkStart w:id="514" w:name="page515"/>
    <w:bookmarkEnd w:id="514"/>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Articles of Association</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 xml:space="preserve">The current Articles of Association (not yet reflecting the Series E Financing Round and not reflecting the exercise of 502 options in 2015) are enclosed as </w:t>
      </w:r>
      <w:r>
        <w:rPr>
          <w:rFonts w:ascii="Arial" w:cs="Arial" w:eastAsia="Arial" w:hAnsi="Arial"/>
          <w:sz w:val="18"/>
          <w:szCs w:val="18"/>
          <w:b w:val="1"/>
          <w:bCs w:val="1"/>
          <w:color w:val="auto"/>
        </w:rPr>
        <w:t>Annex 2.2</w:t>
      </w:r>
    </w:p>
    <w:p>
      <w:pPr>
        <w:spacing w:after="0" w:line="315" w:lineRule="exact"/>
        <w:rPr>
          <w:sz w:val="20"/>
          <w:szCs w:val="20"/>
          <w:color w:val="auto"/>
        </w:rPr>
      </w:pPr>
    </w:p>
    <w:p>
      <w:pPr>
        <w:ind w:left="680" w:hanging="672"/>
        <w:spacing w:after="0"/>
        <w:tabs>
          <w:tab w:leader="none" w:pos="6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SHARE CAPITAL (SERIES E FINANCING ROUND)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Subscription Undertaking</w:t>
      </w:r>
    </w:p>
    <w:p>
      <w:pPr>
        <w:spacing w:after="0" w:line="117"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Subject to the terms and conditions of this Subscription Agreement, the Company shall issue at Closing to Fidelity a total of up to 12’453 Series E Preferred Shares with a nominal value of CHF 5.00 each.</w:t>
      </w:r>
    </w:p>
    <w:p>
      <w:pPr>
        <w:spacing w:after="0" w:line="62"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Subject to the terms and conditions of this Subscription Agreement, each Investor agrees, severally and not jointly, to subscribe Series E Preferred Shares at the signing of this Subscription Agreement, for an amount of USD 2’409.06 (in words: two thousand four hundred and nine point zero six U.S. Dollars) for each Series E Preferred Share (“</w:t>
      </w:r>
      <w:r>
        <w:rPr>
          <w:rFonts w:ascii="Arial" w:cs="Arial" w:eastAsia="Arial" w:hAnsi="Arial"/>
          <w:sz w:val="18"/>
          <w:szCs w:val="18"/>
          <w:b w:val="1"/>
          <w:bCs w:val="1"/>
          <w:color w:val="auto"/>
        </w:rPr>
        <w:t>Series E Original Issue Price</w:t>
      </w:r>
      <w:r>
        <w:rPr>
          <w:rFonts w:ascii="Arial" w:cs="Arial" w:eastAsia="Arial" w:hAnsi="Arial"/>
          <w:sz w:val="18"/>
          <w:szCs w:val="18"/>
          <w:color w:val="auto"/>
        </w:rPr>
        <w:t>”). The amount of USD 2’409.06 per share shall be payable at Closing whereby the amount exceeding the nominal value of the new Series E shares shall be booked as reserves from capital paid in (</w:t>
      </w:r>
      <w:r>
        <w:rPr>
          <w:rFonts w:ascii="Arial" w:cs="Arial" w:eastAsia="Arial" w:hAnsi="Arial"/>
          <w:sz w:val="18"/>
          <w:szCs w:val="18"/>
          <w:i w:val="1"/>
          <w:iCs w:val="1"/>
          <w:color w:val="auto"/>
        </w:rPr>
        <w:t>Kapitaleinlagereserven</w:t>
      </w:r>
      <w:r>
        <w:rPr>
          <w:rFonts w:ascii="Arial" w:cs="Arial" w:eastAsia="Arial" w:hAnsi="Arial"/>
          <w:sz w:val="18"/>
          <w:szCs w:val="18"/>
          <w:color w:val="auto"/>
        </w:rPr>
        <w:t>). The commitment by each Investor shall be as follows: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Party</w:t>
            </w:r>
          </w:p>
        </w:tc>
        <w:tc>
          <w:tcPr>
            <w:tcW w:w="1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Number of Series 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Subscription amount</w:t>
            </w:r>
          </w:p>
        </w:tc>
        <w:tc>
          <w:tcPr>
            <w:tcW w:w="0" w:type="dxa"/>
            <w:vAlign w:val="bottom"/>
          </w:tcPr>
          <w:p>
            <w:pPr>
              <w:spacing w:after="0"/>
              <w:rPr>
                <w:sz w:val="1"/>
                <w:szCs w:val="1"/>
                <w:color w:val="auto"/>
              </w:rPr>
            </w:pPr>
          </w:p>
        </w:tc>
      </w:tr>
      <w:tr>
        <w:trPr>
          <w:trHeight w:val="165"/>
        </w:trPr>
        <w:tc>
          <w:tcPr>
            <w:tcW w:w="50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Preferred Share</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Closing (in USD)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Select Portfolios: Biotechnology Portfolio</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3’948’449.34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w w:val="99"/>
              </w:rPr>
              <w:t>Fidelity Advisor Series VII: Fidelity Advisor Biotechnology Fund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50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975’669.30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Fidelity Securities Fund: Fidelity Series Blue Chip Growth Fund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1’852’567.14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Fidelity Blue Chip Growth Commingled Pool</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gridSpan w:val="3"/>
          </w:tcPr>
          <w:p>
            <w:pPr>
              <w:spacing w:after="0"/>
              <w:rPr>
                <w:sz w:val="20"/>
                <w:szCs w:val="20"/>
                <w:color w:val="auto"/>
              </w:rPr>
            </w:pPr>
            <w:r>
              <w:rPr>
                <w:rFonts w:ascii="Arial" w:cs="Arial" w:eastAsia="Arial" w:hAnsi="Arial"/>
                <w:sz w:val="18"/>
                <w:szCs w:val="18"/>
                <w:color w:val="auto"/>
              </w:rPr>
              <w:t>By: Fidelity Management &amp; Trust Co.</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36’135.90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Pyramis Lifecycle Blue Chip Growth Commingled Pool</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 Pyramis Global Advisors Trust Company, as Trustee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274’632.84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Fidelity Securities Fund: Fidelity Blue Chip Growth Fund</w:t>
            </w:r>
          </w:p>
        </w:tc>
        <w:tc>
          <w:tcPr>
            <w:tcW w:w="260" w:type="dxa"/>
            <w:vAlign w:val="bottom"/>
          </w:tcPr>
          <w:p>
            <w:pPr>
              <w:spacing w:after="0"/>
              <w:rPr>
                <w:sz w:val="24"/>
                <w:szCs w:val="2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2’412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5’810’652.72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Fidelity</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5’354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12’898’107.24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Other investors adhering to this Subscription Agreement</w:t>
            </w:r>
          </w:p>
        </w:tc>
        <w:tc>
          <w:tcPr>
            <w:tcW w:w="260" w:type="dxa"/>
            <w:vAlign w:val="bottom"/>
          </w:tcPr>
          <w:p>
            <w:pPr>
              <w:spacing w:after="0"/>
              <w:rPr>
                <w:sz w:val="24"/>
                <w:szCs w:val="2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Up to 15’182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Up to 36’574’348.92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overall</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Up to 20’536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Up to 49’472’456.16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Each Investor other than Fidelity shall indicate the commitment by such Investor in an adherence declaration substantially in the form of </w:t>
      </w:r>
      <w:r>
        <w:rPr>
          <w:rFonts w:ascii="Arial" w:cs="Arial" w:eastAsia="Arial" w:hAnsi="Arial"/>
          <w:sz w:val="16"/>
          <w:szCs w:val="16"/>
          <w:b w:val="1"/>
          <w:bCs w:val="1"/>
          <w:color w:val="auto"/>
        </w:rPr>
        <w:t>Annex 3.1</w:t>
      </w:r>
    </w:p>
    <w:p>
      <w:pPr>
        <w:sectPr>
          <w:pgSz w:w="11900" w:h="16838" w:orient="portrait"/>
          <w:cols w:equalWidth="0" w:num="1">
            <w:col w:w="11420"/>
          </w:cols>
          <w:pgMar w:left="240" w:top="274" w:right="239" w:bottom="1440" w:gutter="0" w:footer="0" w:header="0"/>
        </w:sectPr>
      </w:pPr>
    </w:p>
    <w:bookmarkStart w:id="515" w:name="page516"/>
    <w:bookmarkEnd w:id="515"/>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Payment Undertaking at Closing</w:t>
      </w:r>
    </w:p>
    <w:p>
      <w:pPr>
        <w:spacing w:after="0" w:line="117"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In implementation of the subscription in cash undertaking, each Investor hereby undertakes to execute and deliver to the Company on or prior to the Closing a subscription form as required by Swiss corporate law substantially in the form attached hereto as </w:t>
      </w:r>
      <w:r>
        <w:rPr>
          <w:rFonts w:ascii="Arial" w:cs="Arial" w:eastAsia="Arial" w:hAnsi="Arial"/>
          <w:sz w:val="18"/>
          <w:szCs w:val="18"/>
          <w:b w:val="1"/>
          <w:bCs w:val="1"/>
          <w:color w:val="auto"/>
        </w:rPr>
        <w:t>Annex 3.2 (</w:t>
      </w:r>
      <w:r>
        <w:rPr>
          <w:rFonts w:ascii="Arial" w:cs="Arial" w:eastAsia="Arial" w:hAnsi="Arial"/>
          <w:sz w:val="18"/>
          <w:szCs w:val="18"/>
          <w:color w:val="auto"/>
        </w:rPr>
        <w:t>“</w:t>
      </w:r>
      <w:r>
        <w:rPr>
          <w:rFonts w:ascii="Arial" w:cs="Arial" w:eastAsia="Arial" w:hAnsi="Arial"/>
          <w:sz w:val="18"/>
          <w:szCs w:val="18"/>
          <w:b w:val="1"/>
          <w:bCs w:val="1"/>
          <w:color w:val="auto"/>
        </w:rPr>
        <w:t>Subscription Form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pay the corresponding subscription amount to the following blocked capital account in the name of the Company (“</w:t>
      </w:r>
      <w:r>
        <w:rPr>
          <w:rFonts w:ascii="Arial" w:cs="Arial" w:eastAsia="Arial" w:hAnsi="Arial"/>
          <w:sz w:val="18"/>
          <w:szCs w:val="18"/>
          <w:b w:val="1"/>
          <w:bCs w:val="1"/>
          <w:color w:val="auto"/>
        </w:rPr>
        <w:t>Blocked Capital Account</w:t>
      </w:r>
      <w:r>
        <w:rPr>
          <w:rFonts w:ascii="Arial" w:cs="Arial" w:eastAsia="Arial" w:hAnsi="Arial"/>
          <w:sz w:val="18"/>
          <w:szCs w:val="18"/>
          <w:color w:val="auto"/>
        </w:rPr>
        <w:t xml:space="preserve">”; </w:t>
      </w:r>
      <w:r>
        <w:rPr>
          <w:rFonts w:ascii="Arial" w:cs="Arial" w:eastAsia="Arial" w:hAnsi="Arial"/>
          <w:sz w:val="18"/>
          <w:szCs w:val="18"/>
          <w:i w:val="1"/>
          <w:iCs w:val="1"/>
          <w:color w:val="auto"/>
        </w:rPr>
        <w:t>Kapitaleinzahlungssperrkonto / compte de consignation</w:t>
      </w:r>
      <w:r>
        <w:rPr>
          <w:rFonts w:ascii="Arial" w:cs="Arial" w:eastAsia="Arial" w:hAnsi="Arial"/>
          <w:sz w:val="18"/>
          <w:szCs w:val="18"/>
          <w:color w:val="auto"/>
        </w:rPr>
        <w:t>):</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Please send cash (USD) to the following bank: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Bank of New York Mellon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Wall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US-New York</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ABA 021000018</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Swift-Code (BIC):</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IRVTUS3NXXX</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further credit to (Field 57) :</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A/C-Nr : 8033342099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CH-8070 Zurich</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MT103 to :</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CRESCHZZ80A</w:t>
      </w:r>
    </w:p>
    <w:p>
      <w:pPr>
        <w:sectPr>
          <w:pgSz w:w="11900" w:h="16838" w:orient="portrait"/>
          <w:cols w:equalWidth="0" w:num="1">
            <w:col w:w="11420"/>
          </w:cols>
          <w:pgMar w:left="240" w:top="273" w:right="239" w:bottom="1440" w:gutter="0" w:footer="0" w:header="0"/>
        </w:sectPr>
      </w:pPr>
    </w:p>
    <w:bookmarkStart w:id="516" w:name="page517"/>
    <w:bookmarkEnd w:id="516"/>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b w:val="1"/>
          <w:bCs w:val="1"/>
          <w:color w:val="auto"/>
        </w:rPr>
        <w:t>Beneficiary’s name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 Lausanne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Beneficiary’s IBAN (A/C No)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CH72 0483 5173 7769 4200 7</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Reference: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 Capital Increase of AC Immune SA</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Resolution passed by the Extraordinary General Meeting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resolution shall be passed at the Extraordinary General Meeting on the Closing:</w:t>
      </w:r>
    </w:p>
    <w:p>
      <w:pPr>
        <w:spacing w:after="0" w:line="131" w:lineRule="exact"/>
        <w:rPr>
          <w:sz w:val="20"/>
          <w:szCs w:val="20"/>
          <w:color w:val="auto"/>
        </w:rPr>
      </w:pPr>
    </w:p>
    <w:p>
      <w:pPr>
        <w:ind w:left="1120" w:right="60" w:hanging="437"/>
        <w:spacing w:after="0" w:line="276" w:lineRule="auto"/>
        <w:tabs>
          <w:tab w:leader="none" w:pos="11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to increase the nominal statutory share capital of the Company by the total amount of the Series E Original Issue Price of all Series E Preferred Shares validly subscriped for pursuant to Section 3.2 of this Subscription Agreement through the issuance of the number of Series E Preferred Shares validly subscribed for pursuant to Section 3.2 of this Subscription Agreement but by the aggregate amount of a maximum of CHF 102’680 to up to CHF 956’580 through the issuance of a maximum of 20’536 new Series E Preferred Shares with a nominal value of CHF 5.00 each at the subscription amount to be determined by the Board; and</w:t>
      </w:r>
    </w:p>
    <w:p>
      <w:pPr>
        <w:spacing w:after="0" w:line="73" w:lineRule="exact"/>
        <w:rPr>
          <w:rFonts w:ascii="Arial" w:cs="Arial" w:eastAsia="Arial" w:hAnsi="Arial"/>
          <w:sz w:val="17"/>
          <w:szCs w:val="17"/>
          <w:color w:val="auto"/>
        </w:rPr>
      </w:pPr>
    </w:p>
    <w:p>
      <w:pPr>
        <w:ind w:left="1120" w:hanging="437"/>
        <w:spacing w:after="0"/>
        <w:tabs>
          <w:tab w:leader="none" w:pos="112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to adopt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as to all items except the share capital and the numbers of Series E Preferred Shares</w:t>
      </w:r>
    </w:p>
    <w:p>
      <w:pPr>
        <w:spacing w:after="0" w:line="15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3.4</w:t>
      </w:r>
      <w:r>
        <w:rPr>
          <w:rFonts w:ascii="Arial" w:cs="Arial" w:eastAsia="Arial" w:hAnsi="Arial"/>
          <w:sz w:val="16"/>
          <w:szCs w:val="16"/>
          <w:color w:val="auto"/>
        </w:rPr>
        <w:t>Resolution of the Board</w:t>
      </w:r>
    </w:p>
    <w:p>
      <w:pPr>
        <w:spacing w:after="0" w:line="117"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The Company undertakes to procure that the Board of Directors of the Company will prior to Closing approve the issuance of the Series E Preferred Shares at the Series E Original Issue Price (execution resolution, </w:t>
      </w:r>
      <w:r>
        <w:rPr>
          <w:rFonts w:ascii="Arial" w:cs="Arial" w:eastAsia="Arial" w:hAnsi="Arial"/>
          <w:sz w:val="18"/>
          <w:szCs w:val="18"/>
          <w:i w:val="1"/>
          <w:iCs w:val="1"/>
          <w:color w:val="auto"/>
        </w:rPr>
        <w:t>Durchführungsbeschluss</w:t>
      </w:r>
      <w:r>
        <w:rPr>
          <w:rFonts w:ascii="Arial" w:cs="Arial" w:eastAsia="Arial" w:hAnsi="Arial"/>
          <w:sz w:val="18"/>
          <w:szCs w:val="18"/>
          <w:color w:val="auto"/>
        </w:rPr>
        <w:t>).</w:t>
      </w:r>
    </w:p>
    <w:p>
      <w:pPr>
        <w:spacing w:after="0" w:line="315" w:lineRule="exact"/>
        <w:rPr>
          <w:sz w:val="20"/>
          <w:szCs w:val="20"/>
          <w:color w:val="auto"/>
        </w:rPr>
      </w:pPr>
    </w:p>
    <w:p>
      <w:pPr>
        <w:ind w:left="680" w:hanging="672"/>
        <w:spacing w:after="0"/>
        <w:tabs>
          <w:tab w:leader="none" w:pos="6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STRUCTURE AFTER SERIES E FINANCING ROUND</w:t>
      </w:r>
    </w:p>
    <w:p>
      <w:pPr>
        <w:spacing w:after="0" w:line="121" w:lineRule="exact"/>
        <w:rPr>
          <w:rFonts w:ascii="Arial" w:cs="Arial" w:eastAsia="Arial" w:hAnsi="Arial"/>
          <w:sz w:val="18"/>
          <w:szCs w:val="18"/>
          <w:b w:val="1"/>
          <w:bCs w:val="1"/>
          <w:color w:val="auto"/>
        </w:rPr>
      </w:pPr>
    </w:p>
    <w:p>
      <w:pPr>
        <w:ind w:left="7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Prior and after completion of the initial closing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r>
        <w:rPr>
          <w:rFonts w:ascii="Arial" w:cs="Arial" w:eastAsia="Arial" w:hAnsi="Arial"/>
          <w:sz w:val="18"/>
          <w:szCs w:val="18"/>
          <w:color w:val="auto"/>
        </w:rPr>
        <w:t>.</w:t>
      </w:r>
    </w:p>
    <w:p>
      <w:pPr>
        <w:spacing w:after="0" w:line="315" w:lineRule="exact"/>
        <w:rPr>
          <w:rFonts w:ascii="Arial" w:cs="Arial" w:eastAsia="Arial" w:hAnsi="Arial"/>
          <w:sz w:val="18"/>
          <w:szCs w:val="18"/>
          <w:b w:val="1"/>
          <w:bCs w:val="1"/>
          <w:color w:val="auto"/>
        </w:rPr>
      </w:pPr>
    </w:p>
    <w:p>
      <w:pPr>
        <w:ind w:left="680" w:hanging="672"/>
        <w:spacing w:after="0"/>
        <w:tabs>
          <w:tab w:leader="none" w:pos="6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Place and Date of Closing</w:t>
      </w:r>
    </w:p>
    <w:p>
      <w:pPr>
        <w:spacing w:after="0" w:line="113" w:lineRule="exact"/>
        <w:rPr>
          <w:sz w:val="20"/>
          <w:szCs w:val="20"/>
          <w:color w:val="auto"/>
        </w:rPr>
      </w:pPr>
    </w:p>
    <w:p>
      <w:pPr>
        <w:ind w:left="700" w:right="480"/>
        <w:spacing w:after="0" w:line="313" w:lineRule="auto"/>
        <w:rPr>
          <w:sz w:val="20"/>
          <w:szCs w:val="20"/>
          <w:color w:val="auto"/>
        </w:rPr>
      </w:pPr>
      <w:r>
        <w:rPr>
          <w:rFonts w:ascii="Arial" w:cs="Arial" w:eastAsia="Arial" w:hAnsi="Arial"/>
          <w:sz w:val="17"/>
          <w:szCs w:val="17"/>
          <w:color w:val="auto"/>
        </w:rPr>
        <w:t>The closing of the Series E Financing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on October 15, 2015, at 11.a.m. Swiss time at the offices of VISCHER AG, Aeschenvorstadt 4, 4010 Basel, Switzerland, or such other date or place as the Company and Fidelity mutually agree.</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Conditions Precedent to Closing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7"/>
          <w:szCs w:val="17"/>
          <w:color w:val="auto"/>
        </w:rPr>
        <w:t>Conditions in favor of Fidelity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Closing shall be subject to the prior fulfillment of each of the following conditions precedent in favor of Fidelity unless otherwise waived:</w:t>
      </w:r>
    </w:p>
    <w:p>
      <w:pPr>
        <w:spacing w:after="0" w:line="142" w:lineRule="exact"/>
        <w:rPr>
          <w:sz w:val="20"/>
          <w:szCs w:val="20"/>
          <w:color w:val="auto"/>
        </w:rPr>
      </w:pPr>
    </w:p>
    <w:p>
      <w:pPr>
        <w:ind w:left="1120" w:right="80" w:hanging="437"/>
        <w:spacing w:after="0" w:line="342" w:lineRule="auto"/>
        <w:tabs>
          <w:tab w:leader="none" w:pos="11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Section 7.1 shall be true and correct in all material respects as of the Closing (except that representations and warranties qualified by materiality or a Material Adverse Effect shall be true and correct in all respects).</w:t>
      </w:r>
    </w:p>
    <w:p>
      <w:pPr>
        <w:sectPr>
          <w:pgSz w:w="11900" w:h="16838" w:orient="portrait"/>
          <w:cols w:equalWidth="0" w:num="1">
            <w:col w:w="11420"/>
          </w:cols>
          <w:pgMar w:left="240" w:top="274" w:right="239" w:bottom="1440" w:gutter="0" w:footer="0" w:header="0"/>
        </w:sectPr>
      </w:pPr>
    </w:p>
    <w:bookmarkStart w:id="517" w:name="page518"/>
    <w:bookmarkEnd w:id="51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right="240" w:hanging="437"/>
        <w:spacing w:after="0" w:line="277" w:lineRule="auto"/>
        <w:tabs>
          <w:tab w:leader="none" w:pos="11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Company shall have performed and complied with all covenants, agreements, obligations and conditions contained in this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1120" w:right="400" w:hanging="437"/>
        <w:spacing w:after="0" w:line="342" w:lineRule="auto"/>
        <w:tabs>
          <w:tab w:leader="none" w:pos="11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and the other shareholders of the Company representing 85% of all outstanding Shares prior to the Closing of the Series E Financing Round shall have executed and delivered the Shareholders’ Agreement (or a joinder agreement thereto), in substantially the form of </w:t>
      </w:r>
      <w:r>
        <w:rPr>
          <w:rFonts w:ascii="Arial" w:cs="Arial" w:eastAsia="Arial" w:hAnsi="Arial"/>
          <w:sz w:val="18"/>
          <w:szCs w:val="18"/>
          <w:b w:val="1"/>
          <w:bCs w:val="1"/>
          <w:color w:val="auto"/>
        </w:rPr>
        <w:t>Annex 0</w:t>
      </w:r>
      <w:r>
        <w:rPr>
          <w:rFonts w:ascii="Arial" w:cs="Arial" w:eastAsia="Arial" w:hAnsi="Arial"/>
          <w:sz w:val="18"/>
          <w:szCs w:val="18"/>
          <w:color w:val="auto"/>
        </w:rPr>
        <w:t xml:space="preserve"> hereto.</w:t>
      </w:r>
    </w:p>
    <w:p>
      <w:pPr>
        <w:spacing w:after="0" w:line="86" w:lineRule="exact"/>
        <w:rPr>
          <w:rFonts w:ascii="Arial" w:cs="Arial" w:eastAsia="Arial" w:hAnsi="Arial"/>
          <w:sz w:val="18"/>
          <w:szCs w:val="18"/>
          <w:color w:val="auto"/>
        </w:rPr>
      </w:pPr>
    </w:p>
    <w:p>
      <w:pPr>
        <w:ind w:left="1120" w:right="20" w:hanging="437"/>
        <w:spacing w:after="0" w:line="342" w:lineRule="auto"/>
        <w:tabs>
          <w:tab w:leader="none" w:pos="11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The Company, Fidelity, any other Investor requesting so and the other shareholders of the Company named as parties thereto shall have executed and delivered the Registration Rights Agreement (or a joinder agreement thereto), in substantially the form of </w:t>
      </w:r>
      <w:r>
        <w:rPr>
          <w:rFonts w:ascii="Arial" w:cs="Arial" w:eastAsia="Arial" w:hAnsi="Arial"/>
          <w:sz w:val="16"/>
          <w:szCs w:val="16"/>
          <w:b w:val="1"/>
          <w:bCs w:val="1"/>
          <w:color w:val="auto"/>
        </w:rPr>
        <w:t>Annex 5.2.1(e)</w:t>
      </w:r>
      <w:r>
        <w:rPr>
          <w:rFonts w:ascii="Arial" w:cs="Arial" w:eastAsia="Arial" w:hAnsi="Arial"/>
          <w:sz w:val="16"/>
          <w:szCs w:val="16"/>
          <w:color w:val="auto"/>
        </w:rPr>
        <w:t xml:space="preserve"> hereto.</w:t>
      </w:r>
    </w:p>
    <w:p>
      <w:pPr>
        <w:spacing w:after="0" w:line="29" w:lineRule="exact"/>
        <w:rPr>
          <w:rFonts w:ascii="Arial" w:cs="Arial" w:eastAsia="Arial" w:hAnsi="Arial"/>
          <w:sz w:val="16"/>
          <w:szCs w:val="16"/>
          <w:color w:val="auto"/>
        </w:rPr>
      </w:pPr>
    </w:p>
    <w:p>
      <w:pPr>
        <w:ind w:left="1120" w:right="240" w:hanging="437"/>
        <w:spacing w:after="0" w:line="277" w:lineRule="auto"/>
        <w:tabs>
          <w:tab w:leader="none" w:pos="11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Fidelity and any other Investor requesting so shall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attached to this Subscription Agreement.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Legal counsel shall have delivered to Fidelity and any other Investor requesting so a certificate, dated as of the date of such Closing, certifying</w:t>
      </w:r>
    </w:p>
    <w:p>
      <w:pPr>
        <w:spacing w:after="0" w:line="46" w:lineRule="exact"/>
        <w:rPr>
          <w:rFonts w:ascii="Arial" w:cs="Arial" w:eastAsia="Arial" w:hAnsi="Arial"/>
          <w:sz w:val="16"/>
          <w:szCs w:val="16"/>
          <w:color w:val="auto"/>
        </w:rPr>
      </w:pPr>
    </w:p>
    <w:p>
      <w:pPr>
        <w:ind w:left="1120" w:right="8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8"/>
          <w:szCs w:val="18"/>
          <w:b w:val="1"/>
          <w:bCs w:val="1"/>
          <w:color w:val="auto"/>
        </w:rPr>
        <w:t>Annex 3.3</w:t>
      </w:r>
    </w:p>
    <w:p>
      <w:pPr>
        <w:spacing w:after="0" w:line="95" w:lineRule="exact"/>
        <w:rPr>
          <w:rFonts w:ascii="Arial" w:cs="Arial" w:eastAsia="Arial" w:hAnsi="Arial"/>
          <w:sz w:val="16"/>
          <w:szCs w:val="16"/>
          <w:color w:val="auto"/>
        </w:rPr>
      </w:pPr>
    </w:p>
    <w:p>
      <w:pPr>
        <w:jc w:val="both"/>
        <w:ind w:left="1120" w:right="60" w:hanging="437"/>
        <w:spacing w:after="0" w:line="264" w:lineRule="auto"/>
        <w:tabs>
          <w:tab w:leader="none" w:pos="11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Fidelity and the Investors shall have received all such counterpart original and certified or other copies of such documents as reasonably requested.</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Conditions in favor of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Closing shall be subject to the prior fulfillment of each of the following conditions precedent in favor of the Company, unless otherwise waived:</w:t>
      </w:r>
    </w:p>
    <w:p>
      <w:pPr>
        <w:spacing w:after="0" w:line="154" w:lineRule="exact"/>
        <w:rPr>
          <w:sz w:val="20"/>
          <w:szCs w:val="20"/>
          <w:color w:val="auto"/>
        </w:rPr>
      </w:pPr>
    </w:p>
    <w:p>
      <w:pPr>
        <w:ind w:left="1120" w:hanging="437"/>
        <w:spacing w:after="0"/>
        <w:tabs>
          <w:tab w:leader="none" w:pos="112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representations and warranties of each Investor contained in Section 7.2 shall be true and correct in all respects as of such Closing.</w:t>
      </w:r>
    </w:p>
    <w:p>
      <w:pPr>
        <w:spacing w:after="0" w:line="142" w:lineRule="exact"/>
        <w:rPr>
          <w:rFonts w:ascii="Arial" w:cs="Arial" w:eastAsia="Arial" w:hAnsi="Arial"/>
          <w:sz w:val="17"/>
          <w:szCs w:val="17"/>
          <w:color w:val="auto"/>
        </w:rPr>
      </w:pPr>
    </w:p>
    <w:p>
      <w:pPr>
        <w:ind w:left="1120" w:right="280" w:hanging="437"/>
        <w:spacing w:after="0" w:line="277" w:lineRule="auto"/>
        <w:tabs>
          <w:tab w:leader="none" w:pos="11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Investors shall have performed and complied with all covenants, agreements, obligations and conditions contained in this Subscription Agreement that are required to be performed or complied with by them on or before such Closing.</w:t>
      </w:r>
    </w:p>
    <w:p>
      <w:pPr>
        <w:sectPr>
          <w:pgSz w:w="11900" w:h="16838" w:orient="portrait"/>
          <w:cols w:equalWidth="0" w:num="1">
            <w:col w:w="11420"/>
          </w:cols>
          <w:pgMar w:left="240" w:top="274" w:right="239" w:bottom="1440" w:gutter="0" w:footer="0" w:header="0"/>
        </w:sectPr>
      </w:pPr>
    </w:p>
    <w:bookmarkStart w:id="518" w:name="page519"/>
    <w:bookmarkEnd w:id="518"/>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right="400" w:hanging="437"/>
        <w:spacing w:after="0" w:line="342" w:lineRule="auto"/>
        <w:tabs>
          <w:tab w:leader="none" w:pos="11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and the other shareholders of the Company representing 85% of all outstanding Shares prior to the Closing of the Series E Financing Round shall have executed and delivered the Shareholders’ Agreement, in substantially the form of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 </w:t>
      </w:r>
      <w:r>
        <w:rPr>
          <w:rFonts w:ascii="Arial" w:cs="Arial" w:eastAsia="Arial" w:hAnsi="Arial"/>
          <w:sz w:val="18"/>
          <w:szCs w:val="18"/>
          <w:color w:val="auto"/>
        </w:rPr>
        <w:t>hereto.</w:t>
      </w:r>
    </w:p>
    <w:p>
      <w:pPr>
        <w:spacing w:after="0" w:line="82" w:lineRule="exact"/>
        <w:rPr>
          <w:rFonts w:ascii="Arial" w:cs="Arial" w:eastAsia="Arial" w:hAnsi="Arial"/>
          <w:sz w:val="18"/>
          <w:szCs w:val="18"/>
          <w:color w:val="auto"/>
        </w:rPr>
      </w:pPr>
    </w:p>
    <w:p>
      <w:pPr>
        <w:ind w:left="1120" w:hanging="437"/>
        <w:spacing w:after="0"/>
        <w:tabs>
          <w:tab w:leader="none" w:pos="112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The Investors requesting so shall have executed and delivered the Registration Rights Agreement substantially in the form of </w:t>
      </w:r>
      <w:r>
        <w:rPr>
          <w:rFonts w:ascii="Arial" w:cs="Arial" w:eastAsia="Arial" w:hAnsi="Arial"/>
          <w:sz w:val="16"/>
          <w:szCs w:val="16"/>
          <w:b w:val="1"/>
          <w:bCs w:val="1"/>
          <w:color w:val="auto"/>
        </w:rPr>
        <w:t>Annex 5.2.1(f).</w:t>
      </w:r>
    </w:p>
    <w:p>
      <w:pPr>
        <w:spacing w:after="0" w:line="157" w:lineRule="exact"/>
        <w:rPr>
          <w:rFonts w:ascii="Arial" w:cs="Arial" w:eastAsia="Arial" w:hAnsi="Arial"/>
          <w:sz w:val="16"/>
          <w:szCs w:val="16"/>
          <w:color w:val="auto"/>
        </w:rPr>
      </w:pPr>
    </w:p>
    <w:p>
      <w:pPr>
        <w:ind w:left="1120" w:right="440" w:hanging="437"/>
        <w:spacing w:after="0" w:line="277"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Closing Actions for Closing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Closing, the relevant Party shall deliver the following documents, duly executed and in form and substance satisfactory to the Company and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w:t>
      </w:r>
    </w:p>
    <w:p>
      <w:pPr>
        <w:spacing w:after="0" w:line="116" w:lineRule="exact"/>
        <w:rPr>
          <w:sz w:val="20"/>
          <w:szCs w:val="20"/>
          <w:color w:val="auto"/>
        </w:rPr>
      </w:pPr>
    </w:p>
    <w:p>
      <w:pPr>
        <w:ind w:left="1120" w:right="620" w:hanging="437"/>
        <w:spacing w:after="0" w:line="277" w:lineRule="auto"/>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a bring-down certificate of the Company confirming that the conditions precedent set out in Section 5.1 are satisfied as of the Closing, substantially in the form attached hereto in </w:t>
      </w:r>
      <w:r>
        <w:rPr>
          <w:rFonts w:ascii="Arial" w:cs="Arial" w:eastAsia="Arial" w:hAnsi="Arial"/>
          <w:sz w:val="18"/>
          <w:szCs w:val="18"/>
          <w:b w:val="1"/>
          <w:bCs w:val="1"/>
          <w:color w:val="auto"/>
        </w:rPr>
        <w:t>Annex 5.3(a)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 duly signed application to the Register of Commerce regarding the increase of the share capital to reflect the Series E Financing Round;</w:t>
      </w:r>
    </w:p>
    <w:p>
      <w:pPr>
        <w:spacing w:after="0" w:line="153" w:lineRule="exact"/>
        <w:rPr>
          <w:rFonts w:ascii="Arial" w:cs="Arial" w:eastAsia="Arial" w:hAnsi="Arial"/>
          <w:sz w:val="16"/>
          <w:szCs w:val="16"/>
          <w:color w:val="auto"/>
        </w:rPr>
      </w:pPr>
    </w:p>
    <w:p>
      <w:pPr>
        <w:ind w:left="1120" w:right="100" w:hanging="437"/>
        <w:spacing w:after="0" w:line="277" w:lineRule="auto"/>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at least USD 12’898’107.24 (plus any amount required to be paid in by the Investors other than Fidelity) has been paid in cash and fully credited to the Blocked Capital Account; and</w:t>
      </w:r>
    </w:p>
    <w:p>
      <w:pPr>
        <w:spacing w:after="0" w:line="75" w:lineRule="exact"/>
        <w:rPr>
          <w:rFonts w:ascii="Arial" w:cs="Arial" w:eastAsia="Arial" w:hAnsi="Arial"/>
          <w:sz w:val="18"/>
          <w:szCs w:val="18"/>
          <w:color w:val="auto"/>
        </w:rPr>
      </w:pPr>
    </w:p>
    <w:p>
      <w:pPr>
        <w:ind w:left="1120" w:right="440" w:hanging="437"/>
        <w:spacing w:after="0" w:line="342" w:lineRule="auto"/>
        <w:tabs>
          <w:tab w:leader="none" w:pos="112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circular resolutions or minutes evidencing the Board resolution regarding registration of the Investors as owners with voting rights of the relevant number of Series E Preferred Shares subscribed by the Investors in the Company’s share register upon Full Consummation.</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Upon the delivery of these documents, the following actions shall be performed:</w:t>
      </w:r>
    </w:p>
    <w:p>
      <w:pPr>
        <w:spacing w:after="0" w:line="127" w:lineRule="exact"/>
        <w:rPr>
          <w:sz w:val="20"/>
          <w:szCs w:val="20"/>
          <w:color w:val="auto"/>
        </w:rPr>
      </w:pPr>
    </w:p>
    <w:p>
      <w:pPr>
        <w:ind w:left="1120" w:hanging="437"/>
        <w:spacing w:after="0" w:line="282" w:lineRule="auto"/>
        <w:tabs>
          <w:tab w:leader="none" w:pos="11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Each Investor shall deliver its duly signed Subscription Form (as original or at least as PDF copy) substantially in the form as set out in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3.2.</w:t>
      </w:r>
    </w:p>
    <w:p>
      <w:pPr>
        <w:spacing w:after="0" w:line="71" w:lineRule="exact"/>
        <w:rPr>
          <w:rFonts w:ascii="Arial" w:cs="Arial" w:eastAsia="Arial" w:hAnsi="Arial"/>
          <w:sz w:val="18"/>
          <w:szCs w:val="18"/>
          <w:color w:val="auto"/>
        </w:rPr>
      </w:pPr>
    </w:p>
    <w:p>
      <w:pPr>
        <w:ind w:left="1120" w:right="140" w:hanging="437"/>
        <w:spacing w:after="0" w:line="286" w:lineRule="auto"/>
        <w:tabs>
          <w:tab w:leader="none" w:pos="112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Board shall issue its report on the capital increase (</w:t>
      </w:r>
      <w:r>
        <w:rPr>
          <w:rFonts w:ascii="Arial" w:cs="Arial" w:eastAsia="Arial" w:hAnsi="Arial"/>
          <w:sz w:val="17"/>
          <w:szCs w:val="17"/>
          <w:i w:val="1"/>
          <w:iCs w:val="1"/>
          <w:color w:val="auto"/>
        </w:rPr>
        <w:t>Kapitalerhöhungsbericht / rapport d’augmentation</w:t>
      </w:r>
      <w:r>
        <w:rPr>
          <w:rFonts w:ascii="Arial" w:cs="Arial" w:eastAsia="Arial" w:hAnsi="Arial"/>
          <w:sz w:val="17"/>
          <w:szCs w:val="17"/>
          <w:color w:val="auto"/>
        </w:rPr>
        <w:t>), take the resolutions on the implementation of the Series E Financing (</w:t>
      </w:r>
      <w:r>
        <w:rPr>
          <w:rFonts w:ascii="Arial" w:cs="Arial" w:eastAsia="Arial" w:hAnsi="Arial"/>
          <w:sz w:val="17"/>
          <w:szCs w:val="17"/>
          <w:i w:val="1"/>
          <w:iCs w:val="1"/>
          <w:color w:val="auto"/>
        </w:rPr>
        <w:t>Feststellungsbeschluss / decision de constatation</w:t>
      </w:r>
      <w:r>
        <w:rPr>
          <w:rFonts w:ascii="Arial" w:cs="Arial" w:eastAsia="Arial" w:hAnsi="Arial"/>
          <w:sz w:val="17"/>
          <w:szCs w:val="17"/>
          <w:color w:val="auto"/>
        </w:rPr>
        <w:t xml:space="preserve">) in the presence of a public notary and adopt the Revised Articles of Association in </w:t>
      </w:r>
      <w:r>
        <w:rPr>
          <w:rFonts w:ascii="Arial" w:cs="Arial" w:eastAsia="Arial" w:hAnsi="Arial"/>
          <w:sz w:val="17"/>
          <w:szCs w:val="17"/>
          <w:b w:val="1"/>
          <w:bCs w:val="1"/>
          <w:color w:val="auto"/>
        </w:rPr>
        <w:t>Annex 3.3</w:t>
      </w:r>
      <w:r>
        <w:rPr>
          <w:rFonts w:ascii="Arial" w:cs="Arial" w:eastAsia="Arial" w:hAnsi="Arial"/>
          <w:sz w:val="17"/>
          <w:szCs w:val="17"/>
          <w:color w:val="auto"/>
        </w:rPr>
        <w:t xml:space="preserve"> including the final share capital and the numbers of Series E Preferred Shares.</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file the application with the Register of Commerce immediately after receipt of the above executed documents.</w:t>
      </w:r>
    </w:p>
    <w:p>
      <w:pPr>
        <w:sectPr>
          <w:pgSz w:w="11900" w:h="16838" w:orient="portrait"/>
          <w:cols w:equalWidth="0" w:num="1">
            <w:col w:w="11420"/>
          </w:cols>
          <w:pgMar w:left="240" w:top="274" w:right="239" w:bottom="1440" w:gutter="0" w:footer="0" w:header="0"/>
        </w:sectPr>
      </w:pPr>
    </w:p>
    <w:bookmarkStart w:id="519" w:name="page520"/>
    <w:bookmarkEnd w:id="519"/>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0" w:hanging="672"/>
        <w:spacing w:after="0"/>
        <w:tabs>
          <w:tab w:leader="none" w:pos="68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RECISSION</w:t>
      </w:r>
    </w:p>
    <w:p>
      <w:pPr>
        <w:spacing w:after="0" w:line="121" w:lineRule="exact"/>
        <w:rPr>
          <w:rFonts w:ascii="Arial" w:cs="Arial" w:eastAsia="Arial" w:hAnsi="Arial"/>
          <w:sz w:val="18"/>
          <w:szCs w:val="18"/>
          <w:b w:val="1"/>
          <w:bCs w:val="1"/>
          <w:color w:val="auto"/>
        </w:rPr>
      </w:pPr>
    </w:p>
    <w:p>
      <w:pPr>
        <w:ind w:left="70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no Full Consummation of the Series E Financing occurs until the later of 20 calendar days after the Closing or 40 calendar days after the date of this Subscription Agreement, if the Investor did not cause such delay by a breach of any of its material obligations under this Subscription Agreement, the Investor shall have the right (but not the obligation) to terminate and rescind this Subscription Agreement and any documents, instruments or deeds executed by the Investor (including, but not limited to, the Subscription Forms) with immediate effect by written notice to all other Parties.</w:t>
      </w:r>
    </w:p>
    <w:p>
      <w:pPr>
        <w:spacing w:after="0" w:line="8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If notice of termination and rescission is made in accordance with the terms of the preceding paragraph:</w:t>
      </w:r>
    </w:p>
    <w:p>
      <w:pPr>
        <w:spacing w:after="0" w:line="130" w:lineRule="exact"/>
        <w:rPr>
          <w:rFonts w:ascii="Arial" w:cs="Arial" w:eastAsia="Arial" w:hAnsi="Arial"/>
          <w:sz w:val="18"/>
          <w:szCs w:val="18"/>
          <w:b w:val="1"/>
          <w:bCs w:val="1"/>
          <w:color w:val="auto"/>
        </w:rPr>
      </w:pPr>
    </w:p>
    <w:p>
      <w:pPr>
        <w:ind w:left="1120" w:right="480" w:hanging="437"/>
        <w:spacing w:after="0" w:line="342" w:lineRule="auto"/>
        <w:tabs>
          <w:tab w:leader="none" w:pos="112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this Subscription Agreement and any documents, instruments or deeds executed by the Investor (including, but not limited to, the Subscription Forms) shall be deemed terminated and shall be without any further effect;</w:t>
      </w:r>
    </w:p>
    <w:p>
      <w:pPr>
        <w:spacing w:after="0" w:line="29" w:lineRule="exact"/>
        <w:rPr>
          <w:rFonts w:ascii="Arial" w:cs="Arial" w:eastAsia="Arial" w:hAnsi="Arial"/>
          <w:sz w:val="16"/>
          <w:szCs w:val="16"/>
          <w:color w:val="auto"/>
        </w:rPr>
      </w:pPr>
    </w:p>
    <w:p>
      <w:pPr>
        <w:ind w:left="1120" w:right="40" w:hanging="437"/>
        <w:spacing w:after="0" w:line="259" w:lineRule="auto"/>
        <w:tabs>
          <w:tab w:leader="none" w:pos="11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Company hereby undertakes to the Investors to procure that the application to the Register of Commerce of the Series E Financing Round (if already filed) shall be withdrawn and instruct VISCHER AG, Attorneys at Law (or any other public notary appointed by the Parties) and the Company to return the respective subscription amount paid by the Investors for new Series E Preferred Shares to the Investors in cash out of the Blocked Capital Account.</w:t>
      </w:r>
    </w:p>
    <w:p>
      <w:pPr>
        <w:spacing w:after="0" w:line="79"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If this Subscription Agreement is terminated pursuant to this Section, such termination shall be without liability of the Investors to the Company and vice versa; provided, however, that if such termination is the result of the willful misconduct or gross negligence of a Party failing to satisfy its respective obligations under Sections 3, 5 and 6, such Party shall be liable to the other Parties for any damage, loss, costs or expenses incurred or sustained as a result of such misconduct or breach. It shall be agreed and understood that, in addition to such liability, such other Parties shall have the right to request specific performance.</w:t>
      </w:r>
    </w:p>
    <w:p>
      <w:pPr>
        <w:spacing w:after="0" w:line="8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If this Subscription Agreement is terminated by a Party (which is not the result of the willful misconduct or gross negligence of such Party to satisfy its respective obligations under Sections 3, 5 and 6), all provisions of this Subscription Agreement shall cease to be effective for such Party except for the preceding paragraph and Section 11 (Miscellaneous).</w:t>
      </w:r>
    </w:p>
    <w:p>
      <w:pPr>
        <w:spacing w:after="0" w:line="326" w:lineRule="exact"/>
        <w:rPr>
          <w:sz w:val="20"/>
          <w:szCs w:val="20"/>
          <w:color w:val="auto"/>
        </w:rPr>
      </w:pPr>
    </w:p>
    <w:p>
      <w:pPr>
        <w:ind w:left="680" w:hanging="672"/>
        <w:spacing w:after="0"/>
        <w:tabs>
          <w:tab w:leader="none" w:pos="68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Representation and Warranties by the Company</w:t>
      </w:r>
    </w:p>
    <w:p>
      <w:pPr>
        <w:spacing w:after="0" w:line="113" w:lineRule="exact"/>
        <w:rPr>
          <w:sz w:val="20"/>
          <w:szCs w:val="20"/>
          <w:color w:val="auto"/>
        </w:rPr>
      </w:pPr>
    </w:p>
    <w:p>
      <w:pPr>
        <w:ind w:left="700" w:right="100"/>
        <w:spacing w:after="0" w:line="298" w:lineRule="auto"/>
        <w:rPr>
          <w:sz w:val="20"/>
          <w:szCs w:val="20"/>
          <w:color w:val="auto"/>
        </w:rPr>
      </w:pPr>
      <w:r>
        <w:rPr>
          <w:rFonts w:ascii="Arial" w:cs="Arial" w:eastAsia="Arial" w:hAnsi="Arial"/>
          <w:sz w:val="16"/>
          <w:szCs w:val="16"/>
          <w:color w:val="auto"/>
        </w:rPr>
        <w:t xml:space="preserve">Subject to the limitations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and Section 8, the Company hereby represents and warrants in the sense of an independent guarantee as of the time of signing of this Subscription Agreement to the Investors, that the representations and warranties set forth in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are in all material respects true, complete, correct and not misleading (or in the case of representations and warranties qualified by materiality or a Material Adverse Effect, in all respects true, complete, correct and not misleading) as of the date of this Subscription Agreement and as of the date of the Closing, except for those representations and warranties which are explicitly made as of a specific date.</w:t>
      </w:r>
    </w:p>
    <w:p>
      <w:pPr>
        <w:sectPr>
          <w:pgSz w:w="11900" w:h="16838" w:orient="portrait"/>
          <w:cols w:equalWidth="0" w:num="1">
            <w:col w:w="11420"/>
          </w:cols>
          <w:pgMar w:left="240" w:top="274" w:right="239" w:bottom="1440" w:gutter="0" w:footer="0" w:header="0"/>
        </w:sectPr>
      </w:pPr>
    </w:p>
    <w:bookmarkStart w:id="520" w:name="page521"/>
    <w:bookmarkEnd w:id="520"/>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Representation and Warranties by each Investor</w:t>
      </w:r>
    </w:p>
    <w:p>
      <w:pPr>
        <w:spacing w:after="0" w:line="113" w:lineRule="exact"/>
        <w:rPr>
          <w:sz w:val="20"/>
          <w:szCs w:val="20"/>
          <w:color w:val="auto"/>
        </w:rPr>
      </w:pPr>
    </w:p>
    <w:p>
      <w:pPr>
        <w:ind w:left="700" w:right="100"/>
        <w:spacing w:after="0" w:line="277" w:lineRule="auto"/>
        <w:rPr>
          <w:sz w:val="20"/>
          <w:szCs w:val="20"/>
          <w:color w:val="auto"/>
        </w:rPr>
      </w:pPr>
      <w:r>
        <w:rPr>
          <w:rFonts w:ascii="Arial" w:cs="Arial" w:eastAsia="Arial" w:hAnsi="Arial"/>
          <w:sz w:val="17"/>
          <w:szCs w:val="17"/>
          <w:color w:val="auto"/>
        </w:rPr>
        <w:t xml:space="preserve">Subject to the limitations set forth in this Section 7 (including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and Section 8, each Investor hereby represents and warrants in the sense of an independent guarantee as of the time of signing of this Subscription Agreement to the Company, that the representations and warranties set forth in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are in all material respects true, complete, correct and not misleading as of the date of this Subscription Agreement and as of the date of the Closing, except for those representations and warranties which are explicitly made as of a specific date. Each Investor agrees that Credit Suisse Investment Banking may rely on the representations and warranties set forth in </w:t>
      </w:r>
      <w:r>
        <w:rPr>
          <w:rFonts w:ascii="Arial" w:cs="Arial" w:eastAsia="Arial" w:hAnsi="Arial"/>
          <w:sz w:val="17"/>
          <w:szCs w:val="17"/>
          <w:b w:val="1"/>
          <w:bCs w:val="1"/>
          <w:color w:val="auto"/>
        </w:rPr>
        <w:t>Annex 7.2.</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Exclusive Representations and Warranties</w:t>
      </w:r>
    </w:p>
    <w:p>
      <w:pPr>
        <w:spacing w:after="0" w:line="117" w:lineRule="exact"/>
        <w:rPr>
          <w:sz w:val="20"/>
          <w:szCs w:val="20"/>
          <w:color w:val="auto"/>
        </w:rPr>
      </w:pPr>
    </w:p>
    <w:p>
      <w:pPr>
        <w:ind w:left="700" w:right="100"/>
        <w:spacing w:after="0" w:line="290" w:lineRule="auto"/>
        <w:rPr>
          <w:sz w:val="20"/>
          <w:szCs w:val="20"/>
          <w:color w:val="auto"/>
        </w:rPr>
      </w:pPr>
      <w:r>
        <w:rPr>
          <w:rFonts w:ascii="Arial" w:cs="Arial" w:eastAsia="Arial" w:hAnsi="Arial"/>
          <w:sz w:val="16"/>
          <w:szCs w:val="16"/>
          <w:color w:val="auto"/>
        </w:rPr>
        <w:t xml:space="preserve">The Parties acknowledge that none of the Parties has made, and none of the Parties has relied upon, any representation or warranty, express or implied, pertaining to the subject matter of this Subscription Agreement other than as expressly provided in this Subscription Agreement. Without prejudice to the foregoing, the Company hereby acknowledges that each of the Investors has entered into this Subscription Agreement and is subscribing the Series E Preferred Shares in reliance on each of the representations and warranties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Each Investor acknowledges that such Investor is not relying upon any person, other than the Company and its officers and directors, in making its investment or decision to invest in the Company. Each Investor agrees that neither any Investor nor its respective controlling persons, officers, directors, partners, agents, nor employees nor any partners or agents of such Investor shall be liable to any other Investor for any action taken or omitted to be taken by any of them in connection with this Subscription Agreement.</w:t>
      </w:r>
    </w:p>
    <w:p>
      <w:pPr>
        <w:spacing w:after="0" w:line="311" w:lineRule="exact"/>
        <w:rPr>
          <w:sz w:val="20"/>
          <w:szCs w:val="20"/>
          <w:color w:val="auto"/>
        </w:rPr>
      </w:pPr>
    </w:p>
    <w:p>
      <w:pPr>
        <w:ind w:left="680" w:hanging="672"/>
        <w:spacing w:after="0"/>
        <w:tabs>
          <w:tab w:leader="none" w:pos="68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REMEDIES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Notice of Breach (</w:t>
      </w:r>
      <w:r>
        <w:rPr>
          <w:rFonts w:ascii="Arial" w:cs="Arial" w:eastAsia="Arial" w:hAnsi="Arial"/>
          <w:sz w:val="16"/>
          <w:szCs w:val="16"/>
          <w:i w:val="1"/>
          <w:iCs w:val="1"/>
          <w:color w:val="auto"/>
        </w:rPr>
        <w:t>Rügefrist</w:t>
      </w:r>
      <w:r>
        <w:rPr>
          <w:rFonts w:ascii="Arial" w:cs="Arial" w:eastAsia="Arial" w:hAnsi="Arial"/>
          <w:sz w:val="16"/>
          <w:szCs w:val="16"/>
          <w:color w:val="auto"/>
        </w:rPr>
        <w:t>)</w:t>
      </w:r>
    </w:p>
    <w:p>
      <w:pPr>
        <w:spacing w:after="0" w:line="117"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color w:val="auto"/>
        </w:rPr>
        <w:t>An Investor claiming a breach shall deliver to the Company a notice in writing describing the underlying facts of a claim for misrepresentation or breach of warranty in reasonable detail to the extent then known within sixty (60) calendar days after such Investor has obtained reasonable knowledge of the circumstances which are likely to give rise to a claim for misrepresentation or breach of warranty under this Subscription Agreement.</w:t>
      </w:r>
    </w:p>
    <w:p>
      <w:pPr>
        <w:spacing w:after="0" w:line="79"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color w:val="auto"/>
        </w:rPr>
        <w:t>Failure to provide notice of claim consistent with this Section 8.1 shall not relieve the Company of any liability it may have under Section 7; provided, however, that the Company shall not be liable for any damage, loss, expense, or cost to the extent that the same is attributable to, or caused or aggravated by, or could not be remedied due to, that Investor’s failure to timely provide notice in accordance with this Section 8.1. The Parties explicitly waive the application of Article 201 CO.</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rules in this Section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case the Company makes a claim towards an Investor.</w:t>
      </w:r>
    </w:p>
    <w:p>
      <w:pPr>
        <w:sectPr>
          <w:pgSz w:w="11900" w:h="16838" w:orient="portrait"/>
          <w:cols w:equalWidth="0" w:num="1">
            <w:col w:w="11420"/>
          </w:cols>
          <w:pgMar w:left="240" w:top="273" w:right="23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Time Limitations on Claims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113" w:lineRule="exact"/>
        <w:rPr>
          <w:sz w:val="20"/>
          <w:szCs w:val="20"/>
          <w:color w:val="auto"/>
        </w:rPr>
      </w:pPr>
    </w:p>
    <w:p>
      <w:pPr>
        <w:ind w:left="700" w:right="260"/>
        <w:spacing w:after="0" w:line="347" w:lineRule="auto"/>
        <w:rPr>
          <w:sz w:val="20"/>
          <w:szCs w:val="20"/>
          <w:color w:val="auto"/>
        </w:rPr>
      </w:pPr>
      <w:r>
        <w:rPr>
          <w:rFonts w:ascii="Arial" w:cs="Arial" w:eastAsia="Arial" w:hAnsi="Arial"/>
          <w:sz w:val="16"/>
          <w:szCs w:val="16"/>
          <w:color w:val="auto"/>
        </w:rPr>
        <w:t xml:space="preserve">The representations and warranties given by the Company as set forth in Section 7.1 and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shall expire, and any claim of an Investor for misrepresentation or breach of warranty shall be time barred, forfeited and precluded from being made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22" w:lineRule="exact"/>
        <w:rPr>
          <w:sz w:val="20"/>
          <w:szCs w:val="20"/>
          <w:color w:val="auto"/>
        </w:rPr>
      </w:pPr>
    </w:p>
    <w:p>
      <w:pPr>
        <w:ind w:left="1120" w:right="780" w:hanging="437"/>
        <w:spacing w:after="0" w:line="282" w:lineRule="auto"/>
        <w:tabs>
          <w:tab w:leader="none" w:pos="1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 (Incorporation and Authority), 2 (Capitalization), 3 (Authorization) and 4 (Valid Issuance of Shares) as of the tenth (10</w:t>
      </w:r>
      <w:r>
        <w:rPr>
          <w:rFonts w:ascii="Arial" w:cs="Arial" w:eastAsia="Arial" w:hAnsi="Arial"/>
          <w:sz w:val="15"/>
          <w:szCs w:val="15"/>
          <w:color w:val="auto"/>
        </w:rPr>
        <w:t>th</w:t>
      </w:r>
      <w:r>
        <w:rPr>
          <w:rFonts w:ascii="Arial" w:cs="Arial" w:eastAsia="Arial" w:hAnsi="Arial"/>
          <w:sz w:val="18"/>
          <w:szCs w:val="18"/>
          <w:color w:val="auto"/>
        </w:rPr>
        <w:t>) anniversary of the Closing;</w:t>
      </w:r>
    </w:p>
    <w:p>
      <w:pPr>
        <w:spacing w:after="0" w:line="67" w:lineRule="exact"/>
        <w:rPr>
          <w:rFonts w:ascii="Arial" w:cs="Arial" w:eastAsia="Arial" w:hAnsi="Arial"/>
          <w:sz w:val="18"/>
          <w:szCs w:val="18"/>
          <w:color w:val="auto"/>
        </w:rPr>
      </w:pPr>
    </w:p>
    <w:p>
      <w:pPr>
        <w:ind w:left="1120" w:right="120" w:hanging="437"/>
        <w:spacing w:after="0" w:line="261" w:lineRule="auto"/>
        <w:tabs>
          <w:tab w:leader="none" w:pos="1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16 (Payments of Taxes) and 18 (Social Security and Pensions) on the earlier of: (i) six (6) months after the date on which the relevant Taxes have been finally assessed (</w:t>
      </w:r>
      <w:r>
        <w:rPr>
          <w:rFonts w:ascii="Arial" w:cs="Arial" w:eastAsia="Arial" w:hAnsi="Arial"/>
          <w:sz w:val="18"/>
          <w:szCs w:val="18"/>
          <w:i w:val="1"/>
          <w:iCs w:val="1"/>
          <w:color w:val="auto"/>
        </w:rPr>
        <w:t>veranlagt / taxées</w:t>
      </w:r>
      <w:r>
        <w:rPr>
          <w:rFonts w:ascii="Arial" w:cs="Arial" w:eastAsia="Arial" w:hAnsi="Arial"/>
          <w:sz w:val="18"/>
          <w:szCs w:val="18"/>
          <w:color w:val="auto"/>
        </w:rPr>
        <w:t>) and such assessment has become legally binding (</w:t>
      </w:r>
      <w:r>
        <w:rPr>
          <w:rFonts w:ascii="Arial" w:cs="Arial" w:eastAsia="Arial" w:hAnsi="Arial"/>
          <w:sz w:val="18"/>
          <w:szCs w:val="18"/>
          <w:i w:val="1"/>
          <w:iCs w:val="1"/>
          <w:color w:val="auto"/>
        </w:rPr>
        <w:t>rechtskräftig / définitivement jugées</w:t>
      </w:r>
      <w:r>
        <w:rPr>
          <w:rFonts w:ascii="Arial" w:cs="Arial" w:eastAsia="Arial" w:hAnsi="Arial"/>
          <w:sz w:val="18"/>
          <w:szCs w:val="18"/>
          <w:color w:val="auto"/>
        </w:rPr>
        <w:t>), or (ii) the date on which the statute of limitations for the relevant Taxes has expired; or</w:t>
      </w:r>
    </w:p>
    <w:p>
      <w:pPr>
        <w:spacing w:after="0" w:line="85" w:lineRule="exact"/>
        <w:rPr>
          <w:rFonts w:ascii="Arial" w:cs="Arial" w:eastAsia="Arial" w:hAnsi="Arial"/>
          <w:sz w:val="18"/>
          <w:szCs w:val="18"/>
          <w:color w:val="auto"/>
        </w:rPr>
      </w:pPr>
    </w:p>
    <w:p>
      <w:pPr>
        <w:ind w:left="1120" w:right="600" w:hanging="437"/>
        <w:spacing w:after="0" w:line="282" w:lineRule="auto"/>
        <w:tabs>
          <w:tab w:leader="none" w:pos="1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with respect to all other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as of the expiry of a period of twelve (12) months from the Closing.</w:t>
      </w:r>
    </w:p>
    <w:p>
      <w:pPr>
        <w:spacing w:after="0" w:line="54" w:lineRule="exact"/>
        <w:rPr>
          <w:sz w:val="20"/>
          <w:szCs w:val="20"/>
          <w:color w:val="auto"/>
        </w:rPr>
      </w:pPr>
    </w:p>
    <w:p>
      <w:pPr>
        <w:jc w:val="both"/>
        <w:ind w:left="700" w:right="100"/>
        <w:spacing w:after="0" w:line="266" w:lineRule="auto"/>
        <w:rPr>
          <w:sz w:val="20"/>
          <w:szCs w:val="20"/>
          <w:color w:val="auto"/>
        </w:rPr>
      </w:pPr>
      <w:r>
        <w:rPr>
          <w:rFonts w:ascii="Arial" w:cs="Arial" w:eastAsia="Arial" w:hAnsi="Arial"/>
          <w:sz w:val="18"/>
          <w:szCs w:val="18"/>
          <w:color w:val="auto"/>
        </w:rPr>
        <w:t xml:space="preserve">The representations and warranties given by each Investor as set forth in Section 7.2 and </w:t>
      </w:r>
      <w:r>
        <w:rPr>
          <w:rFonts w:ascii="Arial" w:cs="Arial" w:eastAsia="Arial" w:hAnsi="Arial"/>
          <w:sz w:val="18"/>
          <w:szCs w:val="18"/>
          <w:b w:val="1"/>
          <w:bCs w:val="1"/>
          <w:color w:val="auto"/>
        </w:rPr>
        <w:t>Annex 7.2</w:t>
      </w:r>
      <w:r>
        <w:rPr>
          <w:rFonts w:ascii="Arial" w:cs="Arial" w:eastAsia="Arial" w:hAnsi="Arial"/>
          <w:sz w:val="18"/>
          <w:szCs w:val="18"/>
          <w:color w:val="auto"/>
        </w:rPr>
        <w:t xml:space="preserve"> shall expire, and any claim of the Company for misrepresentation or breach of warranty shall be time barred, forfeited and precluded from being made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 as of the expiry of a period of twelve (12) months from the Closing.</w:t>
      </w:r>
    </w:p>
    <w:p>
      <w:pPr>
        <w:spacing w:after="0" w:line="72"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An Investor shall be entitled to make a claim in respect of liability which is contingent or unascertained provided that written notice of the claim (giving as far as practical the amount and details of the claim) is given to the Company before the expiry of the relevant periods specified in this Section. Any notice of claim for misrepresentation or breach of warranty may be delivered to the Company on or by the applicable date set forth in the preceding paragraphs, in which case the resolution of such claim may be effected after such date; provided, however, that notwithstanding the foregoing, such Investor’s claim shall be time-barred, forfeited and precluded from being made (</w:t>
      </w:r>
      <w:r>
        <w:rPr>
          <w:rFonts w:ascii="Arial" w:cs="Arial" w:eastAsia="Arial" w:hAnsi="Arial"/>
          <w:sz w:val="16"/>
          <w:szCs w:val="16"/>
          <w:i w:val="1"/>
          <w:iCs w:val="1"/>
          <w:color w:val="auto"/>
        </w:rPr>
        <w:t>verjährt / prescrit)</w:t>
      </w:r>
      <w:r>
        <w:rPr>
          <w:rFonts w:ascii="Arial" w:cs="Arial" w:eastAsia="Arial" w:hAnsi="Arial"/>
          <w:sz w:val="16"/>
          <w:szCs w:val="16"/>
          <w:color w:val="auto"/>
        </w:rPr>
        <w:t xml:space="preserve"> unless such Investor initiates proceedings on the claim against the Company pursuant to Section 11.13 (Arbitration) within twelve (12) months from the date of such Investor’s notice of claim to the Company. The rules in this paragraph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case the Company makes a claim towards an Investor.</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Remedies for the Investors</w:t>
      </w:r>
    </w:p>
    <w:p>
      <w:pPr>
        <w:spacing w:after="0" w:line="117"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The Investors shall be indemnified for any and all direct costs, expenses, damages, claims, actions, demands, penalties or other liabilities including loss of Series E Original Issue Price but excluding any lost profits, resulting as a consequence of any inaccuracy or breach of any representation, warranty, covenant, undertaking, confirmation or obligation (the “</w:t>
      </w:r>
      <w:r>
        <w:rPr>
          <w:rFonts w:ascii="Arial" w:cs="Arial" w:eastAsia="Arial" w:hAnsi="Arial"/>
          <w:sz w:val="18"/>
          <w:szCs w:val="18"/>
          <w:b w:val="1"/>
          <w:bCs w:val="1"/>
          <w:color w:val="auto"/>
        </w:rPr>
        <w:t>Loss</w:t>
      </w:r>
      <w:r>
        <w:rPr>
          <w:rFonts w:ascii="Arial" w:cs="Arial" w:eastAsia="Arial" w:hAnsi="Arial"/>
          <w:sz w:val="18"/>
          <w:szCs w:val="18"/>
          <w:color w:val="auto"/>
        </w:rPr>
        <w:t>”), pursuant to the terms and conditions in this Section 8.3 thereby excluding any other remedy. The term Loss shall also include all duly documented external costs and reasonable expenses of the Investors claiming the Loss including reasonable attorneys’ fees.</w:t>
      </w:r>
    </w:p>
    <w:p>
      <w:pPr>
        <w:sectPr>
          <w:pgSz w:w="11900" w:h="16838" w:orient="portrait"/>
          <w:cols w:equalWidth="0" w:num="1">
            <w:col w:w="11420"/>
          </w:cols>
          <w:pgMar w:left="240" w:top="274" w:right="239" w:bottom="1440" w:gutter="0" w:footer="0" w:header="0"/>
        </w:sectPr>
      </w:pPr>
    </w:p>
    <w:bookmarkStart w:id="522" w:name="page523"/>
    <w:bookmarkEnd w:id="522"/>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700" w:right="240"/>
        <w:spacing w:after="0" w:line="264" w:lineRule="auto"/>
        <w:rPr>
          <w:sz w:val="20"/>
          <w:szCs w:val="20"/>
          <w:color w:val="auto"/>
        </w:rPr>
      </w:pPr>
      <w:r>
        <w:rPr>
          <w:rFonts w:ascii="Arial" w:cs="Arial" w:eastAsia="Arial" w:hAnsi="Arial"/>
          <w:sz w:val="18"/>
          <w:szCs w:val="18"/>
          <w:color w:val="auto"/>
        </w:rPr>
        <w:t>To the extent the claimed Loss is remedied in full by the Company immediately upon receiving notification of the Loss, or at the latest within one month after receiving the claim, and provided the Company has established the contractually due status, the claim shall lapse and be of no further effect.</w:t>
      </w:r>
    </w:p>
    <w:p>
      <w:pPr>
        <w:spacing w:after="0" w:line="73"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Subject to Section 8.4 hereinafter and subject to the subsequent paragraph, the Loss shall be compensated in full by the Company by way of a compensatory capital increase of the Company’s share capital (“</w:t>
      </w:r>
      <w:r>
        <w:rPr>
          <w:rFonts w:ascii="Arial" w:cs="Arial" w:eastAsia="Arial" w:hAnsi="Arial"/>
          <w:sz w:val="17"/>
          <w:szCs w:val="17"/>
          <w:b w:val="1"/>
          <w:bCs w:val="1"/>
          <w:color w:val="auto"/>
        </w:rPr>
        <w:t>Compensatory Capital Increase</w:t>
      </w:r>
      <w:r>
        <w:rPr>
          <w:rFonts w:ascii="Arial" w:cs="Arial" w:eastAsia="Arial" w:hAnsi="Arial"/>
          <w:sz w:val="17"/>
          <w:szCs w:val="17"/>
          <w:color w:val="auto"/>
        </w:rPr>
        <w:t>”). The Compensatory Capital Increase shall be resolved and completed without undue delay after the demand by such Investor or Investors.</w:t>
      </w:r>
    </w:p>
    <w:p>
      <w:pPr>
        <w:spacing w:after="0" w:line="57"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As part of the Compensatory Capital Increase, the Investors shall be invited, to the exclusion of the subscription rights of all other Shareholders, to subscribe to the number of Series E Preferred Shares at its nominal value (currently CHF 5.00) per share so that the Investors shall receive such participation in the Company’s share capital as if the Investors had invested the funds committed under this Subscription Agreement and the additional funds provided in the Compensatory Capital Increase from the start at the Reduced Valuation. The “Reduced Valuation” shall be equal to a pre-money valuation of the Company (i.e. before the Series E Financing Round) less the amount of all Losses.</w:t>
      </w:r>
    </w:p>
    <w:p>
      <w:pPr>
        <w:spacing w:after="0" w:line="50" w:lineRule="exact"/>
        <w:rPr>
          <w:sz w:val="20"/>
          <w:szCs w:val="20"/>
          <w:color w:val="auto"/>
        </w:rPr>
      </w:pPr>
    </w:p>
    <w:p>
      <w:pPr>
        <w:ind w:left="700" w:right="360"/>
        <w:spacing w:after="0" w:line="308" w:lineRule="auto"/>
        <w:rPr>
          <w:sz w:val="20"/>
          <w:szCs w:val="20"/>
          <w:color w:val="auto"/>
        </w:rPr>
      </w:pPr>
      <w:r>
        <w:rPr>
          <w:rFonts w:ascii="Arial" w:cs="Arial" w:eastAsia="Arial" w:hAnsi="Arial"/>
          <w:sz w:val="17"/>
          <w:szCs w:val="17"/>
          <w:color w:val="auto"/>
        </w:rPr>
        <w:t>To the extent that the Compensatory Capital Increase cannot be implemented, resolved or is blocked for whatever reason for a period of 90 days after the claim is due, the Company shall indemnify the Investors irrespective of fault for any Loss through a payment in cash.</w:t>
      </w:r>
    </w:p>
    <w:p>
      <w:pPr>
        <w:spacing w:after="0" w:line="38"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remedies in this Section 8.3 for any misrepresentation or breach of warranty under this Subscription Agreement by the Company shall be in lieu of, and not in addition to, the remedies provided for under statutory law. All other remedies including, without limitation, the right to rescind this Subscription Agreement shall, subject to the right of termination and rescission in accordance with Section 6, not apply and are expressly excluded and waived.</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Limitations on Liability by the Company</w:t>
      </w:r>
    </w:p>
    <w:p>
      <w:pPr>
        <w:spacing w:after="0" w:line="117"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The liability of the Company and towards all Investors for misrepresentations or breaches of warranties under this Subscription Agreement shall be excluded if the aggregate amount of the claimed Basket Losses for all Investors does not exceed CHF 1’000’000; provided, however, in the case the total claimed Basket Losses exceed CHF 1’000’000, the entire Loss (and not only the amount above the claimed Basket Losses) is to be compensated. For purposes hereof, “Basket Losses” shall mean actual damages, claims, actions, demands, penalties or other liabilities including loss of Series E Original Issue Price but excluding any lost profits, resulting as a consequence of any inaccuracy or breach of any representation, warranty, covenant, undertaking, confirmation or obligation but excluding attorney’s fees and other external costs and expenses of the Investors claiming the Loss.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Investor confirms not to be aware that the Company is in breach of any representation or warranty at the date of this Subscription Agreement.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explicitly exclude and waive Article 200 para 2 CO, if and to the extent applicable.</w:t>
      </w:r>
    </w:p>
    <w:p>
      <w:pPr>
        <w:sectPr>
          <w:pgSz w:w="11900" w:h="16838" w:orient="portrait"/>
          <w:cols w:equalWidth="0" w:num="1">
            <w:col w:w="11420"/>
          </w:cols>
          <w:pgMar w:left="240" w:top="273" w:right="239" w:bottom="1440" w:gutter="0" w:footer="0" w:header="0"/>
        </w:sectPr>
      </w:pPr>
    </w:p>
    <w:bookmarkStart w:id="523" w:name="page524"/>
    <w:bookmarkEnd w:id="523"/>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280"/>
        <w:spacing w:after="0" w:line="277" w:lineRule="auto"/>
        <w:rPr>
          <w:sz w:val="20"/>
          <w:szCs w:val="20"/>
          <w:color w:val="auto"/>
        </w:rPr>
      </w:pPr>
      <w:r>
        <w:rPr>
          <w:rFonts w:ascii="Arial" w:cs="Arial" w:eastAsia="Arial" w:hAnsi="Arial"/>
          <w:sz w:val="18"/>
          <w:szCs w:val="18"/>
          <w:color w:val="auto"/>
        </w:rPr>
        <w:t>The Company’s liability for misrepresentation or breach of warranty under this Subscription Agreement shall be excluded or reduced, as the case may be, if and to the extent that:</w:t>
      </w:r>
    </w:p>
    <w:p>
      <w:pPr>
        <w:spacing w:after="0" w:line="76" w:lineRule="exact"/>
        <w:rPr>
          <w:sz w:val="20"/>
          <w:szCs w:val="20"/>
          <w:color w:val="auto"/>
        </w:rPr>
      </w:pPr>
    </w:p>
    <w:p>
      <w:pPr>
        <w:ind w:left="1120" w:right="180" w:hanging="437"/>
        <w:spacing w:after="0" w:line="286" w:lineRule="auto"/>
        <w:tabs>
          <w:tab w:leader="none" w:pos="11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Such Investor or the Company has actually recovered or, using commercially reasonable best efforts, could recover or could have recovered, as the case may be, from any third person, including but not limited to an insurer, any sum in respect of any matter to which a claim made relates, after deduction of all duly documented costs and expenses incurred in making such recovery;</w:t>
      </w:r>
    </w:p>
    <w:p>
      <w:pPr>
        <w:spacing w:after="0" w:line="70" w:lineRule="exact"/>
        <w:rPr>
          <w:rFonts w:ascii="Arial" w:cs="Arial" w:eastAsia="Arial" w:hAnsi="Arial"/>
          <w:sz w:val="17"/>
          <w:szCs w:val="17"/>
          <w:color w:val="auto"/>
        </w:rPr>
      </w:pPr>
    </w:p>
    <w:p>
      <w:pPr>
        <w:jc w:val="both"/>
        <w:ind w:left="1120" w:right="140" w:hanging="437"/>
        <w:spacing w:after="0" w:line="342" w:lineRule="auto"/>
        <w:tabs>
          <w:tab w:leader="none" w:pos="11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 specific provision, reserve or valuation allowance has been or is made or included in the financial statements / management accounts of the Company as of 31 December 2014 with respect to the facts, matters or circumstances resulting in a misrepresentation of breach of warranty;</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such Loss is attributable to any act, omission, Subscription or arrangement of the Company after the closing of this Subscription Agreement;</w:t>
      </w:r>
    </w:p>
    <w:p>
      <w:pPr>
        <w:spacing w:after="0" w:line="153" w:lineRule="exact"/>
        <w:rPr>
          <w:rFonts w:ascii="Arial" w:cs="Arial" w:eastAsia="Arial" w:hAnsi="Arial"/>
          <w:sz w:val="16"/>
          <w:szCs w:val="16"/>
          <w:color w:val="auto"/>
        </w:rPr>
      </w:pPr>
    </w:p>
    <w:p>
      <w:pPr>
        <w:ind w:left="1120" w:right="220" w:hanging="437"/>
        <w:spacing w:after="0" w:line="259" w:lineRule="auto"/>
        <w:tabs>
          <w:tab w:leader="none" w:pos="11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the extent that such Loss arises only as a result of any change in the accounting bases or policies in accordance with which the Company values its assets or calculate its liabilities or any other change in accounting practice from the treatment or application of the same used in preparing the accounts (save to the extent that such changes are required to correct errors or because relevant generally accepted accounting principles have not been complied with);</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any tax payable by the Company is reduced as a result of a matter giving rise to a claim for misrepresentation or breach of warranty; and</w:t>
      </w:r>
    </w:p>
    <w:p>
      <w:pPr>
        <w:spacing w:after="0" w:line="142" w:lineRule="exact"/>
        <w:rPr>
          <w:rFonts w:ascii="Arial" w:cs="Arial" w:eastAsia="Arial" w:hAnsi="Arial"/>
          <w:sz w:val="17"/>
          <w:szCs w:val="17"/>
          <w:color w:val="auto"/>
        </w:rPr>
      </w:pPr>
    </w:p>
    <w:p>
      <w:pPr>
        <w:ind w:left="1120" w:right="20" w:hanging="437"/>
        <w:spacing w:after="0" w:line="302" w:lineRule="auto"/>
        <w:tabs>
          <w:tab w:leader="none" w:pos="11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such claim arises or is increased as a result of any legislation, regulation, rule of law or practice not in force at the date hereof, or as a result of the withdrawal (which is not due to any act or omission of the Company) after Closing of any authorization, license or permit previously made by any relevant authority, or as a result of any change made or introduced on or after the date hereof in any legislation, regulation, rule of law or practice of any relevant authority, whether or not such change or withdrawal purports to be effective retrospectively in whole or part.</w:t>
      </w:r>
    </w:p>
    <w:p>
      <w:pPr>
        <w:spacing w:after="0" w:line="299" w:lineRule="exact"/>
        <w:rPr>
          <w:sz w:val="20"/>
          <w:szCs w:val="20"/>
          <w:color w:val="auto"/>
        </w:rPr>
      </w:pPr>
    </w:p>
    <w:p>
      <w:pPr>
        <w:ind w:left="680" w:hanging="672"/>
        <w:spacing w:after="0"/>
        <w:tabs>
          <w:tab w:leader="none" w:pos="68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Issuance of New Shares and Registration in the Share Register</w:t>
      </w:r>
    </w:p>
    <w:p>
      <w:pPr>
        <w:spacing w:after="0" w:line="117"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color w:val="auto"/>
        </w:rPr>
        <w:t>Promptly following the receipt of the certified extract and/or express confirmation of the Register of Commerce evidencing the registration of the Series E capital increase and the respective adoption of the Revised Articles of Association the Company shall deliver to the Investors a copy of the updated share register of the Company evidencing each Investor as owner of the appropriate number of Series E Preferred Shares.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Information Rights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deliver to each Investor at a minimum,</w:t>
      </w:r>
    </w:p>
    <w:p>
      <w:pPr>
        <w:spacing w:after="0" w:line="131" w:lineRule="exact"/>
        <w:rPr>
          <w:sz w:val="20"/>
          <w:szCs w:val="20"/>
          <w:color w:val="auto"/>
        </w:rPr>
      </w:pPr>
    </w:p>
    <w:p>
      <w:pPr>
        <w:ind w:left="1120" w:hanging="437"/>
        <w:spacing w:after="0"/>
        <w:tabs>
          <w:tab w:leader="none" w:pos="11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audited financial statements within 90 days after the end of each fiscal year, prepared in accordance with IFRS;</w:t>
      </w:r>
    </w:p>
    <w:p>
      <w:pPr>
        <w:sectPr>
          <w:pgSz w:w="11900" w:h="16838" w:orient="portrait"/>
          <w:cols w:equalWidth="0" w:num="1">
            <w:col w:w="11420"/>
          </w:cols>
          <w:pgMar w:left="240" w:top="273" w:right="239"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hanging="437"/>
        <w:spacing w:after="0"/>
        <w:tabs>
          <w:tab w:leader="none" w:pos="11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unaudited quarterly financial statements within 30 days from the end of each quarter;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quarterly progress reports as determined by the Board</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The Company shall promptly and accurately respond, and shall use its best efforts to cause its transfer agent to promptly respond, to requests for information made on behalf of any Investor or such Investor’s fund or account relating to accounting or securities law matters required in connection with its audit or the actual holdings of the Investor or of the Investor’s funds or accounts, including in relation to the total outstanding shares.</w:t>
      </w:r>
    </w:p>
    <w:p>
      <w:pPr>
        <w:spacing w:after="0" w:line="39"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information rights shall expire once no Investor (or the Investor’s fund or account) holds any securities of the Company that are restricted under the Securities Act, as amended.</w:t>
      </w:r>
    </w:p>
    <w:p>
      <w:pPr>
        <w:spacing w:after="0" w:line="315" w:lineRule="exact"/>
        <w:rPr>
          <w:sz w:val="20"/>
          <w:szCs w:val="20"/>
          <w:color w:val="auto"/>
        </w:rPr>
      </w:pPr>
    </w:p>
    <w:p>
      <w:pPr>
        <w:ind w:left="680" w:hanging="672"/>
        <w:spacing w:after="0"/>
        <w:tabs>
          <w:tab w:leader="none" w:pos="68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PARTIES’ RIGHTS AND OBLIGATIONS</w:t>
      </w:r>
    </w:p>
    <w:p>
      <w:pPr>
        <w:spacing w:after="0" w:line="121" w:lineRule="exact"/>
        <w:rPr>
          <w:rFonts w:ascii="Arial" w:cs="Arial" w:eastAsia="Arial" w:hAnsi="Arial"/>
          <w:sz w:val="18"/>
          <w:szCs w:val="18"/>
          <w:b w:val="1"/>
          <w:bCs w:val="1"/>
          <w:color w:val="auto"/>
        </w:rPr>
      </w:pPr>
    </w:p>
    <w:p>
      <w:pPr>
        <w:ind w:left="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Except as specifically provided otherwise in this Subscription Agreement, the rights and obligations of the Parties hereunder shall be several (and not joint). Each Investor may exercise and enforce its rights hereunder in accordance with this Subscription Agreement, and the non-performance by the Company or a Shareholder (the “</w:t>
      </w:r>
      <w:r>
        <w:rPr>
          <w:rFonts w:ascii="Arial" w:cs="Arial" w:eastAsia="Arial" w:hAnsi="Arial"/>
          <w:sz w:val="18"/>
          <w:szCs w:val="18"/>
          <w:b w:val="1"/>
          <w:bCs w:val="1"/>
          <w:color w:val="auto"/>
        </w:rPr>
        <w:t>Defaulting Party</w:t>
      </w:r>
      <w:r>
        <w:rPr>
          <w:rFonts w:ascii="Arial" w:cs="Arial" w:eastAsia="Arial" w:hAnsi="Arial"/>
          <w:sz w:val="18"/>
          <w:szCs w:val="18"/>
          <w:color w:val="auto"/>
        </w:rPr>
        <w:t>”) shall neither relieve the Company nor any other Shareholder from performing its obligations under this Subscription Agreement, nor shall the Company (provided it is not the Defaulting Party) or any other Shareholder be liable for the non-performance by the Defaulting Party. Nothing in this Subscription Agreement is intended to or shall be construed as establishing or implying any partnership of any kind between the Parties.</w:t>
      </w:r>
    </w:p>
    <w:p>
      <w:pPr>
        <w:spacing w:after="0" w:line="337" w:lineRule="exact"/>
        <w:rPr>
          <w:rFonts w:ascii="Arial" w:cs="Arial" w:eastAsia="Arial" w:hAnsi="Arial"/>
          <w:sz w:val="18"/>
          <w:szCs w:val="18"/>
          <w:b w:val="1"/>
          <w:bCs w:val="1"/>
          <w:color w:val="auto"/>
        </w:rPr>
      </w:pPr>
    </w:p>
    <w:p>
      <w:pPr>
        <w:ind w:left="680" w:hanging="672"/>
        <w:spacing w:after="0"/>
        <w:tabs>
          <w:tab w:leader="none" w:pos="68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Confidentiality</w:t>
      </w:r>
    </w:p>
    <w:p>
      <w:pPr>
        <w:spacing w:after="0" w:line="117" w:lineRule="exact"/>
        <w:rPr>
          <w:sz w:val="20"/>
          <w:szCs w:val="20"/>
          <w:color w:val="auto"/>
        </w:rPr>
      </w:pPr>
    </w:p>
    <w:p>
      <w:pPr>
        <w:ind w:left="700" w:right="40"/>
        <w:spacing w:after="0" w:line="288" w:lineRule="auto"/>
        <w:rPr>
          <w:sz w:val="20"/>
          <w:szCs w:val="20"/>
          <w:color w:val="auto"/>
        </w:rPr>
      </w:pPr>
      <w:r>
        <w:rPr>
          <w:rFonts w:ascii="Arial" w:cs="Arial" w:eastAsia="Arial" w:hAnsi="Arial"/>
          <w:sz w:val="16"/>
          <w:szCs w:val="16"/>
          <w:color w:val="auto"/>
        </w:rPr>
        <w:t xml:space="preserve">Unless disclosure is or has been approved by the Company and Fidelity, the existence as well as the terms and conditions of this Subscription Agreement, and any information exchanged between the Parties (including their respective representatives or advisors) during the due diligence and the negotiation of the definitive agreements for the Series E Financing Round and/or pertaining to the business and the operation of the Company shall be kept strictly confidential by each Party as further outlined in the Shareholders’ Agreement, provided however, that the Company may confirm that an Investor is the investor in the Company following the public announcement of the Closing of the Series E Financing. Any Party may disclose the terms of this Subscription Agreement (i) to the extent required to comply with any governmental or regulatory inquiry or with applicable law, including the rules and regulations promulgated by the United States Securities and Exchange Commission or any equivalent governmental agency to which the Party is subject; </w:t>
      </w:r>
      <w:r>
        <w:rPr>
          <w:rFonts w:ascii="Arial" w:cs="Arial" w:eastAsia="Arial" w:hAnsi="Arial"/>
          <w:sz w:val="16"/>
          <w:szCs w:val="16"/>
          <w:i w:val="1"/>
          <w:iCs w:val="1"/>
          <w:color w:val="auto"/>
        </w:rPr>
        <w:t>provided</w:t>
      </w:r>
      <w:r>
        <w:rPr>
          <w:rFonts w:ascii="Arial" w:cs="Arial" w:eastAsia="Arial" w:hAnsi="Arial"/>
          <w:sz w:val="16"/>
          <w:szCs w:val="16"/>
          <w:color w:val="auto"/>
        </w:rPr>
        <w:t>, that where it is practicable such Party will solicit and will reasonably consider the comments of the other Party regarding confidential treatment sought for such disclosure; (ii) to the extent required for the enforcement of such Party’s rights hereunder and/or under the Shareholders’ Agreement; and (iii) to its affiliated companies, advisors (including financial advisors,</w:t>
      </w:r>
    </w:p>
    <w:p>
      <w:pPr>
        <w:sectPr>
          <w:pgSz w:w="11900" w:h="16838" w:orient="portrait"/>
          <w:cols w:equalWidth="0" w:num="1">
            <w:col w:w="11420"/>
          </w:cols>
          <w:pgMar w:left="240" w:top="274" w:right="239" w:bottom="1440" w:gutter="0" w:footer="0" w:header="0"/>
        </w:sectPr>
      </w:pPr>
    </w:p>
    <w:bookmarkStart w:id="525" w:name="page526"/>
    <w:bookmarkEnd w:id="525"/>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700" w:right="640"/>
        <w:spacing w:after="0" w:line="264" w:lineRule="auto"/>
        <w:rPr>
          <w:sz w:val="20"/>
          <w:szCs w:val="20"/>
          <w:color w:val="auto"/>
        </w:rPr>
      </w:pPr>
      <w:r>
        <w:rPr>
          <w:rFonts w:ascii="Arial" w:cs="Arial" w:eastAsia="Arial" w:hAnsi="Arial"/>
          <w:sz w:val="18"/>
          <w:szCs w:val="18"/>
          <w:color w:val="auto"/>
        </w:rPr>
        <w:t xml:space="preserve">attorneys and accountants), actual or potential acquisition partners, financing sources or investors and underwriters on a need to know basis;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disclosure is covered by terms of confidentiality similar to those set forth herein (which may include professional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Successors and Assignment</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This Subscription Agreement shall be binding upon and shall inure to the benefit of the Parties hereto and their respective permitted successors and assigns.</w:t>
      </w:r>
    </w:p>
    <w:p>
      <w:pPr>
        <w:spacing w:after="0" w:line="62" w:lineRule="exact"/>
        <w:rPr>
          <w:sz w:val="20"/>
          <w:szCs w:val="20"/>
          <w:color w:val="auto"/>
        </w:rPr>
      </w:pPr>
    </w:p>
    <w:p>
      <w:pPr>
        <w:jc w:val="both"/>
        <w:ind w:left="700" w:right="40"/>
        <w:spacing w:after="0" w:line="312" w:lineRule="auto"/>
        <w:rPr>
          <w:sz w:val="20"/>
          <w:szCs w:val="20"/>
          <w:color w:val="auto"/>
        </w:rPr>
      </w:pPr>
      <w:r>
        <w:rPr>
          <w:rFonts w:ascii="Arial" w:cs="Arial" w:eastAsia="Arial" w:hAnsi="Arial"/>
          <w:sz w:val="16"/>
          <w:szCs w:val="16"/>
          <w:color w:val="auto"/>
        </w:rPr>
        <w:t>None of the Parties shall be entitled to assign all or any part of its rights and obligations under this Subscription Agreement without the prior written consent of the other Parties, except that post the Closing each Investor may assign its rights and obligations under this Subscription Agreement with the prior written consent of the Company in conjunction with a transfer of Shares pursuant to and in compliance with the Shareholders’ Agreement.</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Costs and Expenses, Taxes</w:t>
      </w:r>
    </w:p>
    <w:p>
      <w:pPr>
        <w:spacing w:after="0" w:line="117"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Provided the Series E Financing Round is closed, the Company shall pay the reasonable fees and out-of-pocket expenses of counsel for the several Investors, in an aggregate amount not to exceed USD 100’000 including any taxes. The Company shall also bear all Swiss issuance and stamp taxes arising out of the Series E Financing Round. Each Party shall bear any other costs and any other expenses arising out of or incurred, and any taxes imposed on it, in connection with this Subscription Agreement and all Subscriptions contemplated hereby.</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Notices</w:t>
      </w:r>
    </w:p>
    <w:p>
      <w:pPr>
        <w:spacing w:after="0" w:line="117"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All notices and other communications made or to be made under this Subscription Agreement shall be effective upon receipt and shall be given in writing by courier, or registered mail to the addressees listed on the first page of this Subscription Agreement. Any notice to the Company shall be sent to the attention of the Chairman of the Board and to the attention of the CEO.</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Fidelity shall be sent:</w:t>
      </w:r>
    </w:p>
    <w:p>
      <w:pPr>
        <w:sectPr>
          <w:pgSz w:w="11900" w:h="16838" w:orient="portrait"/>
          <w:cols w:equalWidth="0" w:num="1">
            <w:col w:w="11420"/>
          </w:cols>
          <w:pgMar w:left="240" w:top="273" w:right="239" w:bottom="1440" w:gutter="0" w:footer="0" w:header="0"/>
        </w:sectPr>
      </w:pP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Select Portfolios: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Biotechnology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Advisor Series VII: Fidelity Advisor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Biotechnology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Fidelity Securities Fund: Fidelity Series Blue Chip Growth</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Fund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Brown Brothers Harriman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michael.lerman@bbh.com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 617 772-2418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Bangle &amp; Co fbo Fidelity Advisor Series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VII: Fidelity Advisor Biotechnology Fund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SSBCORPACTIONS@StateStreet.com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number: 617-988-9110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ectPr>
          <w:pgSz w:w="11900" w:h="16838" w:orient="portrait"/>
          <w:cols w:equalWidth="0" w:num="2">
            <w:col w:w="4940" w:space="260"/>
            <w:col w:w="6220"/>
          </w:cols>
          <w:pgMar w:left="240" w:top="273" w:right="239" w:bottom="1440" w:gutter="0" w:footer="0" w:header="0"/>
          <w:type w:val="continuous"/>
        </w:sectPr>
      </w:pPr>
    </w:p>
    <w:bookmarkStart w:id="526" w:name="page527"/>
    <w:bookmarkEnd w:id="526"/>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0"/>
        </w:trPr>
        <w:tc>
          <w:tcPr>
            <w:tcW w:w="4340" w:type="dxa"/>
            <w:vAlign w:val="bottom"/>
          </w:tcPr>
          <w:p>
            <w:pPr>
              <w:spacing w:after="0"/>
              <w:rPr>
                <w:sz w:val="24"/>
                <w:szCs w:val="24"/>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Attn: Wavechart &amp; Co fbo Fidelity Securities</w:t>
            </w:r>
          </w:p>
        </w:tc>
        <w:tc>
          <w:tcPr>
            <w:tcW w:w="144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Fund: Fidelity Series Blue Chip Growth Fund</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SSBCORPACTIONS@StateStreet.com</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Fax number: 617-988-9110</w:t>
            </w:r>
          </w:p>
        </w:tc>
        <w:tc>
          <w:tcPr>
            <w:tcW w:w="1440" w:type="dxa"/>
            <w:vAlign w:val="bottom"/>
          </w:tcPr>
          <w:p>
            <w:pPr>
              <w:spacing w:after="0"/>
              <w:rPr>
                <w:sz w:val="19"/>
                <w:szCs w:val="19"/>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Fidelity Blue Chip Growth</w:t>
            </w:r>
          </w:p>
        </w:tc>
        <w:tc>
          <w:tcPr>
            <w:tcW w:w="5640" w:type="dxa"/>
            <w:vAlign w:val="bottom"/>
          </w:tcPr>
          <w:p>
            <w:pPr>
              <w:ind w:left="860"/>
              <w:spacing w:after="0"/>
              <w:rPr>
                <w:sz w:val="20"/>
                <w:szCs w:val="20"/>
                <w:color w:val="auto"/>
              </w:rPr>
            </w:pPr>
            <w:r>
              <w:rPr>
                <w:rFonts w:ascii="Arial" w:cs="Arial" w:eastAsia="Arial" w:hAnsi="Arial"/>
                <w:sz w:val="18"/>
                <w:szCs w:val="18"/>
                <w:color w:val="auto"/>
              </w:rPr>
              <w:t>Brown Brothers Harriman &amp; Co.</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Commingled Pool</w:t>
            </w:r>
          </w:p>
        </w:tc>
        <w:tc>
          <w:tcPr>
            <w:tcW w:w="5640" w:type="dxa"/>
            <w:vAlign w:val="bottom"/>
          </w:tcPr>
          <w:p>
            <w:pPr>
              <w:ind w:left="860"/>
              <w:spacing w:after="0"/>
              <w:rPr>
                <w:sz w:val="20"/>
                <w:szCs w:val="20"/>
                <w:color w:val="auto"/>
              </w:rPr>
            </w:pPr>
            <w:r>
              <w:rPr>
                <w:rFonts w:ascii="Arial" w:cs="Arial" w:eastAsia="Arial" w:hAnsi="Arial"/>
                <w:sz w:val="18"/>
                <w:szCs w:val="18"/>
                <w:color w:val="auto"/>
              </w:rPr>
              <w:t>525 Washington Blvd</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By: Fidelity Management &amp; Trust Co.</w:t>
            </w:r>
          </w:p>
        </w:tc>
        <w:tc>
          <w:tcPr>
            <w:tcW w:w="5640" w:type="dxa"/>
            <w:vAlign w:val="bottom"/>
          </w:tcPr>
          <w:p>
            <w:pPr>
              <w:ind w:left="860"/>
              <w:spacing w:after="0"/>
              <w:rPr>
                <w:sz w:val="20"/>
                <w:szCs w:val="20"/>
                <w:color w:val="auto"/>
              </w:rPr>
            </w:pPr>
            <w:r>
              <w:rPr>
                <w:rFonts w:ascii="Arial" w:cs="Arial" w:eastAsia="Arial" w:hAnsi="Arial"/>
                <w:sz w:val="18"/>
                <w:szCs w:val="18"/>
                <w:color w:val="auto"/>
              </w:rPr>
              <w:t>Jersey City NJ 07310</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Attn: Michael Lerman 15th Floor</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Corporate Actions</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michael.lerman@bbh.com</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Fax number: 617 772-2418</w:t>
            </w:r>
          </w:p>
        </w:tc>
        <w:tc>
          <w:tcPr>
            <w:tcW w:w="1440" w:type="dxa"/>
            <w:vAlign w:val="bottom"/>
          </w:tcPr>
          <w:p>
            <w:pPr>
              <w:spacing w:after="0"/>
              <w:rPr>
                <w:sz w:val="19"/>
                <w:szCs w:val="19"/>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Pyramis Lifecycle Blue Chip Growth</w:t>
            </w:r>
          </w:p>
        </w:tc>
        <w:tc>
          <w:tcPr>
            <w:tcW w:w="5640" w:type="dxa"/>
            <w:vAlign w:val="bottom"/>
          </w:tcPr>
          <w:p>
            <w:pPr>
              <w:ind w:left="860"/>
              <w:spacing w:after="0"/>
              <w:rPr>
                <w:sz w:val="20"/>
                <w:szCs w:val="20"/>
                <w:color w:val="auto"/>
              </w:rPr>
            </w:pPr>
            <w:r>
              <w:rPr>
                <w:rFonts w:ascii="Arial" w:cs="Arial" w:eastAsia="Arial" w:hAnsi="Arial"/>
                <w:sz w:val="18"/>
                <w:szCs w:val="18"/>
                <w:color w:val="auto"/>
              </w:rPr>
              <w:t>State Street Bank &amp; Trust</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Commingled Pool</w:t>
            </w:r>
          </w:p>
        </w:tc>
        <w:tc>
          <w:tcPr>
            <w:tcW w:w="5640" w:type="dxa"/>
            <w:vAlign w:val="bottom"/>
          </w:tcPr>
          <w:p>
            <w:pPr>
              <w:ind w:left="860"/>
              <w:spacing w:after="0"/>
              <w:rPr>
                <w:sz w:val="20"/>
                <w:szCs w:val="20"/>
                <w:color w:val="auto"/>
              </w:rPr>
            </w:pPr>
            <w:r>
              <w:rPr>
                <w:rFonts w:ascii="Arial" w:cs="Arial" w:eastAsia="Arial" w:hAnsi="Arial"/>
                <w:sz w:val="18"/>
                <w:szCs w:val="18"/>
                <w:color w:val="auto"/>
              </w:rPr>
              <w:t>PO Box 5756</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By: Pyramis Global Advisors Trust</w:t>
            </w:r>
          </w:p>
        </w:tc>
        <w:tc>
          <w:tcPr>
            <w:tcW w:w="5640" w:type="dxa"/>
            <w:vAlign w:val="bottom"/>
          </w:tcPr>
          <w:p>
            <w:pPr>
              <w:ind w:left="860"/>
              <w:spacing w:after="0"/>
              <w:rPr>
                <w:sz w:val="20"/>
                <w:szCs w:val="20"/>
                <w:color w:val="auto"/>
              </w:rPr>
            </w:pPr>
            <w:r>
              <w:rPr>
                <w:rFonts w:ascii="Arial" w:cs="Arial" w:eastAsia="Arial" w:hAnsi="Arial"/>
                <w:sz w:val="18"/>
                <w:szCs w:val="18"/>
                <w:color w:val="auto"/>
              </w:rPr>
              <w:t>Boston, Massachusetts 02206</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Company, as Trustee</w:t>
            </w:r>
          </w:p>
        </w:tc>
        <w:tc>
          <w:tcPr>
            <w:tcW w:w="5640" w:type="dxa"/>
            <w:vAlign w:val="bottom"/>
          </w:tcPr>
          <w:p>
            <w:pPr>
              <w:ind w:left="860"/>
              <w:spacing w:after="0"/>
              <w:rPr>
                <w:sz w:val="20"/>
                <w:szCs w:val="20"/>
                <w:color w:val="auto"/>
              </w:rPr>
            </w:pPr>
            <w:r>
              <w:rPr>
                <w:rFonts w:ascii="Arial" w:cs="Arial" w:eastAsia="Arial" w:hAnsi="Arial"/>
                <w:sz w:val="18"/>
                <w:szCs w:val="18"/>
                <w:color w:val="auto"/>
              </w:rPr>
              <w:t>Attn: FLAPPER CO fbo Pyramis Lifecycle Blue</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Chip Growth Commingled Pool</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SSBCORPACTIONS@StateStreet.com</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Fax number: 617-988-9110</w:t>
            </w:r>
          </w:p>
        </w:tc>
        <w:tc>
          <w:tcPr>
            <w:tcW w:w="1440" w:type="dxa"/>
            <w:vAlign w:val="bottom"/>
          </w:tcPr>
          <w:p>
            <w:pPr>
              <w:spacing w:after="0"/>
              <w:rPr>
                <w:sz w:val="19"/>
                <w:szCs w:val="19"/>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Fidelity Securities Fund: Fidelity Blue</w:t>
            </w:r>
          </w:p>
        </w:tc>
        <w:tc>
          <w:tcPr>
            <w:tcW w:w="5640" w:type="dxa"/>
            <w:vAlign w:val="bottom"/>
          </w:tcPr>
          <w:p>
            <w:pPr>
              <w:ind w:left="860"/>
              <w:spacing w:after="0"/>
              <w:rPr>
                <w:sz w:val="20"/>
                <w:szCs w:val="20"/>
                <w:color w:val="auto"/>
              </w:rPr>
            </w:pPr>
            <w:r>
              <w:rPr>
                <w:rFonts w:ascii="Arial" w:cs="Arial" w:eastAsia="Arial" w:hAnsi="Arial"/>
                <w:sz w:val="18"/>
                <w:szCs w:val="18"/>
                <w:color w:val="auto"/>
              </w:rPr>
              <w:t>M.Gardiner &amp; Co</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Chip Growth Fund</w:t>
            </w:r>
          </w:p>
        </w:tc>
        <w:tc>
          <w:tcPr>
            <w:tcW w:w="5640" w:type="dxa"/>
            <w:vAlign w:val="bottom"/>
          </w:tcPr>
          <w:p>
            <w:pPr>
              <w:ind w:left="860"/>
              <w:spacing w:after="0"/>
              <w:rPr>
                <w:sz w:val="20"/>
                <w:szCs w:val="20"/>
                <w:color w:val="auto"/>
              </w:rPr>
            </w:pPr>
            <w:r>
              <w:rPr>
                <w:rFonts w:ascii="Arial" w:cs="Arial" w:eastAsia="Arial" w:hAnsi="Arial"/>
                <w:sz w:val="18"/>
                <w:szCs w:val="18"/>
                <w:color w:val="auto"/>
              </w:rPr>
              <w:t>C/O JPMorgan Chase Bank, N.A</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P.O. Box 35308</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Newark, NJ 07101-8006</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20"/>
                <w:szCs w:val="20"/>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Fidelity.crcs@jpmorgan.com</w:t>
            </w:r>
          </w:p>
        </w:tc>
        <w:tc>
          <w:tcPr>
            <w:tcW w:w="1440" w:type="dxa"/>
            <w:vAlign w:val="bottom"/>
          </w:tcPr>
          <w:p>
            <w:pPr>
              <w:spacing w:after="0"/>
              <w:rPr>
                <w:sz w:val="20"/>
                <w:szCs w:val="20"/>
                <w:color w:val="auto"/>
              </w:rPr>
            </w:pPr>
          </w:p>
        </w:tc>
      </w:tr>
    </w:tbl>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Jpmorganinformation.services@jpmorgan.com</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Fax number: 469-477-1510</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the Company shall be sent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1015 Lausanne,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21 693 91 21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Attn. Dr. Matthias Staehelin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4010 Basel,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58 211 33 00</w:t>
      </w:r>
    </w:p>
    <w:p>
      <w:pPr>
        <w:spacing w:after="0" w:line="103"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Each Party may change or amend the addresses given in this Subscription Agreement or designate additional addresses for the purposes of this Section by giving the other Parties written notice of the new address in the manner set forth in this Section.</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This Subscription Agreement (including its Appendices) and any written document executed in connection herewith constitutes the entire agreement between the Parties hereto with respect to the subject matter hereof and supersedes any agreement or understanding that may have been concluded with respect to the subject matter hereof between any of the Parties prior to the date of this Subscription Agreement.</w:t>
      </w:r>
    </w:p>
    <w:p>
      <w:pPr>
        <w:sectPr>
          <w:pgSz w:w="11900" w:h="16838" w:orient="portrait"/>
          <w:cols w:equalWidth="0" w:num="1">
            <w:col w:w="11420"/>
          </w:cols>
          <w:pgMar w:left="240" w:top="274" w:right="239" w:bottom="1440" w:gutter="0" w:footer="0" w:header="0"/>
        </w:sectPr>
      </w:pPr>
    </w:p>
    <w:bookmarkStart w:id="527" w:name="page528"/>
    <w:bookmarkEnd w:id="52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Severability</w:t>
      </w:r>
    </w:p>
    <w:p>
      <w:pPr>
        <w:spacing w:after="0" w:line="11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If at any time any provision of this Subscription Agreement or any part thereof is or becomes invalid or unenforceable, then neither the validity nor the enforceability of the remaining provisions or the remaining part of the provision shall in any way be affected or impaired thereby. The Parties agree to replace the invalid or unenforceable provision or part thereof by a valid or enforceable provision which shall best reflect the Parties’ original intention and shall to the extent possible achieve the same economic result.</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Termination at IPO and Survival</w:t>
      </w:r>
    </w:p>
    <w:p>
      <w:pPr>
        <w:spacing w:after="0" w:line="117" w:lineRule="exact"/>
        <w:rPr>
          <w:sz w:val="20"/>
          <w:szCs w:val="20"/>
          <w:color w:val="auto"/>
        </w:rPr>
      </w:pPr>
    </w:p>
    <w:p>
      <w:pPr>
        <w:ind w:left="700" w:right="60"/>
        <w:spacing w:after="0" w:line="272" w:lineRule="auto"/>
        <w:rPr>
          <w:sz w:val="20"/>
          <w:szCs w:val="20"/>
          <w:color w:val="auto"/>
        </w:rPr>
      </w:pPr>
      <w:r>
        <w:rPr>
          <w:rFonts w:ascii="Arial" w:cs="Arial" w:eastAsia="Arial" w:hAnsi="Arial"/>
          <w:sz w:val="17"/>
          <w:szCs w:val="17"/>
          <w:color w:val="auto"/>
        </w:rPr>
        <w:t>This Subscription Agreement shall terminate at a firmly underwritten public offering of Common Shares of the Company for listing on an internationally recognized stock exchange at a pre-money valuation at the IPO date of not less than the Post Series E Valuation (USD 500’000’000.00 assuming the issuance of 20’755 Series E Preferred Shares) and with gross proceeds from the initial public offering of at least USD 50 million. Notwithstanding any termination and rescission of this Subscription Agreement (and the Shareholders’ Agreement and any documents, instruments or deeds executed by an Investor including, but not limited to, the Subscription Forms) pursuant to Section 6 above, it is acknowledged and agreed that Sections 6 (Termination and Recission) and this Section 11.7 shall survive any such termination and rescission and continue to be effective as if no such termination and rescission had occurred.</w:t>
      </w:r>
    </w:p>
    <w:p>
      <w:pPr>
        <w:spacing w:after="0" w:line="3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Amendments</w:t>
      </w:r>
    </w:p>
    <w:p>
      <w:pPr>
        <w:spacing w:after="0" w:line="117"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This Subscription Agreement including this Section 11.8 may be amended only in writing by an instrument signed by the Company and all Investors.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Waiver of Rights</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No waiver by a Party of a failure of any other Party to perform any provision of this Subscription Agreement shall operate or be construed as a waiver in respect of any other or further failure whether of a similar or different character.</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Announcement</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Each Investor shall consult with the Company, and the Company shall consult with such Investor, before issuing any press releases or otherwise making any public statements with respect to this Subscription Agreement and the matter contemplated hereby. The wording and timing of the initial public announcement of the acquisition of the equity participation in the Company shall be mutually agreed between the Company and Fidelity.</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Counterparts</w:t>
      </w:r>
    </w:p>
    <w:p>
      <w:pPr>
        <w:spacing w:after="0" w:line="117"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This Subscription Agreement may be executed in so many counterparts as there are Parties to it, each of which shall constitute an original, and all counterparts shall constitute an original, and all counterparts shall together constitute one and the same instrument. Execution copies may be delivered by as PDF by e-mail (in which case original copies shall subsequently be sent by mail as soon as possible).</w:t>
      </w:r>
    </w:p>
    <w:p>
      <w:pPr>
        <w:sectPr>
          <w:pgSz w:w="11900" w:h="16838" w:orient="portrait"/>
          <w:cols w:equalWidth="0" w:num="1">
            <w:col w:w="11420"/>
          </w:cols>
          <w:pgMar w:left="240" w:top="273" w:right="239" w:bottom="1440" w:gutter="0" w:footer="0" w:header="0"/>
        </w:sectPr>
      </w:pPr>
    </w:p>
    <w:bookmarkStart w:id="528" w:name="page529"/>
    <w:bookmarkEnd w:id="528"/>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Applicable Law</w:t>
      </w:r>
    </w:p>
    <w:p>
      <w:pPr>
        <w:spacing w:after="0" w:line="11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This Subscription Agreement and all disputes including those concerning any statute of limitations, set-off claims, tort claims and interest claims, shall be governed by the substantive laws of Switzerland excluding its conflict of laws rules.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Arbitration</w:t>
      </w:r>
    </w:p>
    <w:p>
      <w:pPr>
        <w:spacing w:after="0" w:line="117"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ectPr>
          <w:pgSz w:w="11900" w:h="16838" w:orient="portrait"/>
          <w:cols w:equalWidth="0" w:num="1">
            <w:col w:w="11420"/>
          </w:cols>
          <w:pgMar w:left="240" w:top="274" w:right="239" w:bottom="1440" w:gutter="0" w:footer="0" w:header="0"/>
        </w:sectPr>
      </w:pPr>
    </w:p>
    <w:bookmarkStart w:id="529" w:name="page530"/>
    <w:bookmarkEnd w:id="529"/>
    <w:tbl>
      <w:tblPr>
        <w:tblLayout w:type="fixed"/>
        <w:tblInd w:w="0" w:type="dxa"/>
        <w:tblCellMar>
          <w:top w:w="0" w:type="dxa"/>
          <w:left w:w="0" w:type="dxa"/>
          <w:bottom w:w="0" w:type="dxa"/>
          <w:right w:w="0" w:type="dxa"/>
        </w:tblCellMar>
      </w:tblP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0420" w:type="dxa"/>
            <w:vAlign w:val="bottom"/>
          </w:tcPr>
          <w:p>
            <w:pPr>
              <w:spacing w:after="0"/>
              <w:rPr>
                <w:sz w:val="20"/>
                <w:szCs w:val="20"/>
                <w:color w:val="auto"/>
              </w:rPr>
            </w:pPr>
            <w:r>
              <w:rPr>
                <w:rFonts w:ascii="Arial" w:cs="Arial" w:eastAsia="Arial" w:hAnsi="Arial"/>
                <w:sz w:val="18"/>
                <w:szCs w:val="18"/>
                <w:color w:val="auto"/>
                <w:w w:val="98"/>
              </w:rPr>
              <w:t>IN WITNESS WHEREOF the Parties have caused the Subscription Agreement to be duly executed as of the date first written above.</w:t>
            </w:r>
          </w:p>
        </w:tc>
        <w:tc>
          <w:tcPr>
            <w:tcW w:w="100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B Robins</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B Robins</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Advisor Series VII: Fidelity Advisor Biotechnology Fund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0" w:name="page531"/>
    <w:bookmarkEnd w:id="530"/>
    <w:tbl>
      <w:tblPr>
        <w:tblLayout w:type="fixed"/>
        <w:tblInd w:w="0" w:type="dxa"/>
        <w:tblCellMar>
          <w:top w:w="0" w:type="dxa"/>
          <w:left w:w="0" w:type="dxa"/>
          <w:bottom w:w="0" w:type="dxa"/>
          <w:right w:w="0" w:type="dxa"/>
        </w:tblCellMar>
      </w:tblPr>
      <w:tr>
        <w:trPr>
          <w:trHeight w:val="230"/>
        </w:trPr>
        <w:tc>
          <w:tcPr>
            <w:tcW w:w="8300" w:type="dxa"/>
            <w:vAlign w:val="bottom"/>
            <w:gridSpan w:val="4"/>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8300" w:type="dxa"/>
            <w:vAlign w:val="bottom"/>
            <w:gridSpan w:val="4"/>
          </w:tcPr>
          <w:p>
            <w:pPr>
              <w:spacing w:after="0"/>
              <w:rPr>
                <w:sz w:val="20"/>
                <w:szCs w:val="20"/>
                <w:color w:val="auto"/>
              </w:rPr>
            </w:pPr>
            <w:r>
              <w:rPr>
                <w:rFonts w:ascii="Arial" w:cs="Arial" w:eastAsia="Arial" w:hAnsi="Arial"/>
                <w:sz w:val="18"/>
                <w:szCs w:val="18"/>
                <w:color w:val="auto"/>
              </w:rPr>
              <w:t>Place/Date: Boston, Massachusetts</w:t>
            </w:r>
          </w:p>
        </w:tc>
        <w:tc>
          <w:tcPr>
            <w:tcW w:w="312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16, 2015</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9"/>
        </w:trPr>
        <w:tc>
          <w:tcPr>
            <w:tcW w:w="8300" w:type="dxa"/>
            <w:vAlign w:val="bottom"/>
            <w:gridSpan w:val="4"/>
          </w:tcPr>
          <w:p>
            <w:pPr>
              <w:spacing w:after="0"/>
              <w:rPr>
                <w:sz w:val="20"/>
                <w:szCs w:val="20"/>
                <w:color w:val="auto"/>
              </w:rPr>
            </w:pPr>
            <w:r>
              <w:rPr>
                <w:rFonts w:ascii="Arial" w:cs="Arial" w:eastAsia="Arial" w:hAnsi="Arial"/>
                <w:sz w:val="18"/>
                <w:szCs w:val="18"/>
                <w:b w:val="1"/>
                <w:bCs w:val="1"/>
                <w:color w:val="auto"/>
              </w:rPr>
              <w:t>Fidelity Securities Fund: Fidelity Series Blue Chip Growth Fund</w:t>
            </w:r>
          </w:p>
        </w:tc>
        <w:tc>
          <w:tcPr>
            <w:tcW w:w="3120" w:type="dxa"/>
            <w:vAlign w:val="bottom"/>
          </w:tcPr>
          <w:p>
            <w:pPr>
              <w:spacing w:after="0"/>
              <w:rPr>
                <w:sz w:val="24"/>
                <w:szCs w:val="24"/>
                <w:color w:val="auto"/>
              </w:rPr>
            </w:pP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Kenneth B Robins</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Kenneth B Robins</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Blue Chip Growth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Fidelity Management &amp; Trust Co.</w:t>
      </w:r>
    </w:p>
    <w:p>
      <w:pPr>
        <w:spacing w:after="0" w:line="23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1" w:name="page532"/>
    <w:bookmarkEnd w:id="531"/>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Place/Date: Smithfield, RI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Pyramis Lifecycle Blue Chip Growth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Pyramis Global Advisors Trust Company, as Trustee</w:t>
      </w:r>
    </w:p>
    <w:p>
      <w:pPr>
        <w:spacing w:after="0" w:line="23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Dana Rancourt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Dana Rancourt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Securities Fund: Fidelity Blue Chip Growth Fund</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2" w:name="page533"/>
    <w:bookmarkEnd w:id="532"/>
    <w:tbl>
      <w:tblPr>
        <w:tblLayout w:type="fixed"/>
        <w:tblInd w:w="0" w:type="dxa"/>
        <w:tblCellMar>
          <w:top w:w="0" w:type="dxa"/>
          <w:left w:w="0" w:type="dxa"/>
          <w:bottom w:w="0" w:type="dxa"/>
          <w:right w:w="0" w:type="dxa"/>
        </w:tblCellMar>
      </w:tblPr>
      <w:tr>
        <w:trPr>
          <w:trHeight w:val="230"/>
        </w:trPr>
        <w:tc>
          <w:tcPr>
            <w:tcW w:w="5780" w:type="dxa"/>
            <w:vAlign w:val="bottom"/>
            <w:gridSpan w:val="5"/>
          </w:tcPr>
          <w:p>
            <w:pPr>
              <w:spacing w:after="0"/>
              <w:rPr>
                <w:sz w:val="20"/>
                <w:szCs w:val="20"/>
                <w:color w:val="auto"/>
              </w:rPr>
            </w:pPr>
            <w:r>
              <w:rPr>
                <w:rFonts w:ascii="Arial" w:cs="Arial" w:eastAsia="Arial" w:hAnsi="Arial"/>
                <w:sz w:val="18"/>
                <w:szCs w:val="18"/>
                <w:color w:val="auto"/>
                <w:w w:val="98"/>
              </w:rPr>
              <w:t>Subscription Agreement regarding AC Immune SA as of 16 October 2015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5780" w:type="dxa"/>
            <w:vAlign w:val="bottom"/>
            <w:gridSpan w:val="5"/>
          </w:tcPr>
          <w:p>
            <w:pPr>
              <w:spacing w:after="0"/>
              <w:rPr>
                <w:sz w:val="20"/>
                <w:szCs w:val="20"/>
                <w:color w:val="auto"/>
              </w:rPr>
            </w:pPr>
            <w:r>
              <w:rPr>
                <w:rFonts w:ascii="Arial" w:cs="Arial" w:eastAsia="Arial" w:hAnsi="Arial"/>
                <w:sz w:val="18"/>
                <w:szCs w:val="18"/>
                <w:color w:val="auto"/>
              </w:rPr>
              <w:t>Place/Date: Lausanne, 16 October 2015</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39"/>
        </w:trPr>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AC Immune SA</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59"/>
        </w:trPr>
        <w:tc>
          <w:tcPr>
            <w:tcW w:w="5780" w:type="dxa"/>
            <w:vAlign w:val="bottom"/>
            <w:gridSpan w:val="5"/>
          </w:tcPr>
          <w:p>
            <w:pPr>
              <w:spacing w:after="0"/>
              <w:rPr>
                <w:sz w:val="20"/>
                <w:szCs w:val="20"/>
                <w:color w:val="auto"/>
              </w:rPr>
            </w:pPr>
            <w:r>
              <w:rPr>
                <w:rFonts w:ascii="Arial" w:cs="Arial" w:eastAsia="Arial" w:hAnsi="Arial"/>
                <w:sz w:val="18"/>
                <w:szCs w:val="18"/>
                <w:color w:val="auto"/>
              </w:rPr>
              <w:t>Signature</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Signature</w:t>
            </w:r>
          </w:p>
        </w:tc>
      </w:tr>
      <w:tr>
        <w:trPr>
          <w:trHeight w:val="432"/>
        </w:trPr>
        <w:tc>
          <w:tcPr>
            <w:tcW w:w="5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Martin Velasco</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5280" w:type="dxa"/>
            <w:vAlign w:val="bottom"/>
            <w:gridSpan w:val="4"/>
          </w:tcPr>
          <w:p>
            <w:pPr>
              <w:ind w:left="60"/>
              <w:spacing w:after="0"/>
              <w:rPr>
                <w:sz w:val="20"/>
                <w:szCs w:val="20"/>
                <w:color w:val="auto"/>
              </w:rPr>
            </w:pPr>
            <w:r>
              <w:rPr>
                <w:rFonts w:ascii="Arial" w:cs="Arial" w:eastAsia="Arial" w:hAnsi="Arial"/>
                <w:sz w:val="18"/>
                <w:szCs w:val="18"/>
                <w:color w:val="auto"/>
              </w:rPr>
              <w:t>Martin Velasco</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5"/>
              </w:rPr>
              <w:t>Name</w:t>
            </w:r>
          </w:p>
        </w:tc>
        <w:tc>
          <w:tcPr>
            <w:tcW w:w="47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gridSpan w:val="4"/>
          </w:tcPr>
          <w:p>
            <w:pPr>
              <w:ind w:left="60"/>
              <w:spacing w:after="0"/>
              <w:rPr>
                <w:sz w:val="20"/>
                <w:szCs w:val="20"/>
                <w:color w:val="auto"/>
              </w:rPr>
            </w:pPr>
            <w:r>
              <w:rPr>
                <w:rFonts w:ascii="Arial" w:cs="Arial" w:eastAsia="Arial" w:hAnsi="Arial"/>
                <w:sz w:val="18"/>
                <w:szCs w:val="18"/>
                <w:color w:val="auto"/>
              </w:rPr>
              <w:t>Chairman of the Board</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47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ind w:left="60"/>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33" w:name="page534"/>
    <w:bookmarkEnd w:id="533"/>
    <w:tbl>
      <w:tblPr>
        <w:tblLayout w:type="fixed"/>
        <w:tblInd w:w="0" w:type="dxa"/>
        <w:tblCellMar>
          <w:top w:w="0" w:type="dxa"/>
          <w:left w:w="0" w:type="dxa"/>
          <w:bottom w:w="0" w:type="dxa"/>
          <w:right w:w="0" w:type="dxa"/>
        </w:tblCellMar>
      </w:tblPr>
      <w:tr>
        <w:trPr>
          <w:trHeight w:val="230"/>
        </w:trPr>
        <w:tc>
          <w:tcPr>
            <w:tcW w:w="5780" w:type="dxa"/>
            <w:vAlign w:val="bottom"/>
            <w:gridSpan w:val="5"/>
          </w:tcPr>
          <w:p>
            <w:pPr>
              <w:spacing w:after="0"/>
              <w:rPr>
                <w:sz w:val="20"/>
                <w:szCs w:val="20"/>
                <w:color w:val="auto"/>
              </w:rPr>
            </w:pPr>
            <w:r>
              <w:rPr>
                <w:rFonts w:ascii="Arial" w:cs="Arial" w:eastAsia="Arial" w:hAnsi="Arial"/>
                <w:sz w:val="18"/>
                <w:szCs w:val="18"/>
                <w:color w:val="auto"/>
                <w:w w:val="98"/>
              </w:rPr>
              <w:t>Subscription Agreement regarding AC Immune SA as of 16 October 2015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5780" w:type="dxa"/>
            <w:vAlign w:val="bottom"/>
            <w:gridSpan w:val="5"/>
          </w:tcPr>
          <w:p>
            <w:pPr>
              <w:spacing w:after="0"/>
              <w:rPr>
                <w:sz w:val="20"/>
                <w:szCs w:val="20"/>
                <w:color w:val="auto"/>
              </w:rPr>
            </w:pPr>
            <w:r>
              <w:rPr>
                <w:rFonts w:ascii="Arial" w:cs="Arial" w:eastAsia="Arial" w:hAnsi="Arial"/>
                <w:sz w:val="18"/>
                <w:szCs w:val="18"/>
                <w:color w:val="auto"/>
              </w:rPr>
              <w:t>Place/Date: Bangkok / 16 October 2015</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39"/>
        </w:trPr>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AC Immune SA</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59"/>
        </w:trPr>
        <w:tc>
          <w:tcPr>
            <w:tcW w:w="5780" w:type="dxa"/>
            <w:vAlign w:val="bottom"/>
            <w:gridSpan w:val="5"/>
          </w:tcPr>
          <w:p>
            <w:pPr>
              <w:spacing w:after="0"/>
              <w:rPr>
                <w:sz w:val="20"/>
                <w:szCs w:val="20"/>
                <w:color w:val="auto"/>
              </w:rPr>
            </w:pPr>
            <w:r>
              <w:rPr>
                <w:rFonts w:ascii="Arial" w:cs="Arial" w:eastAsia="Arial" w:hAnsi="Arial"/>
                <w:sz w:val="18"/>
                <w:szCs w:val="18"/>
                <w:color w:val="auto"/>
              </w:rPr>
              <w:t>Signature</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Signature</w:t>
            </w:r>
          </w:p>
        </w:tc>
      </w:tr>
      <w:tr>
        <w:trPr>
          <w:trHeight w:val="43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/s/ Matthias Staehelin</w:t>
            </w:r>
          </w:p>
        </w:tc>
      </w:tr>
      <w:tr>
        <w:trPr>
          <w:trHeight w:val="20"/>
        </w:trPr>
        <w:tc>
          <w:tcPr>
            <w:tcW w:w="500" w:type="dxa"/>
            <w:vAlign w:val="bottom"/>
            <w:shd w:val="clear" w:color="auto" w:fill="000000"/>
          </w:tcPr>
          <w:p>
            <w:pPr>
              <w:spacing w:after="0" w:line="20" w:lineRule="exact"/>
              <w:rPr>
                <w:sz w:val="1"/>
                <w:szCs w:val="1"/>
                <w:color w:val="auto"/>
              </w:rPr>
            </w:pPr>
          </w:p>
        </w:tc>
        <w:tc>
          <w:tcPr>
            <w:tcW w:w="484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Martin Velasco</w:t>
            </w:r>
          </w:p>
        </w:tc>
        <w:tc>
          <w:tcPr>
            <w:tcW w:w="440" w:type="dxa"/>
            <w:vAlign w:val="bottom"/>
          </w:tcPr>
          <w:p>
            <w:pPr>
              <w:spacing w:after="0"/>
              <w:rPr>
                <w:sz w:val="24"/>
                <w:szCs w:val="24"/>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5"/>
              </w:rPr>
              <w:t>Name</w:t>
            </w:r>
          </w:p>
        </w:tc>
        <w:tc>
          <w:tcPr>
            <w:tcW w:w="47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gridSpan w:val="4"/>
          </w:tcPr>
          <w:p>
            <w:pPr>
              <w:ind w:left="60"/>
              <w:spacing w:after="0"/>
              <w:rPr>
                <w:sz w:val="20"/>
                <w:szCs w:val="20"/>
                <w:color w:val="auto"/>
              </w:rPr>
            </w:pPr>
            <w:r>
              <w:rPr>
                <w:rFonts w:ascii="Arial" w:cs="Arial" w:eastAsia="Arial" w:hAnsi="Arial"/>
                <w:sz w:val="18"/>
                <w:szCs w:val="18"/>
                <w:color w:val="auto"/>
              </w:rPr>
              <w:t>Chairman of the Board</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47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ind w:left="6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34" w:name="page535"/>
    <w:bookmarkEnd w:id="534"/>
    <w:tbl>
      <w:tblPr>
        <w:tblLayout w:type="fixed"/>
        <w:tblInd w:w="0" w:type="dxa"/>
        <w:tblCellMar>
          <w:top w:w="0" w:type="dxa"/>
          <w:left w:w="0" w:type="dxa"/>
          <w:bottom w:w="0" w:type="dxa"/>
          <w:right w:w="0" w:type="dxa"/>
        </w:tblCellMar>
      </w:tblP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46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7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59"/>
        </w:trPr>
        <w:tc>
          <w:tcPr>
            <w:tcW w:w="1460" w:type="dxa"/>
            <w:vAlign w:val="bottom"/>
          </w:tcPr>
          <w:p>
            <w:pPr>
              <w:spacing w:after="0"/>
              <w:rPr>
                <w:sz w:val="20"/>
                <w:szCs w:val="20"/>
                <w:color w:val="auto"/>
              </w:rPr>
            </w:pPr>
            <w:r>
              <w:rPr>
                <w:rFonts w:ascii="Arial" w:cs="Arial" w:eastAsia="Arial" w:hAnsi="Arial"/>
                <w:sz w:val="18"/>
                <w:szCs w:val="18"/>
                <w:color w:val="auto"/>
              </w:rPr>
              <w:t>Annex 0</w:t>
            </w:r>
          </w:p>
        </w:tc>
        <w:tc>
          <w:tcPr>
            <w:tcW w:w="7580" w:type="dxa"/>
            <w:vAlign w:val="bottom"/>
          </w:tcPr>
          <w:p>
            <w:pPr>
              <w:ind w:left="380"/>
              <w:spacing w:after="0"/>
              <w:rPr>
                <w:sz w:val="20"/>
                <w:szCs w:val="20"/>
                <w:color w:val="auto"/>
              </w:rPr>
            </w:pPr>
            <w:r>
              <w:rPr>
                <w:rFonts w:ascii="Arial" w:cs="Arial" w:eastAsia="Arial" w:hAnsi="Arial"/>
                <w:sz w:val="18"/>
                <w:szCs w:val="18"/>
                <w:color w:val="auto"/>
              </w:rPr>
              <w:t>Shareholders’ Agreement dated 16 October 2015</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2.2</w:t>
            </w:r>
          </w:p>
        </w:tc>
        <w:tc>
          <w:tcPr>
            <w:tcW w:w="7580" w:type="dxa"/>
            <w:vAlign w:val="bottom"/>
          </w:tcPr>
          <w:p>
            <w:pPr>
              <w:ind w:left="380"/>
              <w:spacing w:after="0"/>
              <w:rPr>
                <w:sz w:val="20"/>
                <w:szCs w:val="20"/>
                <w:color w:val="auto"/>
              </w:rPr>
            </w:pPr>
            <w:r>
              <w:rPr>
                <w:rFonts w:ascii="Arial" w:cs="Arial" w:eastAsia="Arial" w:hAnsi="Arial"/>
                <w:sz w:val="18"/>
                <w:szCs w:val="18"/>
                <w:color w:val="auto"/>
              </w:rPr>
              <w:t>Current Articles of Association of the Company as of 1 October 2015</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3.1</w:t>
            </w:r>
          </w:p>
        </w:tc>
        <w:tc>
          <w:tcPr>
            <w:tcW w:w="7580" w:type="dxa"/>
            <w:vAlign w:val="bottom"/>
          </w:tcPr>
          <w:p>
            <w:pPr>
              <w:ind w:left="380"/>
              <w:spacing w:after="0"/>
              <w:rPr>
                <w:sz w:val="20"/>
                <w:szCs w:val="20"/>
                <w:color w:val="auto"/>
              </w:rPr>
            </w:pPr>
            <w:r>
              <w:rPr>
                <w:rFonts w:ascii="Arial" w:cs="Arial" w:eastAsia="Arial" w:hAnsi="Arial"/>
                <w:sz w:val="18"/>
                <w:szCs w:val="18"/>
                <w:color w:val="auto"/>
              </w:rPr>
              <w:t>Adherence Declaration</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3.2</w:t>
            </w:r>
          </w:p>
        </w:tc>
        <w:tc>
          <w:tcPr>
            <w:tcW w:w="7580" w:type="dxa"/>
            <w:vAlign w:val="bottom"/>
          </w:tcPr>
          <w:p>
            <w:pPr>
              <w:ind w:left="380"/>
              <w:spacing w:after="0"/>
              <w:rPr>
                <w:sz w:val="20"/>
                <w:szCs w:val="20"/>
                <w:color w:val="auto"/>
              </w:rPr>
            </w:pPr>
            <w:r>
              <w:rPr>
                <w:rFonts w:ascii="Arial" w:cs="Arial" w:eastAsia="Arial" w:hAnsi="Arial"/>
                <w:sz w:val="18"/>
                <w:szCs w:val="18"/>
                <w:color w:val="auto"/>
              </w:rPr>
              <w:t>Subscription Form</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3.3</w:t>
            </w:r>
          </w:p>
        </w:tc>
        <w:tc>
          <w:tcPr>
            <w:tcW w:w="7580" w:type="dxa"/>
            <w:vAlign w:val="bottom"/>
          </w:tcPr>
          <w:p>
            <w:pPr>
              <w:ind w:left="380"/>
              <w:spacing w:after="0"/>
              <w:rPr>
                <w:sz w:val="20"/>
                <w:szCs w:val="20"/>
                <w:color w:val="auto"/>
              </w:rPr>
            </w:pPr>
            <w:r>
              <w:rPr>
                <w:rFonts w:ascii="Arial" w:cs="Arial" w:eastAsia="Arial" w:hAnsi="Arial"/>
                <w:sz w:val="18"/>
                <w:szCs w:val="18"/>
                <w:color w:val="auto"/>
              </w:rPr>
              <w:t>Revised Articles of Association of the Company as of Closing</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4</w:t>
            </w:r>
          </w:p>
        </w:tc>
        <w:tc>
          <w:tcPr>
            <w:tcW w:w="7580" w:type="dxa"/>
            <w:vAlign w:val="bottom"/>
          </w:tcPr>
          <w:p>
            <w:pPr>
              <w:ind w:left="380"/>
              <w:spacing w:after="0"/>
              <w:rPr>
                <w:sz w:val="20"/>
                <w:szCs w:val="20"/>
                <w:color w:val="auto"/>
              </w:rPr>
            </w:pPr>
            <w:r>
              <w:rPr>
                <w:rFonts w:ascii="Arial" w:cs="Arial" w:eastAsia="Arial" w:hAnsi="Arial"/>
                <w:sz w:val="18"/>
                <w:szCs w:val="18"/>
                <w:color w:val="auto"/>
              </w:rPr>
              <w:t>Capitalization Table of the Company Post Closing</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5.2.1(e)</w:t>
            </w:r>
          </w:p>
        </w:tc>
        <w:tc>
          <w:tcPr>
            <w:tcW w:w="7580" w:type="dxa"/>
            <w:vAlign w:val="bottom"/>
          </w:tcPr>
          <w:p>
            <w:pPr>
              <w:ind w:left="380"/>
              <w:spacing w:after="0"/>
              <w:rPr>
                <w:sz w:val="20"/>
                <w:szCs w:val="20"/>
                <w:color w:val="auto"/>
              </w:rPr>
            </w:pPr>
            <w:r>
              <w:rPr>
                <w:rFonts w:ascii="Arial" w:cs="Arial" w:eastAsia="Arial" w:hAnsi="Arial"/>
                <w:sz w:val="18"/>
                <w:szCs w:val="18"/>
                <w:color w:val="auto"/>
              </w:rPr>
              <w:t>Registration Rights Agreement</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5.2.1(f)</w:t>
            </w:r>
          </w:p>
        </w:tc>
        <w:tc>
          <w:tcPr>
            <w:tcW w:w="7580" w:type="dxa"/>
            <w:vAlign w:val="bottom"/>
          </w:tcPr>
          <w:p>
            <w:pPr>
              <w:ind w:left="380"/>
              <w:spacing w:after="0"/>
              <w:rPr>
                <w:sz w:val="20"/>
                <w:szCs w:val="20"/>
                <w:color w:val="auto"/>
              </w:rPr>
            </w:pPr>
            <w:r>
              <w:rPr>
                <w:rFonts w:ascii="Arial" w:cs="Arial" w:eastAsia="Arial" w:hAnsi="Arial"/>
                <w:sz w:val="18"/>
                <w:szCs w:val="18"/>
                <w:color w:val="auto"/>
              </w:rPr>
              <w:t>Legal Opinion VISCHER AG</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5.3(a)</w:t>
            </w:r>
          </w:p>
        </w:tc>
        <w:tc>
          <w:tcPr>
            <w:tcW w:w="7580" w:type="dxa"/>
            <w:vAlign w:val="bottom"/>
          </w:tcPr>
          <w:p>
            <w:pPr>
              <w:ind w:left="380"/>
              <w:spacing w:after="0"/>
              <w:rPr>
                <w:sz w:val="20"/>
                <w:szCs w:val="20"/>
                <w:color w:val="auto"/>
              </w:rPr>
            </w:pPr>
            <w:r>
              <w:rPr>
                <w:rFonts w:ascii="Arial" w:cs="Arial" w:eastAsia="Arial" w:hAnsi="Arial"/>
                <w:sz w:val="18"/>
                <w:szCs w:val="18"/>
                <w:color w:val="auto"/>
              </w:rPr>
              <w:t>Certificates for fulfilled conditions precedent</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7.1</w:t>
            </w:r>
          </w:p>
        </w:tc>
        <w:tc>
          <w:tcPr>
            <w:tcW w:w="7580" w:type="dxa"/>
            <w:vAlign w:val="bottom"/>
          </w:tcPr>
          <w:p>
            <w:pPr>
              <w:ind w:left="380"/>
              <w:spacing w:after="0"/>
              <w:rPr>
                <w:sz w:val="20"/>
                <w:szCs w:val="20"/>
                <w:color w:val="auto"/>
              </w:rPr>
            </w:pPr>
            <w:r>
              <w:rPr>
                <w:rFonts w:ascii="Arial" w:cs="Arial" w:eastAsia="Arial" w:hAnsi="Arial"/>
                <w:sz w:val="18"/>
                <w:szCs w:val="18"/>
                <w:color w:val="auto"/>
              </w:rPr>
              <w:t>Representation and Warranties by the Company</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7.2</w:t>
            </w:r>
          </w:p>
        </w:tc>
        <w:tc>
          <w:tcPr>
            <w:tcW w:w="7580" w:type="dxa"/>
            <w:vAlign w:val="bottom"/>
          </w:tcPr>
          <w:p>
            <w:pPr>
              <w:ind w:left="380"/>
              <w:spacing w:after="0"/>
              <w:rPr>
                <w:sz w:val="20"/>
                <w:szCs w:val="20"/>
                <w:color w:val="auto"/>
              </w:rPr>
            </w:pPr>
            <w:r>
              <w:rPr>
                <w:rFonts w:ascii="Arial" w:cs="Arial" w:eastAsia="Arial" w:hAnsi="Arial"/>
                <w:sz w:val="18"/>
                <w:szCs w:val="18"/>
                <w:color w:val="auto"/>
              </w:rPr>
              <w:t>Representation and Warranties by each Investor</w:t>
            </w:r>
          </w:p>
        </w:tc>
        <w:tc>
          <w:tcPr>
            <w:tcW w:w="2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35" w:name="page536"/>
    <w:bookmarkEnd w:id="5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Adherence Declaration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(hereinafter “</w:t>
      </w:r>
      <w:r>
        <w:rPr>
          <w:rFonts w:ascii="Arial" w:cs="Arial" w:eastAsia="Arial" w:hAnsi="Arial"/>
          <w:sz w:val="16"/>
          <w:szCs w:val="16"/>
          <w:b w:val="1"/>
          <w:bCs w:val="1"/>
          <w:color w:val="auto"/>
        </w:rPr>
        <w:t>Investor</w:t>
      </w:r>
      <w:r>
        <w:rPr>
          <w:rFonts w:ascii="Arial" w:cs="Arial" w:eastAsia="Arial" w:hAnsi="Arial"/>
          <w:sz w:val="16"/>
          <w:szCs w:val="16"/>
          <w:color w:val="auto"/>
        </w:rPr>
        <w:t>”)</w:t>
      </w:r>
    </w:p>
    <w:p>
      <w:pPr>
        <w:spacing w:after="0" w:line="25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WHEREAS, the Subscription Agreement as of 16 October 2015 regarding AC Immune SA, a Swiss share company registered under the number CHE-109.878.825, EPFL Innovation Park, bâtiment B, 1015 Lausanne, Switzerland (the “</w:t>
      </w:r>
      <w:r>
        <w:rPr>
          <w:rFonts w:ascii="Arial" w:cs="Arial" w:eastAsia="Arial" w:hAnsi="Arial"/>
          <w:sz w:val="18"/>
          <w:szCs w:val="18"/>
          <w:b w:val="1"/>
          <w:bCs w:val="1"/>
          <w:color w:val="auto"/>
        </w:rPr>
        <w:t>Company</w:t>
      </w:r>
      <w:r>
        <w:rPr>
          <w:rFonts w:ascii="Arial" w:cs="Arial" w:eastAsia="Arial" w:hAnsi="Arial"/>
          <w:sz w:val="18"/>
          <w:szCs w:val="18"/>
          <w:color w:val="auto"/>
        </w:rPr>
        <w:t>”), was executed between the Company and [●]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enclosed as Appendix A to this adherence declaration);</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WHEREAS, pursuant to the Subscription Agreement existing shareholders and other investors may participate for up to USD 49’472’456.16 in the investment in the Company by way of adherence to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Investor is willing to invest in the Company or increase its investment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Investor hereby declares and agrees to the following:</w:t>
      </w:r>
    </w:p>
    <w:p>
      <w:pPr>
        <w:spacing w:after="0" w:line="370" w:lineRule="exact"/>
        <w:rPr>
          <w:sz w:val="20"/>
          <w:szCs w:val="20"/>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in this adherence declaration, all capitalized terms shall have the meaning according to the definition in the Subscription Agreement.</w:t>
      </w:r>
    </w:p>
    <w:p>
      <w:pPr>
        <w:spacing w:after="0" w:line="393"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ADHERENCE TO THE SUBSCRIPTION AGREEMENT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Investor hereby adheres to the Subscription Agreement as additional Investor and undertakes to invest a total amount of USD [AMOUNT] according to the terms in this adherence declaration and according to the terms of the Subscription Agreement.</w:t>
      </w:r>
    </w:p>
    <w:p>
      <w:pPr>
        <w:spacing w:after="0" w:line="315" w:lineRule="exact"/>
        <w:rPr>
          <w:sz w:val="20"/>
          <w:szCs w:val="20"/>
          <w:color w:val="auto"/>
        </w:rPr>
      </w:pPr>
    </w:p>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 JURISDICTION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adherence declaration and all disputes including those concerning any statute of limitations, set-off claims, tort claims and interest claims, shall be governed by the substantive laws of Switzerland excluding its conflict of laws rules.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adherence declaration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ectPr>
          <w:pgSz w:w="11900" w:h="16838" w:orient="portrait"/>
          <w:cols w:equalWidth="0" w:num="1">
            <w:col w:w="11420"/>
          </w:cols>
          <w:pgMar w:left="240" w:top="274" w:right="23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Appendix A </w:t>
      </w:r>
      <w:r>
        <w:rPr>
          <w:rFonts w:ascii="Arial" w:cs="Arial" w:eastAsia="Arial" w:hAnsi="Arial"/>
          <w:sz w:val="18"/>
          <w:szCs w:val="18"/>
          <w:color w:val="auto"/>
        </w:rPr>
        <w:t>Subscription Agreement 16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has caused this adherence declaration to be duly executed</w:t>
      </w:r>
    </w:p>
    <w:p>
      <w:pPr>
        <w:spacing w:after="0" w:line="25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16"/>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17"/>
        </w:trPr>
        <w:tc>
          <w:tcPr>
            <w:tcW w:w="5380" w:type="dxa"/>
            <w:vAlign w:val="bottom"/>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b w:val="1"/>
                <w:bCs w:val="1"/>
                <w:color w:val="auto"/>
              </w:rPr>
              <w:t>Accepted:</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AC Immune SA</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Signature</w:t>
            </w:r>
          </w:p>
        </w:tc>
      </w:tr>
      <w:tr>
        <w:trPr>
          <w:trHeight w:val="432"/>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317"/>
        </w:trPr>
        <w:tc>
          <w:tcPr>
            <w:tcW w:w="5380" w:type="dxa"/>
            <w:vAlign w:val="bottom"/>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74" w:right="23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341245" cy="4718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3412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AND REGISTRATION FORM</w:t>
      </w:r>
    </w:p>
    <w:p>
      <w:pPr>
        <w:spacing w:after="0" w:line="22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Subscription Rights and Shares may not be offered or sold, directly or indirectly, in or from any country or jurisdiction except under circumstances that will result in compliance with any applicable rules and regulations of any such country or jurisdiction. This security offering is in the United States solely addressed to accredited investors (as defined in Regulation D of the Securities Act) and in the European Union solely addressed to qualified investors or to special category of investors (as defined in article 2 section 1 E of the Prospectus Directive).</w:t>
      </w:r>
    </w:p>
    <w:p>
      <w:pPr>
        <w:spacing w:after="0" w:line="1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Making reference to the articles of association AC Immune SA, with registered seat in Lausanne, company number CHE-109.878.825 (the “Company”), as enacted the extraordinary general meeting held on October 1, 2015 and the resolutions of such meeting and a meeting of the Board of Directors to increase the share capital of the Company by the aggregate amount of CHF[102’680] from CHF [853’900] (amount registered in the register of commerce not taking into account the 502 options for common shares exercised in 2015) up to CHF [956’580] through the issuance of up to 20’536 new Series E Preferred Shares (the “Preferred Series E Shares” and each a “Preferred Series E Share”) with a nominal value of CHF 5.00 each at the subscription amount of USD 2’409.06, and the corresponding rights offering, offering such shares for a price of USD 2’409.06 per share in cash at issuance.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My/Our commitment for the Series E Financing Round is USD</w:t>
      </w:r>
    </w:p>
    <w:p>
      <w:pPr>
        <w:spacing w:after="0" w:line="117"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For my/our commitment I/we hereby unconditionally subscribe (in words ) Preferred Series E Shares with the irrevocable and unconditional undertaking to pay the issue price of USD 2’409.06 for each allotted Preferred Series E Share to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I/we grant power of attorney to each member of the board of directors of the Company to repeat the subscription of based on a signed copy of this form.</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I/we confirm the following: (1) My/our overall commitment to investments that are not readily marketable is reasonable in relation to my/our net worth; (2) I am/we are willing and able to bear the economic risk of this investment; and (3) I am/we are purchasing the shares offered for my/our own account for investment purposes only and not with a view to distribution or resale.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I/we confirm that I/we have taken note of the contents of the Articles of Association of the Company as resolved on October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I/we declare that I/we will acquire Preferred Series E Shares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my/our own name and for my/our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29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trustee (nominee) for the following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29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2320" w:val="left"/>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 address</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73" w:right="239" w:bottom="1440" w:gutter="0" w:footer="0" w:header="0"/>
        </w:sectPr>
      </w:pPr>
    </w:p>
    <w:bookmarkStart w:id="538" w:name="page539"/>
    <w:bookmarkEnd w:id="5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 /we confirm that I/we are not acquiring the Shares for the account or benefit of another person who is a U.S. person or resident in China, Australia, Canada, Taiwan or Japan.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I/we request that the Preferred Series E Shares be entered into the shareholders’ register of AC Immune SA under my/our name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Individuals</w:t>
      </w:r>
    </w:p>
    <w:p>
      <w:pPr>
        <w:spacing w:after="0" w:line="84" w:lineRule="exact"/>
        <w:rPr>
          <w:sz w:val="20"/>
          <w:szCs w:val="20"/>
          <w:color w:val="auto"/>
        </w:rPr>
      </w:pPr>
    </w:p>
    <w:p>
      <w:pPr>
        <w:spacing w:after="0" w:line="207" w:lineRule="exact"/>
        <w:tabs>
          <w:tab w:leader="none" w:pos="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Ms/Mrs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Nationality:</w:t>
            </w:r>
          </w:p>
        </w:tc>
        <w:tc>
          <w:tcPr>
            <w:tcW w:w="7060" w:type="dxa"/>
            <w:vAlign w:val="bottom"/>
          </w:tcPr>
          <w:p>
            <w:pPr>
              <w:ind w:left="2140"/>
              <w:spacing w:after="0"/>
              <w:rPr>
                <w:sz w:val="20"/>
                <w:szCs w:val="20"/>
                <w:color w:val="auto"/>
              </w:rPr>
            </w:pPr>
            <w:r>
              <w:rPr>
                <w:rFonts w:ascii="Arial" w:cs="Arial" w:eastAsia="Arial" w:hAnsi="Arial"/>
                <w:sz w:val="18"/>
                <w:szCs w:val="18"/>
                <w:color w:val="auto"/>
              </w:rPr>
              <w:t>Date of Birth:</w:t>
            </w:r>
          </w:p>
        </w:tc>
      </w:tr>
      <w:tr>
        <w:trPr>
          <w:trHeight w:val="20"/>
        </w:trPr>
        <w:tc>
          <w:tcPr>
            <w:tcW w:w="480" w:type="dxa"/>
            <w:vAlign w:val="bottom"/>
            <w:gridSpan w:val="2"/>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r>
      <w:tr>
        <w:trPr>
          <w:trHeight w:val="547"/>
        </w:trPr>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Legal Entities</w:t>
            </w:r>
          </w:p>
        </w:tc>
        <w:tc>
          <w:tcPr>
            <w:tcW w:w="706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Status:</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Line of Business:</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Activity/Purpose: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Jurisdiction of Incorporation:</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Notices from AC Immune SA should be sent to:</w:t>
      </w:r>
    </w:p>
    <w:p>
      <w:pPr>
        <w:spacing w:after="0" w:line="252" w:lineRule="exact"/>
        <w:rPr>
          <w:sz w:val="20"/>
          <w:szCs w:val="20"/>
          <w:color w:val="auto"/>
        </w:rPr>
      </w:pPr>
    </w:p>
    <w:p>
      <w:pPr>
        <w:ind w:left="680" w:hanging="213"/>
        <w:spacing w:after="0"/>
        <w:tabs>
          <w:tab w:leader="none" w:pos="680" w:val="left"/>
        </w:tabs>
        <w:numPr>
          <w:ilvl w:val="0"/>
          <w:numId w:val="381"/>
        </w:numPr>
        <w:rPr>
          <w:rFonts w:ascii="MS PGothic" w:cs="MS PGothic" w:eastAsia="MS PGothic" w:hAnsi="MS PGothic"/>
          <w:sz w:val="18"/>
          <w:szCs w:val="18"/>
          <w:color w:val="auto"/>
        </w:rPr>
      </w:pPr>
      <w:r>
        <w:rPr>
          <w:rFonts w:ascii="Arial" w:cs="Arial" w:eastAsia="Arial" w:hAnsi="Arial"/>
          <w:sz w:val="18"/>
          <w:szCs w:val="18"/>
          <w:color w:val="auto"/>
        </w:rPr>
        <w:t>the above address</w:t>
      </w:r>
    </w:p>
    <w:p>
      <w:pPr>
        <w:spacing w:after="0" w:line="43" w:lineRule="exact"/>
        <w:rPr>
          <w:rFonts w:ascii="MS PGothic" w:cs="MS PGothic" w:eastAsia="MS PGothic" w:hAnsi="MS PGothic"/>
          <w:sz w:val="18"/>
          <w:szCs w:val="18"/>
          <w:color w:val="auto"/>
        </w:rPr>
      </w:pPr>
    </w:p>
    <w:p>
      <w:pPr>
        <w:ind w:left="680" w:hanging="213"/>
        <w:spacing w:after="0"/>
        <w:tabs>
          <w:tab w:leader="none" w:pos="680" w:val="left"/>
        </w:tabs>
        <w:numPr>
          <w:ilvl w:val="0"/>
          <w:numId w:val="381"/>
        </w:numPr>
        <w:rPr>
          <w:rFonts w:ascii="MS PGothic" w:cs="MS PGothic" w:eastAsia="MS PGothic" w:hAnsi="MS PGothic"/>
          <w:sz w:val="18"/>
          <w:szCs w:val="18"/>
          <w:color w:val="auto"/>
        </w:rPr>
      </w:pPr>
      <w:r>
        <w:rPr>
          <w:rFonts w:ascii="Arial" w:cs="Arial" w:eastAsia="Arial" w:hAnsi="Arial"/>
          <w:sz w:val="18"/>
          <w:szCs w:val="18"/>
          <w:color w:val="auto"/>
        </w:rPr>
        <w:t>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-143510</wp:posOffset>
            </wp:positionV>
            <wp:extent cx="66636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6636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I am a U.S. Person as defined in Regulation S (see on the form below), I/we confirm I am/we are an accredited investor(s) as that term is defined in Regulation D of the Securities Act (see at the end of this form), the Preferred Series E Shares have not been offered for sale to me/us in the United States, and I am/we are not acquiring the Shares for the account or benefit of any other U.S. person.</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I am /we are a resident of a members state of the European Union, I/we understand that the offering is solely addressed to qualified investors or to special category of investors (as defined in article 2 section 1 E of the Prospectus Directive, see below) and that any subscription by another person may not be permitted and must be approved by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and Payment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I/we will wire the amount of USD 2’409.06 for each Preferred Series E Shares allotted to me/us with value date October [ ], 2015 to the following escrow bank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bank: Credit Suisse AG, St. Alban-Graben 1-3, 4002 Basel/Switzerland, SWIFT CRESCHZZ80A</w:t>
      </w:r>
    </w:p>
    <w:p>
      <w:pPr>
        <w:sectPr>
          <w:pgSz w:w="11900" w:h="16838" w:orient="portrait"/>
          <w:cols w:equalWidth="0" w:num="1">
            <w:col w:w="11400"/>
          </w:cols>
          <w:pgMar w:left="240" w:top="273" w:right="259" w:bottom="1440" w:gutter="0" w:footer="0" w:header="0"/>
        </w:sectPr>
      </w:pPr>
    </w:p>
    <w:bookmarkStart w:id="539" w:name="page540"/>
    <w:bookmarkEnd w:id="5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Benificiary/Formal account holder: AC Immune SA, EPFL Innovation Park, Building B, CH 1015 Lausanne, Suisse; Account Number USD: IBAN CH72 0483 5173 7769 4200 7]</w:t>
      </w:r>
      <w:r>
        <w:rPr>
          <w:rFonts w:ascii="Arial" w:cs="Arial" w:eastAsia="Arial" w:hAnsi="Arial"/>
          <w:sz w:val="15"/>
          <w:szCs w:val="15"/>
          <w:color w:val="auto"/>
        </w:rPr>
        <w:t>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Duties /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stamp tax (“Emissionsabgabe”) will be borne by AC Immune SA. The Shares are entitled to dividends starting with the business year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 of the Series E Preference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shares are subject to an escrow arrangement as laid out in Section D4 of the Shareholders’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I/We hereby declare that I/we have taken notice of and fully understood the content of the Shareholders’ Agreement dated 16 October 2015 and that I/we hereby unconditionally and irrevocably accede to the Shareholders’ Agreement and assume all rights and duties thereunder.</w:t>
      </w:r>
    </w:p>
    <w:p>
      <w:pPr>
        <w:spacing w:after="0" w:line="14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This Subscription and Registration Form is subject to Swiss law. 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200"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Place/Date: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66548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[signature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need be notarized]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Securities Act of 1933: Definition of U.S. Person / Accredited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used in Regulation S, the term “U.S. person” means:</w:t>
      </w:r>
    </w:p>
    <w:p>
      <w:pPr>
        <w:spacing w:after="0" w:line="225" w:lineRule="exact"/>
        <w:rPr>
          <w:sz w:val="20"/>
          <w:szCs w:val="20"/>
          <w:color w:val="auto"/>
        </w:rPr>
      </w:pPr>
    </w:p>
    <w:p>
      <w:pPr>
        <w:ind w:left="220" w:hanging="212"/>
        <w:spacing w:after="0"/>
        <w:tabs>
          <w:tab w:leader="none" w:pos="2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25" w:lineRule="exact"/>
        <w:rPr>
          <w:rFonts w:ascii="Arial" w:cs="Arial" w:eastAsia="Arial" w:hAnsi="Arial"/>
          <w:sz w:val="18"/>
          <w:szCs w:val="18"/>
          <w:color w:val="auto"/>
        </w:rPr>
      </w:pPr>
    </w:p>
    <w:p>
      <w:pPr>
        <w:ind w:right="420" w:firstLine="8"/>
        <w:spacing w:after="0" w:line="277" w:lineRule="auto"/>
        <w:tabs>
          <w:tab w:leader="none" w:pos="30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non-discretionary account or similar account (other than an estate or trust) held by a dealer or other fiduciary for the benefit or account of a U.S. person;</w:t>
      </w:r>
    </w:p>
    <w:p>
      <w:pPr>
        <w:spacing w:after="0" w:line="170" w:lineRule="exact"/>
        <w:rPr>
          <w:rFonts w:ascii="Arial" w:cs="Arial" w:eastAsia="Arial" w:hAnsi="Arial"/>
          <w:sz w:val="18"/>
          <w:szCs w:val="18"/>
          <w:color w:val="auto"/>
        </w:rPr>
      </w:pPr>
    </w:p>
    <w:p>
      <w:pPr>
        <w:ind w:right="820" w:firstLine="8"/>
        <w:spacing w:after="0" w:line="277" w:lineRule="auto"/>
        <w:tabs>
          <w:tab w:leader="none" w:pos="3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170" w:lineRule="exact"/>
        <w:rPr>
          <w:rFonts w:ascii="Arial" w:cs="Arial" w:eastAsia="Arial" w:hAnsi="Arial"/>
          <w:sz w:val="18"/>
          <w:szCs w:val="18"/>
          <w:color w:val="auto"/>
        </w:rPr>
      </w:pPr>
    </w:p>
    <w:p>
      <w:pPr>
        <w:ind w:right="60" w:firstLine="8"/>
        <w:spacing w:after="0" w:line="312" w:lineRule="auto"/>
        <w:tabs>
          <w:tab w:leader="none" w:pos="40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partnership or corporation if: (A) organized or incorporated under the laws of any foreign jurisdiction; and (B) formed by a U.S. person principally for the purpose of investing in securities not registered under the Act, unless it is organized or incorporated, and owned, by accredited investors (as defined in Rule 501(a), which is codified in Title 17 of the US Code of Federal Regulations as § 230.501) who are not natural persons, estates or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220" w:hanging="212"/>
        <w:spacing w:after="0"/>
        <w:tabs>
          <w:tab w:leader="none" w:pos="220" w:val="left"/>
        </w:tabs>
        <w:numPr>
          <w:ilvl w:val="0"/>
          <w:numId w:val="383"/>
        </w:numPr>
        <w:rPr>
          <w:rFonts w:ascii="Arial" w:cs="Arial" w:eastAsia="Arial" w:hAnsi="Arial"/>
          <w:sz w:val="15"/>
          <w:szCs w:val="15"/>
          <w:color w:val="auto"/>
        </w:rPr>
      </w:pPr>
      <w:r>
        <w:rPr>
          <w:rFonts w:ascii="Arial" w:cs="Arial" w:eastAsia="Arial" w:hAnsi="Arial"/>
          <w:sz w:val="18"/>
          <w:szCs w:val="18"/>
          <w:color w:val="auto"/>
        </w:rPr>
        <w:t>Note to draft; Please update with current wire instructions.</w:t>
      </w:r>
    </w:p>
    <w:p>
      <w:pPr>
        <w:sectPr>
          <w:pgSz w:w="11900" w:h="16838" w:orient="portrait"/>
          <w:cols w:equalWidth="0" w:num="1">
            <w:col w:w="11420"/>
          </w:cols>
          <w:pgMar w:left="240" w:top="274" w:right="23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As used in Regulation D, </w:t>
      </w:r>
      <w:r>
        <w:rPr>
          <w:rFonts w:ascii="Arial" w:cs="Arial" w:eastAsia="Arial" w:hAnsi="Arial"/>
          <w:sz w:val="18"/>
          <w:szCs w:val="18"/>
          <w:i w:val="1"/>
          <w:iCs w:val="1"/>
          <w:color w:val="auto"/>
        </w:rPr>
        <w:t>accredited investor</w:t>
      </w:r>
      <w:r>
        <w:rPr>
          <w:rFonts w:ascii="Arial" w:cs="Arial" w:eastAsia="Arial" w:hAnsi="Arial"/>
          <w:sz w:val="18"/>
          <w:szCs w:val="18"/>
          <w:color w:val="auto"/>
        </w:rPr>
        <w:t xml:space="preserve"> shall mean any person who comes within any of the following categories, or who the issuer reasonably believes comes within any of the following categories, at the time of the sale of the securities to that person:</w:t>
      </w:r>
    </w:p>
    <w:p>
      <w:pPr>
        <w:spacing w:after="0" w:line="76" w:lineRule="exact"/>
        <w:rPr>
          <w:sz w:val="20"/>
          <w:szCs w:val="20"/>
          <w:color w:val="auto"/>
        </w:rPr>
      </w:pPr>
    </w:p>
    <w:p>
      <w:pPr>
        <w:ind w:left="900" w:hanging="446"/>
        <w:spacing w:after="0" w:line="288" w:lineRule="auto"/>
        <w:tabs>
          <w:tab w:leader="none" w:pos="90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Any bank as defined in section 3(a)(2) of the Act, or any savings and loan association or other institution as defined in section 3(a)(5)(A) of the Act whether acting in its individual or fiduciary capacity; any broker or dealer registered pursuant to section 15 of the Securities Exchange Act of 1934; any insurance company as defined in section 2(a)(13) of the Act; any investment company registered under the Investment Company Act of 1940 or a business development company as defined in section 2(a)(48) of that Act; any Small Business Investment Company licensed by the U.S. Small Business Administration under section 301(c) or (d) of the Small Business Investment Act of 1958; any plan established and maintained by a state, its political subdivisions, or any agency or instrumentality of a state or its political subdivisions, for the benefit of its employees, if such plan has total assets in excess of $5,000,000; 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74" w:lineRule="exact"/>
        <w:rPr>
          <w:rFonts w:ascii="Arial" w:cs="Arial" w:eastAsia="Arial" w:hAnsi="Arial"/>
          <w:sz w:val="16"/>
          <w:szCs w:val="16"/>
          <w:color w:val="auto"/>
        </w:rPr>
      </w:pPr>
    </w:p>
    <w:p>
      <w:pPr>
        <w:ind w:left="900" w:hanging="446"/>
        <w:spacing w:after="0"/>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30" w:lineRule="exact"/>
        <w:rPr>
          <w:rFonts w:ascii="Arial" w:cs="Arial" w:eastAsia="Arial" w:hAnsi="Arial"/>
          <w:sz w:val="18"/>
          <w:szCs w:val="18"/>
          <w:color w:val="auto"/>
        </w:rPr>
      </w:pPr>
    </w:p>
    <w:p>
      <w:pPr>
        <w:ind w:left="900" w:right="860" w:hanging="446"/>
        <w:spacing w:after="0" w:line="342" w:lineRule="auto"/>
        <w:tabs>
          <w:tab w:leader="none" w:pos="90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 $1,000,000 excluding the value of the primary residence of such person;</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Except as provided in paragraph ii. below, for purposes of calculating net worth:</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The person’s primary residence shall not be included as an asset;</w:t>
      </w:r>
    </w:p>
    <w:p>
      <w:pPr>
        <w:spacing w:after="0" w:line="130" w:lineRule="exact"/>
        <w:rPr>
          <w:rFonts w:ascii="Arial" w:cs="Arial" w:eastAsia="Arial" w:hAnsi="Arial"/>
          <w:sz w:val="18"/>
          <w:szCs w:val="18"/>
          <w:color w:val="auto"/>
        </w:rPr>
      </w:pPr>
    </w:p>
    <w:p>
      <w:pPr>
        <w:ind w:left="2960" w:right="160" w:hanging="562"/>
        <w:spacing w:after="0" w:line="257" w:lineRule="auto"/>
        <w:tabs>
          <w:tab w:leader="none" w:pos="296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w:t>
      </w:r>
    </w:p>
    <w:p>
      <w:pPr>
        <w:spacing w:after="0" w:line="93" w:lineRule="exact"/>
        <w:rPr>
          <w:rFonts w:ascii="Arial" w:cs="Arial" w:eastAsia="Arial" w:hAnsi="Arial"/>
          <w:sz w:val="18"/>
          <w:szCs w:val="18"/>
          <w:color w:val="auto"/>
        </w:rPr>
      </w:pPr>
    </w:p>
    <w:p>
      <w:pPr>
        <w:ind w:left="2960" w:right="340" w:hanging="562"/>
        <w:spacing w:after="0" w:line="277" w:lineRule="auto"/>
        <w:tabs>
          <w:tab w:leader="none" w:pos="296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in excess of the estimated fair market value of the primary residence at the time of the sale of securities shall be included as a liability;</w:t>
      </w:r>
    </w:p>
    <w:p>
      <w:pPr>
        <w:sectPr>
          <w:pgSz w:w="11900" w:h="16838" w:orient="portrait"/>
          <w:cols w:equalWidth="0" w:num="1">
            <w:col w:w="11420"/>
          </w:cols>
          <w:pgMar w:left="240" w:top="274" w:right="239" w:bottom="1440" w:gutter="0" w:footer="0" w:header="0"/>
        </w:sectPr>
      </w:pPr>
    </w:p>
    <w:bookmarkStart w:id="541" w:name="page542"/>
    <w:bookmarkEnd w:id="541"/>
    <w:p>
      <w:pPr>
        <w:spacing w:after="0"/>
        <w:tabs>
          <w:tab w:leader="none" w:pos="1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r>
        <w:rPr>
          <w:sz w:val="20"/>
          <w:szCs w:val="20"/>
          <w:color w:val="auto"/>
        </w:rPr>
        <w:tab/>
      </w:r>
      <w:r>
        <w:rPr>
          <w:rFonts w:ascii="Arial" w:cs="Arial" w:eastAsia="Arial" w:hAnsi="Arial"/>
          <w:sz w:val="16"/>
          <w:szCs w:val="16"/>
          <w:color w:val="auto"/>
        </w:rPr>
        <w:t>35</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1920" w:right="360" w:hanging="440"/>
        <w:spacing w:after="0" w:line="277" w:lineRule="auto"/>
        <w:tabs>
          <w:tab w:leader="none" w:pos="19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Paragraph i. above will not apply to any calculation of a person’s net worth made in connection with a purchase of securities in accordance with a right to purchase such securities, provided that:</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Such right was held by the person on July 20, 2010;</w:t>
      </w:r>
    </w:p>
    <w:p>
      <w:pPr>
        <w:spacing w:after="0" w:line="130" w:lineRule="exact"/>
        <w:rPr>
          <w:rFonts w:ascii="Arial" w:cs="Arial" w:eastAsia="Arial" w:hAnsi="Arial"/>
          <w:sz w:val="18"/>
          <w:szCs w:val="18"/>
          <w:color w:val="auto"/>
        </w:rPr>
      </w:pPr>
    </w:p>
    <w:p>
      <w:pPr>
        <w:ind w:left="2960" w:right="260" w:hanging="562"/>
        <w:spacing w:after="0" w:line="277" w:lineRule="auto"/>
        <w:tabs>
          <w:tab w:leader="none" w:pos="296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The person qualified as an accredited investor on the basis of net worth at the time the person acquired such right; and</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The person held securities of the same issuer, other than such right, on July 20, 2010.</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w:t>
      </w:r>
    </w:p>
    <w:p>
      <w:pPr>
        <w:sectPr>
          <w:pgSz w:w="11900" w:h="16838" w:orient="portrait"/>
          <w:cols w:equalWidth="0" w:num="1">
            <w:col w:w="11420"/>
          </w:cols>
          <w:pgMar w:left="240" w:top="274" w:right="239" w:bottom="1440" w:gutter="0" w:footer="0" w:header="0"/>
          <w:type w:val="continuous"/>
        </w:sectPr>
      </w:pPr>
    </w:p>
    <w:bookmarkStart w:id="542" w:name="page543"/>
    <w:bookmarkEnd w:id="5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Prospectus Directive 2010/73/EU of 24 November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Article 2 –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For the purposes of this Directive, the following definitions shall apply:</w:t>
      </w:r>
    </w:p>
    <w:p>
      <w:pPr>
        <w:spacing w:after="0" w:line="252" w:lineRule="exact"/>
        <w:rPr>
          <w:sz w:val="20"/>
          <w:szCs w:val="20"/>
          <w:color w:val="auto"/>
        </w:rPr>
      </w:pPr>
    </w:p>
    <w:p>
      <w:pPr>
        <w:ind w:left="460" w:hanging="452"/>
        <w:spacing w:after="0"/>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(d) […];</w:t>
      </w:r>
    </w:p>
    <w:p>
      <w:pPr>
        <w:spacing w:after="0" w:line="130" w:lineRule="exact"/>
        <w:rPr>
          <w:rFonts w:ascii="Arial" w:cs="Arial" w:eastAsia="Arial" w:hAnsi="Arial"/>
          <w:sz w:val="18"/>
          <w:szCs w:val="18"/>
          <w:color w:val="auto"/>
        </w:rPr>
      </w:pPr>
    </w:p>
    <w:p>
      <w:pPr>
        <w:ind w:left="900" w:right="80" w:hanging="446"/>
        <w:spacing w:after="0" w:line="272" w:lineRule="auto"/>
        <w:tabs>
          <w:tab w:leader="none" w:pos="90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‘qualified investors’ means persons or entities that are described in points (1) to (4) of Section I of Annex II to Directive 2004/39/EC of the European Parliament and of the Council of 21 April 2004 on markets in financial instruments</w:t>
      </w:r>
      <w:r>
        <w:rPr>
          <w:rFonts w:ascii="Arial" w:cs="Arial" w:eastAsia="Arial" w:hAnsi="Arial"/>
          <w:sz w:val="14"/>
          <w:szCs w:val="14"/>
          <w:color w:val="auto"/>
        </w:rPr>
        <w:t>2</w:t>
      </w:r>
      <w:r>
        <w:rPr>
          <w:rFonts w:ascii="Arial" w:cs="Arial" w:eastAsia="Arial" w:hAnsi="Arial"/>
          <w:sz w:val="17"/>
          <w:szCs w:val="17"/>
          <w:color w:val="auto"/>
        </w:rPr>
        <w:t>, and persons or entities who are, on request, treated as professional clients in accordance with Annex II to Directive 2004/39/EC</w:t>
      </w:r>
      <w:r>
        <w:rPr>
          <w:rFonts w:ascii="Arial" w:cs="Arial" w:eastAsia="Arial" w:hAnsi="Arial"/>
          <w:sz w:val="14"/>
          <w:szCs w:val="14"/>
          <w:color w:val="auto"/>
        </w:rPr>
        <w:t>3</w:t>
      </w:r>
      <w:r>
        <w:rPr>
          <w:rFonts w:ascii="Arial" w:cs="Arial" w:eastAsia="Arial" w:hAnsi="Arial"/>
          <w:sz w:val="17"/>
          <w:szCs w:val="17"/>
          <w:color w:val="auto"/>
        </w:rPr>
        <w:t>, or recognized as eligible counterparties in accordance with Article 24 of Directive 2004/39/EC unless they have requested that they be treated as non-professional clients. Investment firms and credit institutions shall communicate their classification on request to the issuer without prejudice to the relevant legislation on data protection. Investment firms authorized to continue considering existing professional clients as such in accordance with Article 71(6) of Directive 2004/39/EC shall be authorized to treat those clients as qualified investors under this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898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2" w:lineRule="exact"/>
        <w:rPr>
          <w:sz w:val="20"/>
          <w:szCs w:val="20"/>
          <w:color w:val="auto"/>
        </w:rPr>
      </w:pPr>
    </w:p>
    <w:p>
      <w:pPr>
        <w:ind w:left="460" w:right="220" w:hanging="452"/>
        <w:spacing w:after="0" w:line="312" w:lineRule="auto"/>
        <w:tabs>
          <w:tab w:leader="none" w:pos="460" w:val="left"/>
        </w:tabs>
        <w:numPr>
          <w:ilvl w:val="0"/>
          <w:numId w:val="388"/>
        </w:numPr>
        <w:rPr>
          <w:rFonts w:ascii="Arial" w:cs="Arial" w:eastAsia="Arial" w:hAnsi="Arial"/>
          <w:sz w:val="14"/>
          <w:szCs w:val="14"/>
          <w:color w:val="auto"/>
        </w:rPr>
      </w:pPr>
      <w:r>
        <w:rPr>
          <w:rFonts w:ascii="Arial" w:cs="Arial" w:eastAsia="Arial" w:hAnsi="Arial"/>
          <w:sz w:val="16"/>
          <w:szCs w:val="16"/>
          <w:color w:val="auto"/>
        </w:rPr>
        <w:t>(1) Entities which are required to be authorised or regulated to operate in the financial markets. The list below should be understood as including all authorised entities carrying out the characteristic activities of the entities mentioned: entities authorised by a Member State under a Directive, entities authorised or regulated by a Member State without reference to a Directive, and entities authorised or regulated by a non-Member State:</w:t>
      </w:r>
    </w:p>
    <w:p>
      <w:pPr>
        <w:spacing w:after="0" w:line="52" w:lineRule="exact"/>
        <w:rPr>
          <w:rFonts w:ascii="Arial" w:cs="Arial" w:eastAsia="Arial" w:hAnsi="Arial"/>
          <w:sz w:val="14"/>
          <w:szCs w:val="14"/>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Credit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Investment firms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Other authorised or regulated financial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Collective investment schemes and management companies of such schemes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Pension funds and management companies of such funds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Commodity and commodity derivatives dealers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Locals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Other institutional investors</w:t>
      </w:r>
    </w:p>
    <w:p>
      <w:pPr>
        <w:spacing w:after="0" w:line="131" w:lineRule="exact"/>
        <w:rPr>
          <w:sz w:val="20"/>
          <w:szCs w:val="20"/>
          <w:color w:val="auto"/>
        </w:rPr>
      </w:pPr>
    </w:p>
    <w:p>
      <w:pPr>
        <w:ind w:left="460" w:hanging="452"/>
        <w:spacing w:after="0"/>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Large undertakings meeting two of the following size requirements on a company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balance sheet total: EUR 2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net turnover: EUR 4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own funds: EUR 2 000 000.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National and regional governments, public bodies that manage public debt, Central Banks, international and supranational institutions such as the World Bank, the IMF, the ECB, the EIB and other similar international organisations.</w:t>
      </w:r>
    </w:p>
    <w:p>
      <w:pPr>
        <w:spacing w:after="0" w:line="75" w:lineRule="exact"/>
        <w:rPr>
          <w:rFonts w:ascii="Arial" w:cs="Arial" w:eastAsia="Arial" w:hAnsi="Arial"/>
          <w:sz w:val="18"/>
          <w:szCs w:val="18"/>
          <w:color w:val="auto"/>
        </w:rPr>
      </w:pPr>
    </w:p>
    <w:p>
      <w:pPr>
        <w:ind w:left="460" w:right="100" w:hanging="452"/>
        <w:spacing w:after="0" w:line="258" w:lineRule="auto"/>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Other institutional investors whose main activity is to invest in financial instruments, including entities dedicated to the securitisation of assets or other financing transactions.</w:t>
      </w:r>
    </w:p>
    <w:p>
      <w:pPr>
        <w:ind w:left="460" w:right="20" w:hanging="452"/>
        <w:spacing w:after="0" w:line="287" w:lineRule="auto"/>
        <w:tabs>
          <w:tab w:leader="none" w:pos="460" w:val="left"/>
        </w:tabs>
        <w:numPr>
          <w:ilvl w:val="0"/>
          <w:numId w:val="390"/>
        </w:numPr>
        <w:rPr>
          <w:rFonts w:ascii="Arial" w:cs="Arial" w:eastAsia="Arial" w:hAnsi="Arial"/>
          <w:sz w:val="14"/>
          <w:szCs w:val="14"/>
          <w:color w:val="auto"/>
        </w:rPr>
      </w:pPr>
      <w:r>
        <w:rPr>
          <w:rFonts w:ascii="Arial" w:cs="Arial" w:eastAsia="Arial" w:hAnsi="Arial"/>
          <w:sz w:val="16"/>
          <w:szCs w:val="16"/>
          <w:color w:val="auto"/>
        </w:rPr>
        <w:t>Clients other than those mentioned in section I, including public sector bodies and private individual investors, may also be allowed to waive some of the protections afforded by the conduct of business rules. Investment firms should therefore be allowed to treat any of the above clients as professionals provided the relevant criteria and procedure mentioned below are fulfilled. These clients should not, however, be presumed to possess market knowledge and experience comparable to that of the categories listed in section I. Any such waiver of the protection afforded by the standard conduct of business regime shall be considered valid only if an adequate assessment of the expertise, experience and knowledge of the client, undertaken by the investment firm, gives reasonable assurance, in light of the nature of the transactions or services envisaged, that the client is capable of making his own investment decisions and understanding the risks involved. The fitness test applied to managers and directors of entities licensed under Directives in the financial field could be regarded as an example of the assessment of expertise and knowledge. In the case of small entities, the person subject to the above assessment should be the person authorised to carry out transactions on behalf of the entity.</w:t>
      </w:r>
    </w:p>
    <w:p>
      <w:pPr>
        <w:spacing w:after="0" w:line="5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In the course of the above assessment, as a minimum, two of the following criteria should be satisfied:</w:t>
      </w:r>
    </w:p>
    <w:p>
      <w:pPr>
        <w:spacing w:after="0" w:line="130" w:lineRule="exact"/>
        <w:rPr>
          <w:rFonts w:ascii="Arial" w:cs="Arial" w:eastAsia="Arial" w:hAnsi="Arial"/>
          <w:sz w:val="14"/>
          <w:szCs w:val="14"/>
          <w:color w:val="auto"/>
        </w:rPr>
      </w:pPr>
    </w:p>
    <w:p>
      <w:pPr>
        <w:ind w:left="1460" w:right="580" w:hanging="547"/>
        <w:spacing w:after="0" w:line="277" w:lineRule="auto"/>
        <w:tabs>
          <w:tab w:leader="none" w:pos="14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client has carried out transactions, in significant size, on the relevant market at an average frequency of 10 per quarter over the previous four quarters,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the size of the client’s financial instrument portfolio, defined as including cash deposits and financial instruments exceeds EUR 500 000,</w:t>
      </w:r>
    </w:p>
    <w:p>
      <w:pPr>
        <w:spacing w:after="0" w:line="153" w:lineRule="exact"/>
        <w:rPr>
          <w:rFonts w:ascii="Arial" w:cs="Arial" w:eastAsia="Arial" w:hAnsi="Arial"/>
          <w:sz w:val="16"/>
          <w:szCs w:val="16"/>
          <w:color w:val="auto"/>
        </w:rPr>
      </w:pPr>
    </w:p>
    <w:p>
      <w:pPr>
        <w:ind w:left="1460" w:right="360" w:hanging="547"/>
        <w:spacing w:after="0" w:line="277" w:lineRule="auto"/>
        <w:tabs>
          <w:tab w:leader="none" w:pos="14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client works or has worked in the financial sector for at least one year in a professional position, which requires knowledge of the transactions or services envisaged.</w:t>
      </w:r>
    </w:p>
    <w:p>
      <w:pPr>
        <w:sectPr>
          <w:pgSz w:w="11900" w:h="16838" w:orient="portrait"/>
          <w:cols w:equalWidth="0" w:num="1">
            <w:col w:w="11420"/>
          </w:cols>
          <w:pgMar w:left="240" w:top="273" w:right="239" w:bottom="1440" w:gutter="0" w:footer="0" w:header="0"/>
        </w:sectPr>
      </w:pPr>
    </w:p>
    <w:bookmarkStart w:id="543" w:name="page544"/>
    <w:bookmarkEnd w:id="5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5.3(a)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for fulfilled conditions precedent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Management &amp; Research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 regarding Closing and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with reference to the Subscription Agreement dated 16 October 2015 (the “Subscription Agreement”) concluded by Fidelity Management &amp; Research Company and AC Immune SA (together the “Parties”), the undersigned AC Immune SA hereby confirms:</w:t>
      </w:r>
    </w:p>
    <w:p>
      <w:pPr>
        <w:spacing w:after="0" w:line="76" w:lineRule="exact"/>
        <w:rPr>
          <w:sz w:val="20"/>
          <w:szCs w:val="20"/>
          <w:color w:val="auto"/>
        </w:rPr>
      </w:pPr>
    </w:p>
    <w:p>
      <w:pPr>
        <w:ind w:left="460" w:right="200" w:hanging="452"/>
        <w:spacing w:after="0" w:line="308" w:lineRule="auto"/>
        <w:tabs>
          <w:tab w:leader="none" w:pos="4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in Section 7.1 are true and correct in all material respects as of the Closing (except that representations and warranties qualified by materiality or a Material Adverse Effect shall be true and correct in all respects).</w:t>
      </w:r>
    </w:p>
    <w:p>
      <w:pPr>
        <w:spacing w:after="0" w:line="51"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Company has performed and complied with all covenants, agreements, obligations and conditions contained in the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460" w:right="580" w:hanging="452"/>
        <w:spacing w:after="0" w:line="308" w:lineRule="auto"/>
        <w:tabs>
          <w:tab w:leader="none" w:pos="4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All authorizations, approvals or permits, if any, of any governmental authority or regulatory body that are required in connection with the lawful issuance and sale of the Shares pursuant to the Subscription Agreement shall be obtained and effective as of such Closing.</w:t>
      </w:r>
    </w:p>
    <w:p>
      <w:pPr>
        <w:spacing w:after="0" w:line="51" w:lineRule="exact"/>
        <w:rPr>
          <w:rFonts w:ascii="Arial" w:cs="Arial" w:eastAsia="Arial" w:hAnsi="Arial"/>
          <w:sz w:val="17"/>
          <w:szCs w:val="17"/>
          <w:color w:val="auto"/>
        </w:rPr>
      </w:pPr>
    </w:p>
    <w:p>
      <w:pPr>
        <w:ind w:left="460" w:right="180" w:hanging="452"/>
        <w:spacing w:after="0" w:line="264"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and the other shareholders of the Company representing 85% of all outstanding Shares prior to the Closing of the Series E Financing Round have executed and delivered the Shareholders’ Agreement Amendment (or a joinder agreement thereto), in substantially the form of </w:t>
      </w:r>
      <w:r>
        <w:rPr>
          <w:rFonts w:ascii="Arial" w:cs="Arial" w:eastAsia="Arial" w:hAnsi="Arial"/>
          <w:sz w:val="18"/>
          <w:szCs w:val="18"/>
          <w:b w:val="1"/>
          <w:bCs w:val="1"/>
          <w:color w:val="auto"/>
        </w:rPr>
        <w:t>Annex 0</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600" w:hanging="452"/>
        <w:spacing w:after="0" w:line="264"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requesting so and the other shareholders of the Company named as parties thereto have executed and delivered the Registration Rights Agreement (or a joinder agreement thereto), in substantially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Fidelity and any other Investor requesting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of the Subscription Agreement.</w:t>
      </w:r>
    </w:p>
    <w:p>
      <w:pPr>
        <w:sectPr>
          <w:pgSz w:w="11900" w:h="16838" w:orient="portrait"/>
          <w:cols w:equalWidth="0" w:num="1">
            <w:col w:w="11420"/>
          </w:cols>
          <w:pgMar w:left="240" w:top="273" w:right="239" w:bottom="1440" w:gutter="0" w:footer="0" w:header="0"/>
        </w:sectPr>
      </w:pPr>
    </w:p>
    <w:bookmarkStart w:id="544" w:name="page545"/>
    <w:bookmarkEnd w:id="5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hanging="452"/>
        <w:spacing w:after="0" w:line="302" w:lineRule="auto"/>
        <w:tabs>
          <w:tab w:leader="none" w:pos="46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The Secretary of the Company has delivered to Fidelity and any other Investor requesting so a certificate, dated as of the date of such Closing, certifying (i)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of the Subscription Agreement as to all items except the share capital and the numbers of Series E Preferred Shares.</w:t>
      </w:r>
    </w:p>
    <w:p>
      <w:pPr>
        <w:spacing w:after="0" w:line="59" w:lineRule="exact"/>
        <w:rPr>
          <w:rFonts w:ascii="Arial" w:cs="Arial" w:eastAsia="Arial" w:hAnsi="Arial"/>
          <w:sz w:val="16"/>
          <w:szCs w:val="16"/>
          <w:color w:val="auto"/>
        </w:rPr>
      </w:pPr>
    </w:p>
    <w:p>
      <w:pPr>
        <w:ind w:left="460" w:hanging="452"/>
        <w:spacing w:after="0" w:line="264"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Fidelity and the Investors shall have received all such counterpart original and certified or other copies of such documents as reasonably requested.</w:t>
      </w:r>
    </w:p>
    <w:p>
      <w:pPr>
        <w:spacing w:after="0" w:line="8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confirms that the following documents are present:</w:t>
      </w:r>
    </w:p>
    <w:p>
      <w:pPr>
        <w:spacing w:after="0" w:line="131" w:lineRule="exact"/>
        <w:rPr>
          <w:sz w:val="20"/>
          <w:szCs w:val="20"/>
          <w:color w:val="auto"/>
        </w:rPr>
      </w:pPr>
    </w:p>
    <w:p>
      <w:pPr>
        <w:ind w:left="460" w:right="120" w:hanging="452"/>
        <w:spacing w:after="0" w:line="264" w:lineRule="auto"/>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an application to the Register of Commerce regarding: (1) the increase of the share capital to reflect the Series E Financing Round, (2) the issuance of Series E Preferred Shares, (3) the adoption of the Revised Articles of Association substantially in the form of </w:t>
      </w:r>
      <w:r>
        <w:rPr>
          <w:rFonts w:ascii="Arial" w:cs="Arial" w:eastAsia="Arial" w:hAnsi="Arial"/>
          <w:sz w:val="18"/>
          <w:szCs w:val="18"/>
          <w:b w:val="1"/>
          <w:bCs w:val="1"/>
          <w:color w:val="auto"/>
        </w:rPr>
        <w:t>Annex 3.3</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USD [●] has been paid in cash and fully credited to the Blocked Capital Account; and]</w:t>
      </w:r>
    </w:p>
    <w:p>
      <w:pPr>
        <w:spacing w:after="0" w:line="75" w:lineRule="exact"/>
        <w:rPr>
          <w:rFonts w:ascii="Arial" w:cs="Arial" w:eastAsia="Arial" w:hAnsi="Arial"/>
          <w:sz w:val="18"/>
          <w:szCs w:val="18"/>
          <w:color w:val="auto"/>
        </w:rPr>
      </w:pPr>
    </w:p>
    <w:p>
      <w:pPr>
        <w:ind w:left="460" w:right="500" w:hanging="452"/>
        <w:spacing w:after="0" w:line="308" w:lineRule="auto"/>
        <w:tabs>
          <w:tab w:leader="none" w:pos="4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circular resolutions or minutes evidencing the Board resolution regarding registration of the Investor as owners with voting rights of the relevant number of Series E Preferred Shares subscribed by the Investor in the Company’s share register upon Full Consummation.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terms not defined herein shall have the meaning as defined in the Subscription Agreement.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further confirms that it accepts Fidelity and the Investors listed in the Annex as a new shareholder and that it will upon registration of the shares amend the shareholders’ register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Finally the Company confirms to have instructed VISCHER AG to file all Closing documents with the register of commerce in the canton of Vaud.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340" w:space="720"/>
            <w:col w:w="5300"/>
          </w:cols>
          <w:pgMar w:left="240" w:top="274" w:right="29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2">
            <w:col w:w="5340" w:space="720"/>
            <w:col w:w="5300"/>
          </w:cols>
          <w:pgMar w:left="240" w:top="274" w:right="299" w:bottom="1440" w:gutter="0" w:footer="0" w:header="0"/>
          <w:type w:val="continuous"/>
        </w:sectPr>
      </w:pPr>
    </w:p>
    <w:bookmarkStart w:id="545" w:name="page546"/>
    <w:bookmarkEnd w:id="5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to Certificate for fulfilled conditions precedents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Adhering Investors accepted by the Company:</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Subscription Amount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Series E</w:t>
            </w:r>
          </w:p>
        </w:tc>
        <w:tc>
          <w:tcPr>
            <w:tcW w:w="0" w:type="dxa"/>
            <w:vAlign w:val="bottom"/>
          </w:tcPr>
          <w:p>
            <w:pPr>
              <w:spacing w:after="0"/>
              <w:rPr>
                <w:sz w:val="1"/>
                <w:szCs w:val="1"/>
                <w:color w:val="auto"/>
              </w:rPr>
            </w:pPr>
          </w:p>
        </w:tc>
      </w:tr>
      <w:tr>
        <w:trPr>
          <w:trHeight w:val="178"/>
        </w:trPr>
        <w:tc>
          <w:tcPr>
            <w:tcW w:w="3320" w:type="dxa"/>
            <w:vAlign w:val="bottom"/>
            <w:gridSpan w:val="2"/>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546" w:name="page547"/>
    <w:bookmarkEnd w:id="5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Company</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hereby represents and warrants to the Investor that the following representations are true and complete as of the date hereof, except as otherwise indicated.</w:t>
      </w:r>
    </w:p>
    <w:p>
      <w:pPr>
        <w:spacing w:after="0" w:line="319" w:lineRule="exact"/>
        <w:rPr>
          <w:sz w:val="20"/>
          <w:szCs w:val="20"/>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Incorporation and Authority</w:t>
      </w:r>
    </w:p>
    <w:p>
      <w:pPr>
        <w:spacing w:after="0" w:line="117" w:lineRule="exact"/>
        <w:rPr>
          <w:rFonts w:ascii="Arial" w:cs="Arial" w:eastAsia="Arial" w:hAnsi="Arial"/>
          <w:sz w:val="18"/>
          <w:szCs w:val="18"/>
          <w:color w:val="auto"/>
        </w:rPr>
      </w:pPr>
    </w:p>
    <w:p>
      <w:pPr>
        <w:ind w:left="460" w:right="16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been duly incorporated and is existing under the laws of Switzerland, with power and authority (corporate and other) to own its properties and conduct its business as described in the disclosure documents (collectively, the “</w:t>
      </w:r>
      <w:r>
        <w:rPr>
          <w:rFonts w:ascii="Arial" w:cs="Arial" w:eastAsia="Arial" w:hAnsi="Arial"/>
          <w:sz w:val="18"/>
          <w:szCs w:val="18"/>
          <w:b w:val="1"/>
          <w:bCs w:val="1"/>
          <w:color w:val="auto"/>
        </w:rPr>
        <w:t>Disclosure Documents</w:t>
      </w:r>
      <w:r>
        <w:rPr>
          <w:rFonts w:ascii="Arial" w:cs="Arial" w:eastAsia="Arial" w:hAnsi="Arial"/>
          <w:sz w:val="18"/>
          <w:szCs w:val="18"/>
          <w:color w:val="auto"/>
        </w:rPr>
        <w:t>”) that are set forth in folder 16 of the data room prepared by the Company and made available to such Investor (the “</w:t>
      </w:r>
      <w:r>
        <w:rPr>
          <w:rFonts w:ascii="Arial" w:cs="Arial" w:eastAsia="Arial" w:hAnsi="Arial"/>
          <w:sz w:val="18"/>
          <w:szCs w:val="18"/>
          <w:b w:val="1"/>
          <w:bCs w:val="1"/>
          <w:color w:val="auto"/>
        </w:rPr>
        <w:t>Dataroom</w:t>
      </w:r>
      <w:r>
        <w:rPr>
          <w:rFonts w:ascii="Arial" w:cs="Arial" w:eastAsia="Arial" w:hAnsi="Arial"/>
          <w:sz w:val="18"/>
          <w:szCs w:val="18"/>
          <w:color w:val="auto"/>
        </w:rPr>
        <w:t>”).</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As at the date of this Subscription Agreement the Company has an issued statutory share capital in the nominal amount of CHF 856’410.00 divided into 34’914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CHF 90’735 corresponding to up to 18’147 Common Shares for issuance to officers, directors, employees and consultants of the Company pursuant to equity incentive plans. The Company has made available to each Investor complete and accurate copies of the equity incentive plans forms of agreements used thereunder. The Company has no treasury shares.</w:t>
      </w:r>
    </w:p>
    <w:p>
      <w:pPr>
        <w:spacing w:after="0" w:line="70"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Prior and after completion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right="80"/>
        <w:spacing w:after="0" w:line="288" w:lineRule="auto"/>
        <w:rPr>
          <w:rFonts w:ascii="Arial" w:cs="Arial" w:eastAsia="Arial" w:hAnsi="Arial"/>
          <w:sz w:val="18"/>
          <w:szCs w:val="18"/>
          <w:color w:val="auto"/>
        </w:rPr>
      </w:pPr>
      <w:r>
        <w:rPr>
          <w:rFonts w:ascii="Arial" w:cs="Arial" w:eastAsia="Arial" w:hAnsi="Arial"/>
          <w:sz w:val="16"/>
          <w:szCs w:val="16"/>
          <w:color w:val="auto"/>
        </w:rPr>
        <w:t>All corporate action required to be taken by the Company’s Board of Directors and shareholders in order to authorize the Company to enter into the Subscription Agreement and the other Transaction Documents, and to issue the Shares at the Closing has been taken or will be taken prior to such Closing. All action on the part of the officers of the Company necessary for the execution and delivery of the Subscription Agreement and the other Transaction Documents, the performance of all obligations of the Company under the Subscription Agreement and the other Transaction Documents to be performed as of the Closing, and the issuance and delivery of the Shares has been taken or will be taken prior to Closing. The Subscription Agreement and the other Transaction Documents,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ectPr>
          <w:pgSz w:w="11900" w:h="16838" w:orient="portrait"/>
          <w:cols w:equalWidth="0" w:num="1">
            <w:col w:w="11420"/>
          </w:cols>
          <w:pgMar w:left="240" w:top="274" w:right="239" w:bottom="1440" w:gutter="0" w:footer="0" w:header="0"/>
        </w:sectPr>
      </w:pPr>
    </w:p>
    <w:bookmarkStart w:id="547" w:name="page548"/>
    <w:bookmarkEnd w:id="5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Valid Issuance of Shares</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Shares, when issued, sold and delivered in accordance with the terms and for the consideration set forth in this Subscription Agreement, will be validly issued, fully paid and non-assessable and free of restrictions on transfer other than restrictions on transfer under the Shareholders’ Agreement, applicable U.S. state and federal and non-U.S. securities laws and liens or encumbrances created by or imposed by the Investor. Assuming the accuracy of the representations of the Investor in Section 7.2 of this Subscription Agreement, the Shares will be issued in compliance with all applicable U.S. federal and U.S. state securities laws.</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Subsidiary</w:t>
      </w:r>
    </w:p>
    <w:p>
      <w:pPr>
        <w:spacing w:after="0" w:line="117" w:lineRule="exact"/>
        <w:rPr>
          <w:rFonts w:ascii="Arial" w:cs="Arial" w:eastAsia="Arial" w:hAnsi="Arial"/>
          <w:sz w:val="18"/>
          <w:szCs w:val="18"/>
          <w:color w:val="auto"/>
        </w:rPr>
      </w:pPr>
    </w:p>
    <w:p>
      <w:pPr>
        <w:ind w:left="46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Company does not currently own or control, directly or indirectly, any interest in any other corporation, partnership, trust, joint venture, limited liability company, association, or other business entity, and the Company is not a participant in any joint venture, partnership or similar arrangement, in each case except as disclosed in the Disclosure Documents.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Absence of Further Requirements</w:t>
      </w:r>
    </w:p>
    <w:p>
      <w:pPr>
        <w:spacing w:after="0" w:line="117" w:lineRule="exact"/>
        <w:rPr>
          <w:rFonts w:ascii="Arial" w:cs="Arial" w:eastAsia="Arial" w:hAnsi="Arial"/>
          <w:sz w:val="18"/>
          <w:szCs w:val="18"/>
          <w:color w:val="auto"/>
        </w:rPr>
      </w:pPr>
    </w:p>
    <w:p>
      <w:pPr>
        <w:jc w:val="both"/>
        <w:ind w:left="460" w:right="60"/>
        <w:spacing w:after="0" w:line="288" w:lineRule="auto"/>
        <w:rPr>
          <w:rFonts w:ascii="Arial" w:cs="Arial" w:eastAsia="Arial" w:hAnsi="Arial"/>
          <w:sz w:val="18"/>
          <w:szCs w:val="18"/>
          <w:color w:val="auto"/>
        </w:rPr>
      </w:pPr>
      <w:r>
        <w:rPr>
          <w:rFonts w:ascii="Arial" w:cs="Arial" w:eastAsia="Arial" w:hAnsi="Arial"/>
          <w:sz w:val="16"/>
          <w:szCs w:val="16"/>
          <w:color w:val="auto"/>
        </w:rPr>
        <w:t>Assuming the accuracy of the representations made by the Investor in Section 7.2 of this Subscription Agreement, no consent, approval, authorization, or order of, or filing or registration with, any person (including any governmental agency or body or any court) is required for the consummation of the Subscriptions contemplated by this Subscription Agreement in connection with the offering, issuance and sale of the Shares by the Company, except</w:t>
      </w:r>
    </w:p>
    <w:p>
      <w:pPr>
        <w:ind w:left="460" w:right="360"/>
        <w:spacing w:after="0" w:line="261" w:lineRule="auto"/>
        <w:rPr>
          <w:rFonts w:ascii="Arial" w:cs="Arial" w:eastAsia="Arial" w:hAnsi="Arial"/>
          <w:sz w:val="18"/>
          <w:szCs w:val="18"/>
          <w:color w:val="auto"/>
        </w:rPr>
      </w:pPr>
      <w:r>
        <w:rPr>
          <w:rFonts w:ascii="Arial" w:cs="Arial" w:eastAsia="Arial" w:hAnsi="Arial"/>
          <w:sz w:val="18"/>
          <w:szCs w:val="18"/>
          <w:color w:val="auto"/>
        </w:rPr>
        <w:t>(i) such as have been obtained or made or will be made on or prior to the Closing or (ii) such as may be required under applicable state or non-U.S. securities laws.</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Absence of Defaults and Conflicts Resulting from Subscriptions</w:t>
      </w:r>
    </w:p>
    <w:p>
      <w:pPr>
        <w:spacing w:after="0" w:line="117" w:lineRule="exact"/>
        <w:rPr>
          <w:rFonts w:ascii="Arial" w:cs="Arial" w:eastAsia="Arial" w:hAnsi="Arial"/>
          <w:sz w:val="18"/>
          <w:szCs w:val="18"/>
          <w:color w:val="auto"/>
        </w:rPr>
      </w:pPr>
    </w:p>
    <w:p>
      <w:pPr>
        <w:ind w:left="460"/>
        <w:spacing w:after="0" w:line="289" w:lineRule="auto"/>
        <w:rPr>
          <w:rFonts w:ascii="Arial" w:cs="Arial" w:eastAsia="Arial" w:hAnsi="Arial"/>
          <w:sz w:val="18"/>
          <w:szCs w:val="18"/>
          <w:color w:val="auto"/>
        </w:rPr>
      </w:pPr>
      <w:r>
        <w:rPr>
          <w:rFonts w:ascii="Arial" w:cs="Arial" w:eastAsia="Arial" w:hAnsi="Arial"/>
          <w:sz w:val="16"/>
          <w:szCs w:val="16"/>
          <w:color w:val="auto"/>
        </w:rPr>
        <w:t>The execution, delivery and performance of this Subscription Agreement, and the issuance and sale of the Shares,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ectPr>
          <w:pgSz w:w="11900" w:h="16838" w:orient="portrait"/>
          <w:cols w:equalWidth="0" w:num="1">
            <w:col w:w="11420"/>
          </w:cols>
          <w:pgMar w:left="240" w:top="273" w:right="239" w:bottom="1440" w:gutter="0" w:footer="0" w:header="0"/>
        </w:sectPr>
      </w:pPr>
    </w:p>
    <w:bookmarkStart w:id="548" w:name="page549"/>
    <w:bookmarkEnd w:id="5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Except as disclosed in the Disclosure Documents and the document called “Crenezumab Patent Interference Proceeding” that is set forth in folder 10 of the Dataroom,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reasonably be expected to have a Material Adverse Effect, or would reasonably be expected to affect the ability of the Company to perform its obligations under this Subscription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7"/>
          <w:szCs w:val="17"/>
          <w:color w:val="auto"/>
        </w:rPr>
        <w:t>Except as disclosed in the Disclosure Documents and the document called “Crenezumab Patent Interference Proceeding” that is set forth in folder 10 of the Dataroom and as would not, individually or in the aggregate, reasonably be expected to have a Material Adverse Effect, (i) the Company owns all trademarks, trade names, patent rights, copyrights, domain names, trade secrets, inventions, know-how and other intellectual property and similar proprietary rights, including registrations or grant and applications thereof for registration or grant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disclosed in the Disclosed Information to such Investor; (ii) there is no pending or, to the knowledge of the Company, threatened action, suit, proceeding or claim by any third party against the Company (A) challenging the Company’s rights in, or the validity, enforceability or scope of, any of the Intellectual Property Rights owned by the Company, or (B) alleging that any activity by or on behalf of the Company infringes, misappropriates or otherwise violates any Intellectual Property Rights of such third party; (iii) there are no outstanding options, licenses or agreements relating to the Intellectual Property Rights owned by the Company, nor is the Company bound by or a party to any options, licenses or agreements of any kind with respect to the Intellectual Property Rights of any other person or entity other than such licenses or agreements arising from the purchase of “off the shelf” or standard products; (iv) none of the Intellectual Property Rights owned by the Company is subject to any outstanding judgment, decree, order, writ, award, injunction or determination of an arbitrator or court or other governmental authority affecting the rights of the Company with respect thereto; and (v) to the knowledge of the Company, the Company’s business as currently conducted does not violate any Intellectual Property Rights of any third party.</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Absence of Existing Defaults and Conflicts</w:t>
      </w:r>
    </w:p>
    <w:p>
      <w:pPr>
        <w:spacing w:after="0" w:line="117"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The Company is not in violation of its articles of association or similar organizational documents or in default (or with the giving of notice or lapse of time would not be in default) under any existing obligation, agreement, covenant or condition contained in any indenture, loan agreement, mortgage, lease or other agreement or instrument to which it is a party or by which it is bound or to which any of its properties is subject, except such defaults that would not, individually or in the aggregate, reasonably be expected to result in a Material Adverse Effect.</w:t>
      </w:r>
    </w:p>
    <w:p>
      <w:pPr>
        <w:sectPr>
          <w:pgSz w:w="11900" w:h="16838" w:orient="portrait"/>
          <w:cols w:equalWidth="0" w:num="1">
            <w:col w:w="11400"/>
          </w:cols>
          <w:pgMar w:left="240" w:top="273" w:right="259" w:bottom="1440" w:gutter="0" w:footer="0" w:header="0"/>
        </w:sectPr>
      </w:pPr>
    </w:p>
    <w:bookmarkStart w:id="549" w:name="page550"/>
    <w:bookmarkEnd w:id="5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17" w:lineRule="exact"/>
        <w:rPr>
          <w:rFonts w:ascii="Arial" w:cs="Arial" w:eastAsia="Arial" w:hAnsi="Arial"/>
          <w:sz w:val="18"/>
          <w:szCs w:val="18"/>
          <w:color w:val="auto"/>
        </w:rPr>
      </w:pPr>
    </w:p>
    <w:p>
      <w:pPr>
        <w:ind w:left="460" w:right="160"/>
        <w:spacing w:after="0" w:line="302" w:lineRule="auto"/>
        <w:rPr>
          <w:rFonts w:ascii="Arial" w:cs="Arial" w:eastAsia="Arial" w:hAnsi="Arial"/>
          <w:sz w:val="18"/>
          <w:szCs w:val="18"/>
          <w:color w:val="auto"/>
        </w:rPr>
      </w:pPr>
      <w:r>
        <w:rPr>
          <w:rFonts w:ascii="Arial" w:cs="Arial" w:eastAsia="Arial" w:hAnsi="Arial"/>
          <w:sz w:val="16"/>
          <w:szCs w:val="16"/>
          <w:color w:val="auto"/>
        </w:rPr>
        <w:t>Except as provided in the Registration Rights Agreement,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Title to Property</w:t>
      </w:r>
    </w:p>
    <w:p>
      <w:pPr>
        <w:spacing w:after="0" w:line="117"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own any real property. The Company has good and marketable title to all other properties and assets owned by it that are necessary and material to its business, in each case free from liens, charges, encumbrances and defects that would reasonably be expected to have a Material Adverse Effect, and the Company holds any leased real or personal property under valid and enforceable leases with no terms or provisions that would reasonably be expected to have a Material Adverse Effect.</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460" w:right="60"/>
        <w:spacing w:after="0" w:line="297" w:lineRule="auto"/>
        <w:rPr>
          <w:rFonts w:ascii="Arial" w:cs="Arial" w:eastAsia="Arial" w:hAnsi="Arial"/>
          <w:sz w:val="18"/>
          <w:szCs w:val="18"/>
          <w:color w:val="auto"/>
        </w:rPr>
      </w:pPr>
      <w:r>
        <w:rPr>
          <w:rFonts w:ascii="Arial" w:cs="Arial" w:eastAsia="Arial" w:hAnsi="Arial"/>
          <w:sz w:val="16"/>
          <w:szCs w:val="16"/>
          <w:color w:val="auto"/>
        </w:rPr>
        <w:t>The Company has delivered to the Investor its unaudited interim condensed financial statements as at, and for the six months ended, June 30, 2015 and June 30, 2014, and its audited financial statements as at, and for the fiscal years ended, December 31, 2014 and December 31, 2013 (collectively,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as issued by the International Accounting Standards Board applied on a consistent basis.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 Material Adverse Event in Business</w:t>
      </w:r>
    </w:p>
    <w:p>
      <w:pPr>
        <w:spacing w:after="0" w:line="117"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Except as disclosed in the Disclosure Documents, since the end of the period covered by the Financial Statements, (i) there has been no change, nor any development or event involving a prospective change, in the condition (financial or otherwise), results of operations, business or properties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11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that would reasonably be expected to have a Material Adverse Effect.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The preclinical and clinical studies conducted by the Company, and to the knowledge of the Company, the preclinical and clinical studies conducted on behalf of or sponsored by the Company, that are described in, or the results of which were referred to in, the</w:t>
      </w:r>
    </w:p>
    <w:p>
      <w:pPr>
        <w:sectPr>
          <w:pgSz w:w="11900" w:h="16838" w:orient="portrait"/>
          <w:cols w:equalWidth="0" w:num="1">
            <w:col w:w="11400"/>
          </w:cols>
          <w:pgMar w:left="240" w:top="274" w:right="259" w:bottom="1440" w:gutter="0" w:footer="0" w:header="0"/>
        </w:sectPr>
      </w:pPr>
    </w:p>
    <w:bookmarkStart w:id="550" w:name="page551"/>
    <w:bookmarkEnd w:id="5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Disclosure Documents were and, if still pending, are being conducted in all material respects in accordance with protocols, procedures and controls filed with the appropriate regulatory authorities for each such test or trial, as the case may be, and with standard medical and scientific research procedures, except in each case where failure to so conduct would not reasonably be expected to have a Material Adverse Effect; each description of the results of such studies contained in the Disclosure Documents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Disclosure Documents; the Company has not received any notices or other correspondence from the from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or any committee thereof or from any other U.S. or foreign government or drug or medical device regulatory agency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modification of any clinical trials that are described or referred to in the materials made available to such Investor, other than ordinary course communications with respect to modifications in connection with the design and implementation of such trials; and the Company has operated and currently is in compliance in all respects with all applicable rules, regulations and policies of the Regulatory Agencies except as would not reasonably be expected to have a Material Adverse Effect.</w:t>
      </w:r>
    </w:p>
    <w:p>
      <w:pPr>
        <w:spacing w:after="0" w:line="329" w:lineRule="exact"/>
        <w:rPr>
          <w:sz w:val="20"/>
          <w:szCs w:val="20"/>
          <w:color w:val="auto"/>
        </w:rPr>
      </w:pPr>
    </w:p>
    <w:p>
      <w:pPr>
        <w:ind w:left="460" w:hanging="452"/>
        <w:spacing w:after="0"/>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Payments of Taxes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as disclosed in the Disclosure Documents, the Company warrants that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 notices, reports, accounts, computations, statements, assessments, registrations and any other necessary information which the Company was legally obliged to submit to any Tax Authority for the purposes of Taxation, have been filed by the Company within applicable time limits and were accurate and complete;</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 Taxes (whether of Switzerland or elsewhere), for which the Company has been liable or is liable to account for, have been duly and timely paid;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Company has, in accordance with applicable time limits, maintained all records in relation to Taxes as required by law and such records are sufficient to enable the Company to accurately calculate its Tax liability;</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Company has complied within applicable time limits with all notices lawfully served on it and any other requirements lawfully imposed on it by any Tax Authority;</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with respect to Taxes, the Company has not paid, within the time period starting on the date of its incorporation and ending on the date of this Subscription Agreement, and will not become liable to pay, any material penalty, fine, surcharge or interest charged;</w:t>
      </w:r>
    </w:p>
    <w:p>
      <w:pPr>
        <w:spacing w:after="0" w:line="51" w:lineRule="exact"/>
        <w:rPr>
          <w:rFonts w:ascii="Arial" w:cs="Arial" w:eastAsia="Arial" w:hAnsi="Arial"/>
          <w:sz w:val="17"/>
          <w:szCs w:val="17"/>
          <w:color w:val="auto"/>
        </w:rPr>
      </w:pPr>
    </w:p>
    <w:p>
      <w:pPr>
        <w:ind w:left="900" w:hanging="446"/>
        <w:spacing w:after="0" w:line="286" w:lineRule="auto"/>
        <w:tabs>
          <w:tab w:leader="none" w:pos="90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the Company is not involved in any dispute with or investigation by any Tax Authority and has not, within the past 12 months, been subject to any visit, audit, investigation, discovery or access order by any Tax Authority and is not aware of any circumstances existing which make it likely that a visit, audit, investigation, discovery or access order with respect to Taxes will be made in the next 12 months; and</w:t>
      </w:r>
    </w:p>
    <w:p>
      <w:pPr>
        <w:spacing w:after="0" w:line="70"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in the Financial Statements the Company has made full provision or reserve for any period ended on or before the relevant accounts date for all Taxation assessed or liable to be assessed on it;</w:t>
      </w:r>
    </w:p>
    <w:p>
      <w:pPr>
        <w:sectPr>
          <w:pgSz w:w="11900" w:h="16838" w:orient="portrait"/>
          <w:cols w:equalWidth="0" w:num="1">
            <w:col w:w="11400"/>
          </w:cols>
          <w:pgMar w:left="240" w:top="274" w:right="259" w:bottom="1440" w:gutter="0" w:footer="0" w:header="0"/>
        </w:sectPr>
      </w:pPr>
    </w:p>
    <w:bookmarkStart w:id="551" w:name="page552"/>
    <w:bookmarkEnd w:id="5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except for any such Taxes, assessments, fines or penalties currently being contested in good faith or as would not, individually or in the aggregate, reasonably be expected to have a Material Adverse Effect.</w:t>
      </w:r>
    </w:p>
    <w:p>
      <w:pPr>
        <w:spacing w:after="0" w:line="319"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460" w:right="40"/>
        <w:spacing w:after="0" w:line="270" w:lineRule="auto"/>
        <w:rPr>
          <w:rFonts w:ascii="Arial" w:cs="Arial" w:eastAsia="Arial" w:hAnsi="Arial"/>
          <w:sz w:val="18"/>
          <w:szCs w:val="18"/>
          <w:color w:val="auto"/>
        </w:rPr>
      </w:pPr>
      <w:r>
        <w:rPr>
          <w:rFonts w:ascii="Arial" w:cs="Arial" w:eastAsia="Arial" w:hAnsi="Arial"/>
          <w:sz w:val="17"/>
          <w:szCs w:val="17"/>
          <w:color w:val="auto"/>
        </w:rPr>
        <w:t>The Company is insured by insurers with appropriately rated claims paying abilities against such losses and risks and in such amounts as the Company reasonably considers adequate for the businesses in which it is engaged; all material policies of insurance and fidelity or surety bonds insuring the Company or its business, asset, employees, officers and directors are in full force and effect; to the Company’s knowledge,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the Company reasonably believes may be necessary to continue its business at a cost that would not reasonably be expected to have a Material Adverse Effect, except as set forth in or contemplated in the Disclosure Documents.</w:t>
      </w:r>
    </w:p>
    <w:p>
      <w:pPr>
        <w:spacing w:after="0" w:line="330"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Social Security and Pensions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Except as would not, individually or in the aggregate, reasonably be expected to have a Material Adverse Effect, the Company warrants that</w:t>
      </w:r>
    </w:p>
    <w:p>
      <w:pPr>
        <w:spacing w:after="0" w:line="14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all benefit plans for any period ending before Closing have been fully paid, or, as regards employees of the Company, provided for in the relevant financial statements;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all contributions required to be made under the terms of any such benefit plans until the Closing have been timely made or provided for in the relevant financial statements;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99"/>
        </w:numPr>
        <w:rPr>
          <w:rFonts w:ascii="Arial" w:cs="Arial" w:eastAsia="Arial" w:hAnsi="Arial"/>
          <w:sz w:val="16"/>
          <w:szCs w:val="16"/>
          <w:color w:val="auto"/>
        </w:rPr>
      </w:pPr>
      <w:r>
        <w:rPr>
          <w:rFonts w:ascii="Arial" w:cs="Arial" w:eastAsia="Arial" w:hAnsi="Arial"/>
          <w:sz w:val="16"/>
          <w:szCs w:val="16"/>
          <w:color w:val="auto"/>
        </w:rPr>
        <w:t>on the basis of and compared to the funding requirements of applicable law, none of the benefit plans has any accumulated funding deficiency;</w:t>
      </w:r>
    </w:p>
    <w:p>
      <w:pPr>
        <w:spacing w:after="0" w:line="140"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except for any such contributions, assessments, fines or penalties currently being contested in good faith or as would not, individually or in the aggregate, reasonably be expected to have a Material Adverse Effect.</w:t>
      </w:r>
    </w:p>
    <w:p>
      <w:pPr>
        <w:sectPr>
          <w:pgSz w:w="11900" w:h="16838" w:orient="portrait"/>
          <w:cols w:equalWidth="0" w:num="1">
            <w:col w:w="11380"/>
          </w:cols>
          <w:pgMar w:left="240" w:top="274" w:right="279" w:bottom="1440" w:gutter="0" w:footer="0" w:header="0"/>
        </w:sectPr>
      </w:pPr>
    </w:p>
    <w:bookmarkStart w:id="552" w:name="page553"/>
    <w:bookmarkEnd w:id="5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Possession of Permits</w:t>
      </w:r>
    </w:p>
    <w:p>
      <w:pPr>
        <w:spacing w:after="0" w:line="117" w:lineRule="exact"/>
        <w:rPr>
          <w:rFonts w:ascii="Arial" w:cs="Arial" w:eastAsia="Arial" w:hAnsi="Arial"/>
          <w:sz w:val="18"/>
          <w:szCs w:val="18"/>
          <w:color w:val="auto"/>
        </w:rPr>
      </w:pPr>
    </w:p>
    <w:p>
      <w:pPr>
        <w:ind w:left="460" w:right="60"/>
        <w:spacing w:after="0" w:line="302" w:lineRule="auto"/>
        <w:rPr>
          <w:rFonts w:ascii="Arial" w:cs="Arial" w:eastAsia="Arial" w:hAnsi="Arial"/>
          <w:sz w:val="18"/>
          <w:szCs w:val="18"/>
          <w:color w:val="auto"/>
        </w:rPr>
      </w:pPr>
      <w:r>
        <w:rPr>
          <w:rFonts w:ascii="Arial" w:cs="Arial" w:eastAsia="Arial" w:hAnsi="Arial"/>
          <w:sz w:val="16"/>
          <w:szCs w:val="16"/>
          <w:color w:val="auto"/>
        </w:rPr>
        <w:t>The Company possesses, and is in compliance with the terms of, all adequate certificates, authorizations, franchises, licenses and permits, including, without limitation from the FDA and equivalent foreign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necessary or material to the conduct of the business now or proposed to be conducted by it and has not received any notice of proceedings relating to the revocation or modification of any Permits that, if determined adversely to the Company, would individually or in the aggregate reasonably be expected to have a Material Adverse Effect.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Environmental Laws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The Company (i) does not own or operate any real property contaminated with any substance that is subject to any Environmental Laws, (ii) is not liable for any off-site disposal or contamination pursuant to any Environmental Laws, and (iii) is not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Foreign Corrupt Practices Act</w:t>
      </w:r>
    </w:p>
    <w:p>
      <w:pPr>
        <w:spacing w:after="0" w:line="117"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6"/>
          <w:szCs w:val="16"/>
          <w:color w:val="auto"/>
        </w:rPr>
        <w:t>The Company (including, to the knowledge of the Company, its employees, officers or directors), has not taken or failed to take any action that would cause it to be in violation of the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and (C) making of any bribe, unlawful rebate, payoff, influence payment, kickback or other unlawful payment of any nature. For purposes of this Subscription Agreement, (i) an “</w:t>
      </w:r>
      <w:r>
        <w:rPr>
          <w:rFonts w:ascii="Arial" w:cs="Arial" w:eastAsia="Arial" w:hAnsi="Arial"/>
          <w:sz w:val="16"/>
          <w:szCs w:val="16"/>
          <w:b w:val="1"/>
          <w:bCs w:val="1"/>
          <w:color w:val="auto"/>
        </w:rPr>
        <w:t>Official</w:t>
      </w:r>
      <w:r>
        <w:rPr>
          <w:rFonts w:ascii="Arial" w:cs="Arial" w:eastAsia="Arial" w:hAnsi="Arial"/>
          <w:sz w:val="16"/>
          <w:szCs w:val="16"/>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 The Company has in place adequate controls and systems designed to</w:t>
      </w:r>
    </w:p>
    <w:p>
      <w:pPr>
        <w:sectPr>
          <w:pgSz w:w="11900" w:h="16838" w:orient="portrait"/>
          <w:cols w:equalWidth="0" w:num="1">
            <w:col w:w="11360"/>
          </w:cols>
          <w:pgMar w:left="240" w:top="273" w:right="299" w:bottom="1440" w:gutter="0" w:footer="0" w:header="0"/>
        </w:sectPr>
      </w:pPr>
    </w:p>
    <w:bookmarkStart w:id="553" w:name="page554"/>
    <w:bookmarkEnd w:id="5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321" w:lineRule="exact"/>
        <w:rPr>
          <w:sz w:val="20"/>
          <w:szCs w:val="20"/>
          <w:color w:val="auto"/>
        </w:rPr>
      </w:pPr>
    </w:p>
    <w:p>
      <w:pPr>
        <w:ind w:left="460" w:hanging="452"/>
        <w:spacing w:after="0"/>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OFAC</w:t>
      </w:r>
    </w:p>
    <w:p>
      <w:pPr>
        <w:spacing w:after="0" w:line="117"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Neither the Company nor to the Company’s knowledge any director, officer, affiliate, employee, agent or other person 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Capital Loss</w:t>
      </w:r>
    </w:p>
    <w:p>
      <w:pPr>
        <w:spacing w:after="0" w:line="117"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The Company is not overindebted within the meaning of article 725 para 2 CO. The Company is not suffering from capital loss within the meaning of article 725 para 1 CO assuming that only share premium in excess of 50% of the nominal share capital is included in the calculation of such capital loss.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Investment Company Act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defined in the United States Investment Company Act of 1940, as amended.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Disclosure</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has made available to such Investor all the information reasonably available to the Company that the Investor has requested for deciding whether to acquire the Shares. No representation or warranty of the Company contained in this Subscription Agreement, and no certificate furnished or to be furnished to the Investor at the Closing, contains any untrue statement of a material fact or, to the Company’s knowledge, omits to state a material fact necessary in order to make the statements contained herein or therein, in the light of the circumstances under which they were made, not misleading.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3" w:right="259" w:bottom="1440" w:gutter="0" w:footer="0" w:header="0"/>
        </w:sectPr>
      </w:pPr>
    </w:p>
    <w:bookmarkStart w:id="554" w:name="page555"/>
    <w:bookmarkEnd w:id="5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Investor hereby represents and warrants to the Company, severally and not jointly, that:</w:t>
      </w:r>
    </w:p>
    <w:p>
      <w:pPr>
        <w:spacing w:after="0" w:line="131" w:lineRule="exact"/>
        <w:rPr>
          <w:sz w:val="20"/>
          <w:szCs w:val="20"/>
          <w:color w:val="auto"/>
        </w:rPr>
      </w:pPr>
    </w:p>
    <w:p>
      <w:pPr>
        <w:ind w:left="460" w:hanging="452"/>
        <w:spacing w:after="0"/>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Such Investor has full power and authority to enter into the Subscription Agreement and the other Transaction Documents. The Subscription Agreement and the other Transaction Documents to which such Investor is a party, when executed and delivered by such Investor, will constitute valid and legally binding obligations of such Investor, enforceable in accordance with their terms, except (a)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(b) to the extent the indemnification provisions contained in the Registration Rights Agreement may be limited by applicable federal or state securities laws.</w:t>
      </w:r>
    </w:p>
    <w:p>
      <w:pPr>
        <w:spacing w:after="0" w:line="327" w:lineRule="exact"/>
        <w:rPr>
          <w:rFonts w:ascii="Arial" w:cs="Arial" w:eastAsia="Arial" w:hAnsi="Arial"/>
          <w:sz w:val="18"/>
          <w:szCs w:val="18"/>
          <w:color w:val="auto"/>
        </w:rPr>
      </w:pPr>
    </w:p>
    <w:p>
      <w:pPr>
        <w:ind w:left="460" w:hanging="452"/>
        <w:spacing w:after="0"/>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Purchase Entirely for Own Account</w:t>
      </w:r>
    </w:p>
    <w:p>
      <w:pPr>
        <w:spacing w:after="0" w:line="117" w:lineRule="exact"/>
        <w:rPr>
          <w:rFonts w:ascii="Arial" w:cs="Arial" w:eastAsia="Arial" w:hAnsi="Arial"/>
          <w:sz w:val="18"/>
          <w:szCs w:val="18"/>
          <w:color w:val="auto"/>
        </w:rPr>
      </w:pPr>
    </w:p>
    <w:p>
      <w:pPr>
        <w:ind w:left="460" w:right="100"/>
        <w:spacing w:after="0" w:line="297" w:lineRule="auto"/>
        <w:rPr>
          <w:rFonts w:ascii="Arial" w:cs="Arial" w:eastAsia="Arial" w:hAnsi="Arial"/>
          <w:sz w:val="18"/>
          <w:szCs w:val="18"/>
          <w:color w:val="auto"/>
        </w:rPr>
      </w:pPr>
      <w:r>
        <w:rPr>
          <w:rFonts w:ascii="Arial" w:cs="Arial" w:eastAsia="Arial" w:hAnsi="Arial"/>
          <w:sz w:val="16"/>
          <w:szCs w:val="16"/>
          <w:color w:val="auto"/>
        </w:rPr>
        <w:t>This Subscription Agreement is made with such Investor in reliance upon its representation to the Company that the Shares to be acquired by such Investor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Such Investor does not presently have any contract, undertaking, agreement or arrangement with any person to sell, transfer or grant participations to such person or to any third person, with respect to any of the Shares. Such Investor has not been formed for the specific purpose of acquiring the Shares.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Disclosure of Information</w:t>
      </w:r>
    </w:p>
    <w:p>
      <w:pPr>
        <w:spacing w:after="0" w:line="117"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Such Investor has had an opportunity to discuss the Company’s business, management, financial affairs and the terms and conditions of the offering of the Shares with the Company’s management and has had an opportunity to review the Company’s facilities and the Dataroom. The foregoing, however, does not limit or modify the representations and warranties of the Company in Section 7 of this Subscription Agreement or the right of such Investor to rely thereon.</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Restricted Securities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Such Investor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such Investor’s representations as expressed herein. Such Investor (either alone or together with its advisors) has sufficient knowledge and experience in financial and business matters so as to be capable of evaluating the merits and risks of its investment in the Shares and is capable of bearing the economic risks of such investment. Such Investor understands that the Shares are “restricted securities” under applicable U.S. federal and state securities laws</w:t>
      </w:r>
    </w:p>
    <w:p>
      <w:pPr>
        <w:sectPr>
          <w:pgSz w:w="11900" w:h="16838" w:orient="portrait"/>
          <w:cols w:equalWidth="0" w:num="1">
            <w:col w:w="11420"/>
          </w:cols>
          <w:pgMar w:left="240" w:top="274" w:right="239" w:bottom="1440" w:gutter="0" w:footer="0" w:header="0"/>
        </w:sectPr>
      </w:pPr>
    </w:p>
    <w:bookmarkStart w:id="555" w:name="page556"/>
    <w:bookmarkEnd w:id="5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and that, pursuant to these laws, such Investor must hold the Shares indefinitely unless they are registered with the Securities and Exchange Commission and qualified by state authorities, or an exemption from such registration and qualification requirements is available. Such Investor acknowledges that the Company has no obligation to register or qualify the Shares, or the Common Stock into which it may be converted, for resale except as set forth in the Registration Rights Agreement. Such Investor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such Investor’s control, and which the Company is under no obligation and may not be able to satisfy.</w:t>
      </w:r>
    </w:p>
    <w:p>
      <w:pPr>
        <w:spacing w:after="0" w:line="338"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Public Market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no public market now exists for the Shares, and that the Company has made no assurances that a public market will ever exist for the Shares.</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Legends</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the Shares and any securities issued in respect of or exchange for the Shares, may be notated with one or all of the following legends:</w:t>
      </w:r>
    </w:p>
    <w:p>
      <w:pPr>
        <w:spacing w:after="0" w:line="75" w:lineRule="exact"/>
        <w:rPr>
          <w:rFonts w:ascii="Arial" w:cs="Arial" w:eastAsia="Arial" w:hAnsi="Arial"/>
          <w:sz w:val="18"/>
          <w:szCs w:val="18"/>
          <w:color w:val="auto"/>
        </w:rPr>
      </w:pPr>
    </w:p>
    <w:p>
      <w:pPr>
        <w:ind w:left="900" w:right="20" w:hanging="446"/>
        <w:spacing w:after="0" w:line="257" w:lineRule="auto"/>
        <w:tabs>
          <w:tab w:leader="none" w:pos="90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SHARES REPRESENTED HEREBY HAVE NOT BEEN REGISTERED UNDER THE UNITED STATES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UNITED STATES SECURITIES ACT OF 1933.”</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Documents.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Any legend required by the securities laws of any state to the extent such laws are applicable to the Shares represented by the certificate, instrument, or book entry so legended.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Accredited Investor or non-U.S. Person</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is either (i) an accredited investor as defined in Rule 501(a) of Regulation D promulgated under the Securities Act or (ii) not a U.S. Person within the meaning of Regulation S promulgated under the Securities Act.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117" w:lineRule="exact"/>
        <w:rPr>
          <w:rFonts w:ascii="Arial" w:cs="Arial" w:eastAsia="Arial" w:hAnsi="Arial"/>
          <w:sz w:val="18"/>
          <w:szCs w:val="18"/>
          <w:color w:val="auto"/>
        </w:rPr>
      </w:pPr>
    </w:p>
    <w:p>
      <w:pPr>
        <w:ind w:left="460" w:right="240"/>
        <w:spacing w:after="0" w:line="276" w:lineRule="auto"/>
        <w:rPr>
          <w:rFonts w:ascii="Arial" w:cs="Arial" w:eastAsia="Arial" w:hAnsi="Arial"/>
          <w:sz w:val="18"/>
          <w:szCs w:val="18"/>
          <w:color w:val="auto"/>
        </w:rPr>
      </w:pPr>
      <w:r>
        <w:rPr>
          <w:rFonts w:ascii="Arial" w:cs="Arial" w:eastAsia="Arial" w:hAnsi="Arial"/>
          <w:sz w:val="17"/>
          <w:szCs w:val="17"/>
          <w:color w:val="auto"/>
        </w:rPr>
        <w:t>If such Investor is not a United States person (as defined by Section 7701(a)(30) of the United States Internal Revenue Code of 1986, as amended), such Investor hereby represents that it has satisfied itself as to the full observance of the laws of its jurisdiction in connection with any invitation to subscribe for the Shares or any use of this Subscription Agreement, 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w:t>
      </w:r>
    </w:p>
    <w:p>
      <w:pPr>
        <w:sectPr>
          <w:pgSz w:w="11900" w:h="16838" w:orient="portrait"/>
          <w:cols w:equalWidth="0" w:num="1">
            <w:col w:w="11400"/>
          </w:cols>
          <w:pgMar w:left="240" w:top="274" w:right="25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purchase, holding, redemption, sale, or transfer of the Shares. Such Investor’s subscription and payment for and continued beneficial ownership of the Shares will not violate any applicable securities or other laws of such Investor’s jurisdiction.</w:t>
      </w:r>
    </w:p>
    <w:p>
      <w:pPr>
        <w:spacing w:after="0" w:line="319"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 General Solicitation</w:t>
      </w:r>
    </w:p>
    <w:p>
      <w:pPr>
        <w:spacing w:after="0" w:line="117"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Neither such Investor, nor any of its officers, directors, employees, agents, shareholders or partners has either directly or indirectly, including, through a broker or finder (a) engaged in any general solicitation, or (b) published any advertisement in connection with the offer and sale of the Shares.</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Residence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Such Investor’s principal place of business is at its address set forth on the first page of this Subscription Agreement or in the Adherence Declaration.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3" w:right="279" w:bottom="1440" w:gutter="0" w:footer="0" w:header="0"/>
        </w:sectPr>
      </w:pPr>
    </w:p>
    <w:bookmarkStart w:id="557" w:name="page558"/>
    <w:bookmarkEnd w:id="557"/>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840"/>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center"/>
        <w:ind w:left="3840"/>
        <w:spacing w:after="0"/>
        <w:rPr>
          <w:sz w:val="20"/>
          <w:szCs w:val="20"/>
          <w:color w:val="auto"/>
        </w:rPr>
      </w:pPr>
      <w:r>
        <w:rPr>
          <w:rFonts w:ascii="Arial" w:cs="Arial" w:eastAsia="Arial" w:hAnsi="Arial"/>
          <w:sz w:val="18"/>
          <w:szCs w:val="18"/>
          <w:color w:val="auto"/>
        </w:rPr>
        <w:t>made as of 16 October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and among</w:t>
      </w:r>
    </w:p>
    <w:p>
      <w:pPr>
        <w:spacing w:after="0" w:line="252" w:lineRule="exact"/>
        <w:rPr>
          <w:sz w:val="20"/>
          <w:szCs w:val="20"/>
          <w:color w:val="auto"/>
        </w:rPr>
      </w:pPr>
    </w:p>
    <w:p>
      <w:pPr>
        <w:ind w:left="900" w:hanging="446"/>
        <w:spacing w:after="0"/>
        <w:tabs>
          <w:tab w:leader="none" w:pos="9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V-Sciences Investments Pte Ltd.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Temasek Holdings (Private)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60B Orchard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Atrium@Orchard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Singapore 238891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investors adhering to this Subscription Agreement through signing of the Adherence Declaration and accepted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 Switzerland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V-Sciences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60" w:hanging="372"/>
        <w:spacing w:after="0" w:line="347" w:lineRule="auto"/>
        <w:rPr>
          <w:sz w:val="20"/>
          <w:szCs w:val="20"/>
          <w:color w:val="auto"/>
        </w:rPr>
      </w:pPr>
      <w:r>
        <w:rPr>
          <w:rFonts w:ascii="Arial" w:cs="Arial" w:eastAsia="Arial" w:hAnsi="Arial"/>
          <w:sz w:val="16"/>
          <w:szCs w:val="16"/>
          <w:color w:val="auto"/>
        </w:rPr>
        <w:t>(together with V-Sciences the “</w:t>
      </w:r>
      <w:r>
        <w:rPr>
          <w:rFonts w:ascii="Arial" w:cs="Arial" w:eastAsia="Arial" w:hAnsi="Arial"/>
          <w:sz w:val="16"/>
          <w:szCs w:val="16"/>
          <w:b w:val="1"/>
          <w:bCs w:val="1"/>
          <w:color w:val="auto"/>
        </w:rPr>
        <w:t>Investors</w:t>
      </w:r>
      <w:r>
        <w:rPr>
          <w:rFonts w:ascii="Arial" w:cs="Arial" w:eastAsia="Arial" w:hAnsi="Arial"/>
          <w:sz w:val="16"/>
          <w:szCs w:val="16"/>
          <w:color w:val="auto"/>
        </w:rPr>
        <w:t>” and each individually an “</w:t>
      </w:r>
      <w:r>
        <w:rPr>
          <w:rFonts w:ascii="Arial" w:cs="Arial" w:eastAsia="Arial" w:hAnsi="Arial"/>
          <w:sz w:val="16"/>
          <w:szCs w:val="16"/>
          <w:b w:val="1"/>
          <w:bCs w:val="1"/>
          <w:color w:val="auto"/>
        </w:rPr>
        <w:t>Investor</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Party</w:t>
      </w:r>
      <w:r>
        <w:rPr>
          <w:rFonts w:ascii="Arial" w:cs="Arial" w:eastAsia="Arial" w:hAnsi="Arial"/>
          <w:sz w:val="16"/>
          <w:szCs w:val="16"/>
          <w:color w:val="auto"/>
        </w:rPr>
        <w:t>”, all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ectPr>
          <w:pgSz w:w="11900" w:h="16838" w:orient="portrait"/>
          <w:cols w:equalWidth="0" w:num="2">
            <w:col w:w="7580" w:space="720"/>
            <w:col w:w="3120"/>
          </w:cols>
          <w:pgMar w:left="240" w:top="121" w:right="239" w:bottom="1440" w:gutter="0" w:footer="0" w:header="0"/>
        </w:sectPr>
      </w:pPr>
    </w:p>
    <w:bookmarkStart w:id="558" w:name="page559"/>
    <w:bookmarkEnd w:id="558"/>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4"/>
                <w:szCs w:val="24"/>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CURRENT EQUITY STRUCTURE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160" w:type="dxa"/>
            <w:vAlign w:val="bottom"/>
          </w:tcPr>
          <w:p>
            <w:pPr>
              <w:ind w:left="60"/>
              <w:spacing w:after="0"/>
              <w:rPr>
                <w:sz w:val="20"/>
                <w:szCs w:val="20"/>
                <w:color w:val="auto"/>
              </w:rPr>
            </w:pPr>
            <w:r>
              <w:rPr>
                <w:rFonts w:ascii="Arial" w:cs="Arial" w:eastAsia="Arial" w:hAnsi="Arial"/>
                <w:sz w:val="18"/>
                <w:szCs w:val="18"/>
                <w:color w:val="auto"/>
              </w:rPr>
              <w:t>Share capital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160" w:type="dxa"/>
            <w:vAlign w:val="bottom"/>
          </w:tcPr>
          <w:p>
            <w:pPr>
              <w:ind w:left="60"/>
              <w:spacing w:after="0"/>
              <w:rPr>
                <w:sz w:val="20"/>
                <w:szCs w:val="20"/>
                <w:color w:val="auto"/>
              </w:rPr>
            </w:pPr>
            <w:r>
              <w:rPr>
                <w:rFonts w:ascii="Arial" w:cs="Arial" w:eastAsia="Arial" w:hAnsi="Arial"/>
                <w:sz w:val="18"/>
                <w:szCs w:val="18"/>
                <w:color w:val="auto"/>
              </w:rPr>
              <w:t>Articles of Association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INCREASE OF SHARE CAPITAL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60"/>
              <w:spacing w:after="0"/>
              <w:rPr>
                <w:sz w:val="20"/>
                <w:szCs w:val="20"/>
                <w:color w:val="auto"/>
              </w:rPr>
            </w:pPr>
            <w:r>
              <w:rPr>
                <w:rFonts w:ascii="Arial" w:cs="Arial" w:eastAsia="Arial" w:hAnsi="Arial"/>
                <w:sz w:val="18"/>
                <w:szCs w:val="18"/>
                <w:color w:val="auto"/>
              </w:rPr>
              <w:t>Subscription Undertaking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60"/>
              <w:spacing w:after="0"/>
              <w:rPr>
                <w:sz w:val="20"/>
                <w:szCs w:val="20"/>
                <w:color w:val="auto"/>
              </w:rPr>
            </w:pPr>
            <w:r>
              <w:rPr>
                <w:rFonts w:ascii="Arial" w:cs="Arial" w:eastAsia="Arial" w:hAnsi="Arial"/>
                <w:sz w:val="18"/>
                <w:szCs w:val="18"/>
                <w:color w:val="auto"/>
              </w:rPr>
              <w:t>Payment Undertaking at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passed by the Extraordinary General Meeting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of the Board</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OWNERSHIP STRUCTURE AFTER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CLOSING</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8160" w:type="dxa"/>
            <w:vAlign w:val="bottom"/>
          </w:tcPr>
          <w:p>
            <w:pPr>
              <w:ind w:left="60"/>
              <w:spacing w:after="0"/>
              <w:rPr>
                <w:sz w:val="20"/>
                <w:szCs w:val="20"/>
                <w:color w:val="auto"/>
              </w:rPr>
            </w:pPr>
            <w:r>
              <w:rPr>
                <w:rFonts w:ascii="Arial" w:cs="Arial" w:eastAsia="Arial" w:hAnsi="Arial"/>
                <w:sz w:val="18"/>
                <w:szCs w:val="18"/>
                <w:color w:val="auto"/>
              </w:rPr>
              <w:t>Place and Date of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5.2</w:t>
            </w:r>
          </w:p>
        </w:tc>
        <w:tc>
          <w:tcPr>
            <w:tcW w:w="8160" w:type="dxa"/>
            <w:vAlign w:val="bottom"/>
          </w:tcPr>
          <w:p>
            <w:pPr>
              <w:ind w:left="60"/>
              <w:spacing w:after="0"/>
              <w:rPr>
                <w:sz w:val="20"/>
                <w:szCs w:val="20"/>
                <w:color w:val="auto"/>
              </w:rPr>
            </w:pPr>
            <w:r>
              <w:rPr>
                <w:rFonts w:ascii="Arial" w:cs="Arial" w:eastAsia="Arial" w:hAnsi="Arial"/>
                <w:sz w:val="18"/>
                <w:szCs w:val="18"/>
                <w:color w:val="auto"/>
              </w:rPr>
              <w:t>Conditions Precedent to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8160" w:type="dxa"/>
            <w:vAlign w:val="bottom"/>
          </w:tcPr>
          <w:p>
            <w:pPr>
              <w:ind w:left="60"/>
              <w:spacing w:after="0"/>
              <w:rPr>
                <w:sz w:val="20"/>
                <w:szCs w:val="20"/>
                <w:color w:val="auto"/>
              </w:rPr>
            </w:pPr>
            <w:r>
              <w:rPr>
                <w:rFonts w:ascii="Arial" w:cs="Arial" w:eastAsia="Arial" w:hAnsi="Arial"/>
                <w:sz w:val="18"/>
                <w:szCs w:val="18"/>
                <w:color w:val="auto"/>
              </w:rPr>
              <w:t>Closing Actions for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TERMINATION AND RECISSION</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7.1</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7.2</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each Investor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7.3</w:t>
            </w:r>
          </w:p>
        </w:tc>
        <w:tc>
          <w:tcPr>
            <w:tcW w:w="8160" w:type="dxa"/>
            <w:vAlign w:val="bottom"/>
          </w:tcPr>
          <w:p>
            <w:pPr>
              <w:ind w:left="60"/>
              <w:spacing w:after="0"/>
              <w:rPr>
                <w:sz w:val="20"/>
                <w:szCs w:val="20"/>
                <w:color w:val="auto"/>
              </w:rPr>
            </w:pPr>
            <w:r>
              <w:rPr>
                <w:rFonts w:ascii="Arial" w:cs="Arial" w:eastAsia="Arial" w:hAnsi="Arial"/>
                <w:sz w:val="18"/>
                <w:szCs w:val="18"/>
                <w:color w:val="auto"/>
              </w:rPr>
              <w:t>Exclusive 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INDEMNIFICATION AND REMEDIES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of Breach (</w:t>
            </w:r>
            <w:r>
              <w:rPr>
                <w:rFonts w:ascii="Arial" w:cs="Arial" w:eastAsia="Arial" w:hAnsi="Arial"/>
                <w:sz w:val="18"/>
                <w:szCs w:val="18"/>
                <w:i w:val="1"/>
                <w:iCs w:val="1"/>
                <w:color w:val="auto"/>
              </w:rPr>
              <w:t>Rügefrist</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8.2</w:t>
            </w:r>
          </w:p>
        </w:tc>
        <w:tc>
          <w:tcPr>
            <w:tcW w:w="8160" w:type="dxa"/>
            <w:vAlign w:val="bottom"/>
          </w:tcPr>
          <w:p>
            <w:pPr>
              <w:ind w:left="60"/>
              <w:spacing w:after="0"/>
              <w:rPr>
                <w:sz w:val="20"/>
                <w:szCs w:val="20"/>
                <w:color w:val="auto"/>
              </w:rPr>
            </w:pPr>
            <w:r>
              <w:rPr>
                <w:rFonts w:ascii="Arial" w:cs="Arial" w:eastAsia="Arial" w:hAnsi="Arial"/>
                <w:sz w:val="18"/>
                <w:szCs w:val="18"/>
                <w:color w:val="auto"/>
              </w:rPr>
              <w:t>Time Limitations on Claims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8.3</w:t>
            </w:r>
          </w:p>
        </w:tc>
        <w:tc>
          <w:tcPr>
            <w:tcW w:w="8160" w:type="dxa"/>
            <w:vAlign w:val="bottom"/>
          </w:tcPr>
          <w:p>
            <w:pPr>
              <w:ind w:left="60"/>
              <w:spacing w:after="0"/>
              <w:rPr>
                <w:sz w:val="20"/>
                <w:szCs w:val="20"/>
                <w:color w:val="auto"/>
              </w:rPr>
            </w:pPr>
            <w:r>
              <w:rPr>
                <w:rFonts w:ascii="Arial" w:cs="Arial" w:eastAsia="Arial" w:hAnsi="Arial"/>
                <w:sz w:val="18"/>
                <w:szCs w:val="18"/>
                <w:color w:val="auto"/>
              </w:rPr>
              <w:t>Remedies for the Investors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8.4</w:t>
            </w:r>
          </w:p>
        </w:tc>
        <w:tc>
          <w:tcPr>
            <w:tcW w:w="8160" w:type="dxa"/>
            <w:vAlign w:val="bottom"/>
          </w:tcPr>
          <w:p>
            <w:pPr>
              <w:ind w:left="60"/>
              <w:spacing w:after="0"/>
              <w:rPr>
                <w:sz w:val="20"/>
                <w:szCs w:val="20"/>
                <w:color w:val="auto"/>
              </w:rPr>
            </w:pPr>
            <w:r>
              <w:rPr>
                <w:rFonts w:ascii="Arial" w:cs="Arial" w:eastAsia="Arial" w:hAnsi="Arial"/>
                <w:sz w:val="18"/>
                <w:szCs w:val="18"/>
                <w:color w:val="auto"/>
              </w:rPr>
              <w:t>Limitations on Liability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COVENANTS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9.1</w:t>
            </w:r>
          </w:p>
        </w:tc>
        <w:tc>
          <w:tcPr>
            <w:tcW w:w="8160" w:type="dxa"/>
            <w:vAlign w:val="bottom"/>
          </w:tcPr>
          <w:p>
            <w:pPr>
              <w:ind w:left="60"/>
              <w:spacing w:after="0"/>
              <w:rPr>
                <w:sz w:val="20"/>
                <w:szCs w:val="20"/>
                <w:color w:val="auto"/>
              </w:rPr>
            </w:pPr>
            <w:r>
              <w:rPr>
                <w:rFonts w:ascii="Arial" w:cs="Arial" w:eastAsia="Arial" w:hAnsi="Arial"/>
                <w:sz w:val="18"/>
                <w:szCs w:val="18"/>
                <w:color w:val="auto"/>
              </w:rPr>
              <w:t>Issuance of New Shares and Registration in the Share Register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9.2</w:t>
            </w:r>
          </w:p>
        </w:tc>
        <w:tc>
          <w:tcPr>
            <w:tcW w:w="8160" w:type="dxa"/>
            <w:vAlign w:val="bottom"/>
          </w:tcPr>
          <w:p>
            <w:pPr>
              <w:ind w:left="60"/>
              <w:spacing w:after="0"/>
              <w:rPr>
                <w:sz w:val="20"/>
                <w:szCs w:val="20"/>
                <w:color w:val="auto"/>
              </w:rPr>
            </w:pPr>
            <w:r>
              <w:rPr>
                <w:rFonts w:ascii="Arial" w:cs="Arial" w:eastAsia="Arial" w:hAnsi="Arial"/>
                <w:sz w:val="18"/>
                <w:szCs w:val="18"/>
                <w:color w:val="auto"/>
              </w:rPr>
              <w:t>Information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NATURE OF PARTIES’ RIGHTS AND OBLIGATIONS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w:t>
            </w:r>
          </w:p>
        </w:tc>
        <w:tc>
          <w:tcPr>
            <w:tcW w:w="81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11.2</w:t>
            </w:r>
          </w:p>
        </w:tc>
        <w:tc>
          <w:tcPr>
            <w:tcW w:w="8160" w:type="dxa"/>
            <w:vAlign w:val="bottom"/>
          </w:tcPr>
          <w:p>
            <w:pPr>
              <w:ind w:left="60"/>
              <w:spacing w:after="0"/>
              <w:rPr>
                <w:sz w:val="20"/>
                <w:szCs w:val="20"/>
                <w:color w:val="auto"/>
              </w:rPr>
            </w:pPr>
            <w:r>
              <w:rPr>
                <w:rFonts w:ascii="Arial" w:cs="Arial" w:eastAsia="Arial" w:hAnsi="Arial"/>
                <w:sz w:val="18"/>
                <w:szCs w:val="18"/>
                <w:color w:val="auto"/>
              </w:rPr>
              <w:t>Successors and Assignment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11.3</w:t>
            </w:r>
          </w:p>
        </w:tc>
        <w:tc>
          <w:tcPr>
            <w:tcW w:w="8160" w:type="dxa"/>
            <w:vAlign w:val="bottom"/>
          </w:tcPr>
          <w:p>
            <w:pPr>
              <w:ind w:left="60"/>
              <w:spacing w:after="0"/>
              <w:rPr>
                <w:sz w:val="20"/>
                <w:szCs w:val="20"/>
                <w:color w:val="auto"/>
              </w:rPr>
            </w:pPr>
            <w:r>
              <w:rPr>
                <w:rFonts w:ascii="Arial" w:cs="Arial" w:eastAsia="Arial" w:hAnsi="Arial"/>
                <w:sz w:val="18"/>
                <w:szCs w:val="18"/>
                <w:color w:val="auto"/>
              </w:rPr>
              <w:t>Costs and Expenses, Taxes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11.4</w:t>
            </w:r>
          </w:p>
        </w:tc>
        <w:tc>
          <w:tcPr>
            <w:tcW w:w="8160" w:type="dxa"/>
            <w:vAlign w:val="bottom"/>
          </w:tcPr>
          <w:p>
            <w:pPr>
              <w:ind w:left="6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11.5</w:t>
            </w:r>
          </w:p>
        </w:tc>
        <w:tc>
          <w:tcPr>
            <w:tcW w:w="81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11.6</w:t>
            </w:r>
          </w:p>
        </w:tc>
        <w:tc>
          <w:tcPr>
            <w:tcW w:w="81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8160" w:type="dxa"/>
            <w:vAlign w:val="bottom"/>
          </w:tcPr>
          <w:p>
            <w:pPr>
              <w:ind w:left="60"/>
              <w:spacing w:after="0"/>
              <w:rPr>
                <w:sz w:val="20"/>
                <w:szCs w:val="20"/>
                <w:color w:val="auto"/>
              </w:rPr>
            </w:pPr>
            <w:r>
              <w:rPr>
                <w:rFonts w:ascii="Arial" w:cs="Arial" w:eastAsia="Arial" w:hAnsi="Arial"/>
                <w:sz w:val="18"/>
                <w:szCs w:val="18"/>
                <w:color w:val="auto"/>
              </w:rPr>
              <w:t>Termination at IPO and Survival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11.8</w:t>
            </w:r>
          </w:p>
        </w:tc>
        <w:tc>
          <w:tcPr>
            <w:tcW w:w="81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11.9</w:t>
            </w:r>
          </w:p>
        </w:tc>
        <w:tc>
          <w:tcPr>
            <w:tcW w:w="8160" w:type="dxa"/>
            <w:vAlign w:val="bottom"/>
          </w:tcPr>
          <w:p>
            <w:pPr>
              <w:ind w:left="60"/>
              <w:spacing w:after="0"/>
              <w:rPr>
                <w:sz w:val="20"/>
                <w:szCs w:val="20"/>
                <w:color w:val="auto"/>
              </w:rPr>
            </w:pPr>
            <w:r>
              <w:rPr>
                <w:rFonts w:ascii="Arial" w:cs="Arial" w:eastAsia="Arial" w:hAnsi="Arial"/>
                <w:sz w:val="18"/>
                <w:szCs w:val="18"/>
                <w:color w:val="auto"/>
              </w:rPr>
              <w:t>Waiver of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11.10</w:t>
            </w:r>
          </w:p>
        </w:tc>
        <w:tc>
          <w:tcPr>
            <w:tcW w:w="8160" w:type="dxa"/>
            <w:vAlign w:val="bottom"/>
          </w:tcPr>
          <w:p>
            <w:pPr>
              <w:ind w:left="60"/>
              <w:spacing w:after="0"/>
              <w:rPr>
                <w:sz w:val="20"/>
                <w:szCs w:val="20"/>
                <w:color w:val="auto"/>
              </w:rPr>
            </w:pPr>
            <w:r>
              <w:rPr>
                <w:rFonts w:ascii="Arial" w:cs="Arial" w:eastAsia="Arial" w:hAnsi="Arial"/>
                <w:sz w:val="18"/>
                <w:szCs w:val="18"/>
                <w:color w:val="auto"/>
              </w:rPr>
              <w:t>Announcement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11.11</w:t>
            </w:r>
          </w:p>
        </w:tc>
        <w:tc>
          <w:tcPr>
            <w:tcW w:w="81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11.12</w:t>
            </w:r>
          </w:p>
        </w:tc>
        <w:tc>
          <w:tcPr>
            <w:tcW w:w="8160" w:type="dxa"/>
            <w:vAlign w:val="bottom"/>
          </w:tcPr>
          <w:p>
            <w:pPr>
              <w:ind w:left="60"/>
              <w:spacing w:after="0"/>
              <w:rPr>
                <w:sz w:val="20"/>
                <w:szCs w:val="20"/>
                <w:color w:val="auto"/>
              </w:rPr>
            </w:pPr>
            <w:r>
              <w:rPr>
                <w:rFonts w:ascii="Arial" w:cs="Arial" w:eastAsia="Arial" w:hAnsi="Arial"/>
                <w:sz w:val="18"/>
                <w:szCs w:val="18"/>
                <w:color w:val="auto"/>
              </w:rPr>
              <w:t>Applicable Law</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11.13</w:t>
            </w:r>
          </w:p>
        </w:tc>
        <w:tc>
          <w:tcPr>
            <w:tcW w:w="816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Annexes 23</w:t>
      </w:r>
    </w:p>
    <w:p>
      <w:pPr>
        <w:sectPr>
          <w:pgSz w:w="11900" w:h="16838" w:orient="portrait"/>
          <w:cols w:equalWidth="0" w:num="1">
            <w:col w:w="11420"/>
          </w:cols>
          <w:pgMar w:left="240" w:top="274" w:right="239" w:bottom="1036" w:gutter="0" w:footer="0" w:header="0"/>
        </w:sectPr>
      </w:pPr>
    </w:p>
    <w:bookmarkStart w:id="559" w:name="page560"/>
    <w:bookmarkEnd w:id="559"/>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Company intends to increase its share capital in a fifth round of financing (the “</w:t>
      </w:r>
      <w:r>
        <w:rPr>
          <w:rFonts w:ascii="Arial" w:cs="Arial" w:eastAsia="Arial" w:hAnsi="Arial"/>
          <w:sz w:val="18"/>
          <w:szCs w:val="18"/>
          <w:b w:val="1"/>
          <w:bCs w:val="1"/>
          <w:color w:val="auto"/>
        </w:rPr>
        <w:t>Series E Financing Round</w:t>
      </w:r>
      <w:r>
        <w:rPr>
          <w:rFonts w:ascii="Arial" w:cs="Arial" w:eastAsia="Arial" w:hAnsi="Arial"/>
          <w:sz w:val="18"/>
          <w:szCs w:val="18"/>
          <w:color w:val="auto"/>
        </w:rPr>
        <w:t>”) by way of issuance of up to 20’536 Series E Preferred Shares in the Company with a nominal value of CHF 5.00 per Series E Preferred Share, each to be fully paid-in in cash, thereby increasing the issued share capital of the Company by a nominal amount of up to CHF 102’680.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Parties wish to determine their respective rights and obligations in relation to the Investors’ investment in the Company and the subscription and issuance of new Series E Preferred Shares in the Company in this Subscription Agreement and its Annexes and Appendices.</w:t>
      </w:r>
    </w:p>
    <w:p>
      <w:pPr>
        <w:spacing w:after="0" w:line="315" w:lineRule="exact"/>
        <w:rPr>
          <w:sz w:val="20"/>
          <w:szCs w:val="20"/>
          <w:color w:val="auto"/>
        </w:rPr>
      </w:pPr>
    </w:p>
    <w:p>
      <w:pPr>
        <w:ind w:left="680" w:hanging="672"/>
        <w:spacing w:after="0"/>
        <w:tabs>
          <w:tab w:leader="none" w:pos="68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purposes of this Subscription Agreement (including the introductory paragraphs and the Appendices), capitalized terms shall have the meanings as follows or, if not defined herein, in the Shareholders’ Agreement):</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Articles of Association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means the Articles of Association of the Company substantially in the form of </w:t>
      </w:r>
      <w:r>
        <w:rPr>
          <w:rFonts w:ascii="Arial" w:cs="Arial" w:eastAsia="Arial" w:hAnsi="Arial"/>
          <w:sz w:val="16"/>
          <w:szCs w:val="16"/>
          <w:b w:val="1"/>
          <w:bCs w:val="1"/>
          <w:color w:val="auto"/>
        </w:rPr>
        <w:t>Annex 2.2,</w:t>
      </w:r>
      <w:r>
        <w:rPr>
          <w:rFonts w:ascii="Arial" w:cs="Arial" w:eastAsia="Arial" w:hAnsi="Arial"/>
          <w:sz w:val="16"/>
          <w:szCs w:val="16"/>
          <w:color w:val="auto"/>
        </w:rPr>
        <w:t xml:space="preserve"> as amended from time to time.</w:t>
      </w:r>
    </w:p>
    <w:p>
      <w:pPr>
        <w:spacing w:after="0" w:line="140"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Basket 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8.4.</w:t>
      </w:r>
    </w:p>
    <w:p>
      <w:pPr>
        <w:spacing w:after="0" w:line="136"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Blocked Capital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3.2.</w:t>
      </w:r>
    </w:p>
    <w:p>
      <w:pPr>
        <w:spacing w:after="0" w:line="136"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6"/>
          <w:szCs w:val="16"/>
          <w:color w:val="auto"/>
        </w:rPr>
        <w:t>means the Company’s board of directors as the same shall be constituted from time to time.</w:t>
      </w:r>
    </w:p>
    <w:p>
      <w:pPr>
        <w:spacing w:after="0" w:line="136"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Swiss Code of Obligations dated 30 March 1911 as amended from time to time.</w:t>
      </w:r>
    </w:p>
    <w:p>
      <w:pPr>
        <w:spacing w:after="0" w:line="135"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Common Shares</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shall mean the existing 35,034 restricted common shares (</w:t>
      </w:r>
      <w:r>
        <w:rPr>
          <w:rFonts w:ascii="Arial" w:cs="Arial" w:eastAsia="Arial" w:hAnsi="Arial"/>
          <w:sz w:val="18"/>
          <w:szCs w:val="18"/>
          <w:i w:val="1"/>
          <w:iCs w:val="1"/>
          <w:color w:val="auto"/>
        </w:rPr>
        <w:t>vinkulierte Namenaktien / actions nominatives avec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with a nominal value of CHF 5.00 each per Common Share, and having the transfer restrictions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Articles of Association.</w:t>
      </w:r>
    </w:p>
    <w:p>
      <w:pPr>
        <w:spacing w:after="0" w:line="69"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the introduction of this Subscription Agreement.</w:t>
      </w:r>
    </w:p>
    <w:p>
      <w:pPr>
        <w:sectPr>
          <w:pgSz w:w="11900" w:h="16838" w:orient="portrait"/>
          <w:cols w:equalWidth="0" w:num="2">
            <w:col w:w="1920" w:space="720"/>
            <w:col w:w="8780"/>
          </w:cols>
          <w:pgMar w:left="240" w:top="274" w:right="239" w:bottom="1440" w:gutter="0" w:footer="0" w:header="0"/>
          <w:type w:val="continuous"/>
        </w:sectPr>
      </w:pPr>
    </w:p>
    <w:bookmarkStart w:id="560" w:name="page561"/>
    <w:bookmarkEnd w:id="560"/>
    <w:tbl>
      <w:tblPr>
        <w:tblLayout w:type="fixed"/>
        <w:tblInd w:w="0" w:type="dxa"/>
        <w:tblCellMar>
          <w:top w:w="0" w:type="dxa"/>
          <w:left w:w="0" w:type="dxa"/>
          <w:bottom w:w="0" w:type="dxa"/>
          <w:right w:w="0" w:type="dxa"/>
        </w:tblCellMar>
      </w:tblPr>
      <w:tr>
        <w:trPr>
          <w:trHeight w:val="230"/>
        </w:trPr>
        <w:tc>
          <w:tcPr>
            <w:tcW w:w="1110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6"/>
        </w:trPr>
        <w:tc>
          <w:tcPr>
            <w:tcW w:w="2520" w:type="dxa"/>
            <w:vAlign w:val="bottom"/>
          </w:tcPr>
          <w:p>
            <w:pPr>
              <w:spacing w:after="0"/>
              <w:rPr>
                <w:sz w:val="20"/>
                <w:szCs w:val="20"/>
                <w:color w:val="auto"/>
              </w:rPr>
            </w:pPr>
            <w:r>
              <w:rPr>
                <w:rFonts w:ascii="Arial" w:cs="Arial" w:eastAsia="Arial" w:hAnsi="Arial"/>
                <w:sz w:val="18"/>
                <w:szCs w:val="18"/>
                <w:b w:val="1"/>
                <w:bCs w:val="1"/>
                <w:color w:val="auto"/>
              </w:rPr>
              <w:t>Compensatory Capital</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8.3.</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Increase</w:t>
            </w:r>
          </w:p>
        </w:tc>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rPr>
              <w:t>Debt Repayment Triggering</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7.</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Event</w:t>
            </w:r>
          </w:p>
        </w:tc>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Defaulting Party</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10.</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Environmental Laws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21.</w:t>
            </w:r>
          </w:p>
        </w:tc>
        <w:tc>
          <w:tcPr>
            <w:tcW w:w="320" w:type="dxa"/>
            <w:vAlign w:val="bottom"/>
          </w:tcPr>
          <w:p>
            <w:pPr>
              <w:spacing w:after="0"/>
              <w:rPr>
                <w:sz w:val="24"/>
                <w:szCs w:val="24"/>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rPr>
              <w:t>Extraordinary General</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3.3(a).</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Meeting</w:t>
            </w:r>
          </w:p>
        </w:tc>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FCPA</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22.</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FDA</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16.</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13.</w:t>
            </w:r>
          </w:p>
        </w:tc>
        <w:tc>
          <w:tcPr>
            <w:tcW w:w="320" w:type="dxa"/>
            <w:vAlign w:val="bottom"/>
          </w:tcPr>
          <w:p>
            <w:pPr>
              <w:spacing w:after="0"/>
              <w:rPr>
                <w:sz w:val="24"/>
                <w:szCs w:val="24"/>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Full Consummation</w:t>
            </w:r>
          </w:p>
        </w:tc>
        <w:tc>
          <w:tcPr>
            <w:tcW w:w="8580" w:type="dxa"/>
            <w:vAlign w:val="bottom"/>
          </w:tcPr>
          <w:p>
            <w:pPr>
              <w:ind w:left="120"/>
              <w:spacing w:after="0"/>
              <w:rPr>
                <w:sz w:val="20"/>
                <w:szCs w:val="20"/>
                <w:color w:val="auto"/>
              </w:rPr>
            </w:pPr>
            <w:r>
              <w:rPr>
                <w:rFonts w:ascii="Arial" w:cs="Arial" w:eastAsia="Arial" w:hAnsi="Arial"/>
                <w:sz w:val="18"/>
                <w:szCs w:val="18"/>
                <w:color w:val="auto"/>
                <w:w w:val="93"/>
              </w:rPr>
              <w:t>shall mean that the Series E Preferred Shares issued in connection with the Series E Financing Round have been</w:t>
            </w:r>
          </w:p>
        </w:tc>
        <w:tc>
          <w:tcPr>
            <w:tcW w:w="320" w:type="dxa"/>
            <w:vAlign w:val="bottom"/>
          </w:tcPr>
          <w:p>
            <w:pPr>
              <w:spacing w:after="0"/>
              <w:rPr>
                <w:sz w:val="24"/>
                <w:szCs w:val="24"/>
                <w:color w:val="auto"/>
              </w:rPr>
            </w:pPr>
          </w:p>
        </w:tc>
      </w:tr>
      <w:tr>
        <w:trPr>
          <w:trHeight w:val="230"/>
        </w:trPr>
        <w:tc>
          <w:tcPr>
            <w:tcW w:w="2520" w:type="dxa"/>
            <w:vAlign w:val="bottom"/>
          </w:tcPr>
          <w:p>
            <w:pPr>
              <w:spacing w:after="0"/>
              <w:rPr>
                <w:sz w:val="20"/>
                <w:szCs w:val="20"/>
                <w:color w:val="auto"/>
              </w:rPr>
            </w:pPr>
          </w:p>
        </w:tc>
        <w:tc>
          <w:tcPr>
            <w:tcW w:w="8580" w:type="dxa"/>
            <w:vAlign w:val="bottom"/>
          </w:tcPr>
          <w:p>
            <w:pPr>
              <w:ind w:left="120"/>
              <w:spacing w:after="0"/>
              <w:rPr>
                <w:sz w:val="20"/>
                <w:szCs w:val="20"/>
                <w:color w:val="auto"/>
              </w:rPr>
            </w:pPr>
            <w:r>
              <w:rPr>
                <w:rFonts w:ascii="Arial" w:cs="Arial" w:eastAsia="Arial" w:hAnsi="Arial"/>
                <w:sz w:val="18"/>
                <w:szCs w:val="18"/>
                <w:color w:val="auto"/>
              </w:rPr>
              <w:t>registered in the commercial register in accordance with Section 5.3 of this Subscription Agreement.</w:t>
            </w: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Governmental Authority</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22.</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Intellectual Property Rights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9.</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320" w:type="dxa"/>
            <w:vAlign w:val="bottom"/>
          </w:tcPr>
          <w:p>
            <w:pPr>
              <w:spacing w:after="0"/>
              <w:rPr>
                <w:sz w:val="24"/>
                <w:szCs w:val="24"/>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 xml:space="preserve">knowledge </w:t>
            </w:r>
            <w:r>
              <w:rPr>
                <w:rFonts w:ascii="Arial" w:cs="Arial" w:eastAsia="Arial" w:hAnsi="Arial"/>
                <w:sz w:val="18"/>
                <w:szCs w:val="18"/>
                <w:color w:val="auto"/>
                <w:w w:val="96"/>
              </w:rPr>
              <w:t>including the phrase</w:t>
            </w:r>
          </w:p>
        </w:tc>
        <w:tc>
          <w:tcPr>
            <w:tcW w:w="8580" w:type="dxa"/>
            <w:vAlign w:val="bottom"/>
          </w:tcPr>
          <w:p>
            <w:pPr>
              <w:ind w:left="120"/>
              <w:spacing w:after="0"/>
              <w:rPr>
                <w:sz w:val="20"/>
                <w:szCs w:val="20"/>
                <w:color w:val="auto"/>
              </w:rPr>
            </w:pPr>
            <w:r>
              <w:rPr>
                <w:rFonts w:ascii="Arial" w:cs="Arial" w:eastAsia="Arial" w:hAnsi="Arial"/>
                <w:sz w:val="18"/>
                <w:szCs w:val="18"/>
                <w:color w:val="auto"/>
                <w:w w:val="93"/>
              </w:rPr>
              <w:t>shall mean the actual knowledge after reasonable investigation of the Chief Executive Officer, the Chief Scientific</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to the Company’s knowledge</w:t>
            </w:r>
            <w:r>
              <w:rPr>
                <w:rFonts w:ascii="Arial" w:cs="Arial" w:eastAsia="Arial" w:hAnsi="Arial"/>
                <w:sz w:val="18"/>
                <w:szCs w:val="18"/>
                <w:color w:val="auto"/>
                <w:w w:val="95"/>
              </w:rPr>
              <w:t>”</w:t>
            </w:r>
          </w:p>
        </w:tc>
        <w:tc>
          <w:tcPr>
            <w:tcW w:w="8580" w:type="dxa"/>
            <w:vAlign w:val="bottom"/>
          </w:tcPr>
          <w:p>
            <w:pPr>
              <w:ind w:left="120"/>
              <w:spacing w:after="0"/>
              <w:rPr>
                <w:sz w:val="20"/>
                <w:szCs w:val="20"/>
                <w:color w:val="auto"/>
              </w:rPr>
            </w:pPr>
            <w:r>
              <w:rPr>
                <w:rFonts w:ascii="Arial" w:cs="Arial" w:eastAsia="Arial" w:hAnsi="Arial"/>
                <w:sz w:val="18"/>
                <w:szCs w:val="18"/>
                <w:color w:val="auto"/>
              </w:rPr>
              <w:t>Officer and Chief Financial Officer of the Company.</w:t>
            </w: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Loss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8.3.</w:t>
            </w:r>
          </w:p>
        </w:tc>
        <w:tc>
          <w:tcPr>
            <w:tcW w:w="320" w:type="dxa"/>
            <w:vAlign w:val="bottom"/>
          </w:tcPr>
          <w:p>
            <w:pPr>
              <w:spacing w:after="0"/>
              <w:rPr>
                <w:sz w:val="24"/>
                <w:szCs w:val="24"/>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Material Adverse Effect</w:t>
            </w:r>
          </w:p>
        </w:tc>
        <w:tc>
          <w:tcPr>
            <w:tcW w:w="8580" w:type="dxa"/>
            <w:vAlign w:val="bottom"/>
          </w:tcPr>
          <w:p>
            <w:pPr>
              <w:ind w:left="120"/>
              <w:spacing w:after="0"/>
              <w:rPr>
                <w:sz w:val="20"/>
                <w:szCs w:val="20"/>
                <w:color w:val="auto"/>
              </w:rPr>
            </w:pPr>
            <w:r>
              <w:rPr>
                <w:rFonts w:ascii="Arial" w:cs="Arial" w:eastAsia="Arial" w:hAnsi="Arial"/>
                <w:sz w:val="18"/>
                <w:szCs w:val="18"/>
                <w:color w:val="auto"/>
                <w:w w:val="92"/>
              </w:rPr>
              <w:t>means a material adverse effect on the business, assets (including intangible assets), liabilities, financial condition,</w:t>
            </w:r>
          </w:p>
        </w:tc>
        <w:tc>
          <w:tcPr>
            <w:tcW w:w="320" w:type="dxa"/>
            <w:vAlign w:val="bottom"/>
          </w:tcPr>
          <w:p>
            <w:pPr>
              <w:spacing w:after="0"/>
              <w:rPr>
                <w:sz w:val="24"/>
                <w:szCs w:val="24"/>
                <w:color w:val="auto"/>
              </w:rPr>
            </w:pPr>
          </w:p>
        </w:tc>
      </w:tr>
      <w:tr>
        <w:trPr>
          <w:trHeight w:val="230"/>
        </w:trPr>
        <w:tc>
          <w:tcPr>
            <w:tcW w:w="2520" w:type="dxa"/>
            <w:vAlign w:val="bottom"/>
          </w:tcPr>
          <w:p>
            <w:pPr>
              <w:spacing w:after="0"/>
              <w:rPr>
                <w:sz w:val="20"/>
                <w:szCs w:val="20"/>
                <w:color w:val="auto"/>
              </w:rPr>
            </w:pPr>
          </w:p>
        </w:tc>
        <w:tc>
          <w:tcPr>
            <w:tcW w:w="8580" w:type="dxa"/>
            <w:vAlign w:val="bottom"/>
          </w:tcPr>
          <w:p>
            <w:pPr>
              <w:ind w:left="120"/>
              <w:spacing w:after="0"/>
              <w:rPr>
                <w:sz w:val="20"/>
                <w:szCs w:val="20"/>
                <w:color w:val="auto"/>
              </w:rPr>
            </w:pPr>
            <w:r>
              <w:rPr>
                <w:rFonts w:ascii="Arial" w:cs="Arial" w:eastAsia="Arial" w:hAnsi="Arial"/>
                <w:sz w:val="18"/>
                <w:szCs w:val="18"/>
                <w:color w:val="auto"/>
              </w:rPr>
              <w:t>property or results of operations of the Company.</w:t>
            </w: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OFAC</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23.</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Official</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22.</w:t>
            </w: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61" w:name="page562"/>
    <w:bookmarkEnd w:id="561"/>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5</w:t>
            </w:r>
          </w:p>
        </w:tc>
      </w:tr>
      <w:tr>
        <w:trPr>
          <w:trHeight w:val="473"/>
        </w:trPr>
        <w:tc>
          <w:tcPr>
            <w:tcW w:w="2520" w:type="dxa"/>
            <w:vAlign w:val="bottom"/>
          </w:tcPr>
          <w:p>
            <w:pPr>
              <w:spacing w:after="0"/>
              <w:rPr>
                <w:sz w:val="20"/>
                <w:szCs w:val="20"/>
                <w:color w:val="auto"/>
              </w:rPr>
            </w:pPr>
            <w:r>
              <w:rPr>
                <w:rFonts w:ascii="Arial" w:cs="Arial" w:eastAsia="Arial" w:hAnsi="Arial"/>
                <w:sz w:val="18"/>
                <w:szCs w:val="18"/>
                <w:b w:val="1"/>
                <w:bCs w:val="1"/>
                <w:color w:val="auto"/>
              </w:rPr>
              <w:t>Party or Parties</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Permits</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20.</w:t>
            </w:r>
          </w:p>
        </w:tc>
        <w:tc>
          <w:tcPr>
            <w:tcW w:w="100" w:type="dxa"/>
            <w:vAlign w:val="bottom"/>
          </w:tcPr>
          <w:p>
            <w:pPr>
              <w:spacing w:after="0"/>
              <w:rPr>
                <w:sz w:val="24"/>
                <w:szCs w:val="24"/>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w w:val="94"/>
              </w:rPr>
              <w:t>Registration Rights Agreement</w:t>
            </w:r>
          </w:p>
        </w:tc>
        <w:tc>
          <w:tcPr>
            <w:tcW w:w="8800" w:type="dxa"/>
            <w:vAlign w:val="bottom"/>
          </w:tcPr>
          <w:p>
            <w:pPr>
              <w:ind w:left="120"/>
              <w:spacing w:after="0"/>
              <w:rPr>
                <w:sz w:val="20"/>
                <w:szCs w:val="20"/>
                <w:color w:val="auto"/>
              </w:rPr>
            </w:pPr>
            <w:r>
              <w:rPr>
                <w:rFonts w:ascii="Arial" w:cs="Arial" w:eastAsia="Arial" w:hAnsi="Arial"/>
                <w:sz w:val="18"/>
                <w:szCs w:val="18"/>
                <w:color w:val="auto"/>
                <w:w w:val="89"/>
              </w:rPr>
              <w:t>means the agreement among the Company and certain shareholders of the Company dated as of the date of the Closing,</w:t>
            </w:r>
          </w:p>
        </w:tc>
        <w:tc>
          <w:tcPr>
            <w:tcW w:w="10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 xml:space="preserve">in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attached to this Subscription Agreement.</w:t>
            </w:r>
          </w:p>
        </w:tc>
        <w:tc>
          <w:tcPr>
            <w:tcW w:w="10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Regulatory Agencies</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16.</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w w:val="92"/>
              </w:rPr>
              <w:t>Revised Articles of Association</w:t>
            </w:r>
          </w:p>
        </w:tc>
        <w:tc>
          <w:tcPr>
            <w:tcW w:w="8800" w:type="dxa"/>
            <w:vAlign w:val="bottom"/>
          </w:tcPr>
          <w:p>
            <w:pPr>
              <w:ind w:left="120"/>
              <w:spacing w:after="0"/>
              <w:rPr>
                <w:sz w:val="20"/>
                <w:szCs w:val="20"/>
                <w:color w:val="auto"/>
              </w:rPr>
            </w:pPr>
            <w:r>
              <w:rPr>
                <w:rFonts w:ascii="Arial" w:cs="Arial" w:eastAsia="Arial" w:hAnsi="Arial"/>
                <w:sz w:val="18"/>
                <w:szCs w:val="18"/>
                <w:color w:val="auto"/>
                <w:w w:val="95"/>
              </w:rPr>
              <w:t xml:space="preserve">means the Articles of Association of the Company to be adopted at Closing substantially in the form of </w:t>
            </w:r>
            <w:r>
              <w:rPr>
                <w:rFonts w:ascii="Arial" w:cs="Arial" w:eastAsia="Arial" w:hAnsi="Arial"/>
                <w:sz w:val="18"/>
                <w:szCs w:val="18"/>
                <w:b w:val="1"/>
                <w:bCs w:val="1"/>
                <w:color w:val="auto"/>
                <w:w w:val="95"/>
              </w:rPr>
              <w:t>Annex 3.3.</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means the United States Securities Act of 1933, as amended, and the rules and regulations promulgated thereunder.</w:t>
            </w:r>
          </w:p>
        </w:tc>
        <w:tc>
          <w:tcPr>
            <w:tcW w:w="100" w:type="dxa"/>
            <w:vAlign w:val="bottom"/>
          </w:tcPr>
          <w:p>
            <w:pPr>
              <w:spacing w:after="0"/>
              <w:rPr>
                <w:sz w:val="24"/>
                <w:szCs w:val="24"/>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A Preferred Shares</w:t>
            </w:r>
          </w:p>
        </w:tc>
        <w:tc>
          <w:tcPr>
            <w:tcW w:w="8800" w:type="dxa"/>
            <w:vAlign w:val="bottom"/>
          </w:tcPr>
          <w:p>
            <w:pPr>
              <w:ind w:left="120"/>
              <w:spacing w:after="0"/>
              <w:rPr>
                <w:sz w:val="20"/>
                <w:szCs w:val="20"/>
                <w:color w:val="auto"/>
              </w:rPr>
            </w:pPr>
            <w:r>
              <w:rPr>
                <w:rFonts w:ascii="Arial" w:cs="Arial" w:eastAsia="Arial" w:hAnsi="Arial"/>
                <w:sz w:val="18"/>
                <w:szCs w:val="18"/>
                <w:color w:val="auto"/>
                <w:w w:val="90"/>
              </w:rPr>
              <w:t>shall mean the existing 14’152 Series A preferred shares (</w:t>
            </w:r>
            <w:r>
              <w:rPr>
                <w:rFonts w:ascii="Arial" w:cs="Arial" w:eastAsia="Arial" w:hAnsi="Arial"/>
                <w:sz w:val="18"/>
                <w:szCs w:val="18"/>
                <w:i w:val="1"/>
                <w:iCs w:val="1"/>
                <w:color w:val="auto"/>
                <w:w w:val="90"/>
              </w:rPr>
              <w:t>Vorzugsaktien der Serie A / actions privilégiées série A)</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0"/>
              </w:rPr>
              <w:t>nominal value of CHF 5.00 each per Series A Preferred Share, and having the preference rights set forth in the Articles of</w:t>
            </w: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B Preferred Shares</w:t>
            </w: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1"/>
              </w:rPr>
              <w:t>shall mean the 67’130 Series B preferred shares (</w:t>
            </w:r>
            <w:r>
              <w:rPr>
                <w:rFonts w:ascii="Arial" w:cs="Arial" w:eastAsia="Arial" w:hAnsi="Arial"/>
                <w:sz w:val="18"/>
                <w:szCs w:val="18"/>
                <w:i w:val="1"/>
                <w:iCs w:val="1"/>
                <w:color w:val="auto"/>
                <w:w w:val="91"/>
              </w:rPr>
              <w:t>Vorzugsaktien der Serie B / actions privilégiées série B)</w:t>
            </w:r>
            <w:r>
              <w:rPr>
                <w:rFonts w:ascii="Arial" w:cs="Arial" w:eastAsia="Arial" w:hAnsi="Arial"/>
                <w:sz w:val="18"/>
                <w:szCs w:val="18"/>
                <w:color w:val="auto"/>
                <w:w w:val="91"/>
              </w:rPr>
              <w:t xml:space="preserve"> with a nominal</w:t>
            </w:r>
          </w:p>
        </w:tc>
      </w:tr>
      <w:tr>
        <w:trPr>
          <w:trHeight w:val="216"/>
        </w:trPr>
        <w:tc>
          <w:tcPr>
            <w:tcW w:w="2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value of CHF 5.00 each per Series B Preferred Share, and having the preference rights set forth in the Articles of</w:t>
            </w:r>
          </w:p>
        </w:tc>
        <w:tc>
          <w:tcPr>
            <w:tcW w:w="1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C Preferred Shares</w:t>
            </w: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0"/>
              </w:rPr>
              <w:t>shall mean the 38’476 Series C preferred shares (</w:t>
            </w:r>
            <w:r>
              <w:rPr>
                <w:rFonts w:ascii="Arial" w:cs="Arial" w:eastAsia="Arial" w:hAnsi="Arial"/>
                <w:sz w:val="18"/>
                <w:szCs w:val="18"/>
                <w:i w:val="1"/>
                <w:iCs w:val="1"/>
                <w:color w:val="auto"/>
                <w:w w:val="90"/>
              </w:rPr>
              <w:t>Vorzugsaktien der Serie C / actions privilégiées série C)</w:t>
            </w:r>
            <w:r>
              <w:rPr>
                <w:rFonts w:ascii="Arial" w:cs="Arial" w:eastAsia="Arial" w:hAnsi="Arial"/>
                <w:sz w:val="18"/>
                <w:szCs w:val="18"/>
                <w:color w:val="auto"/>
                <w:w w:val="90"/>
              </w:rPr>
              <w:t xml:space="preserve"> with a nominal</w:t>
            </w:r>
          </w:p>
        </w:tc>
      </w:tr>
      <w:tr>
        <w:trPr>
          <w:trHeight w:val="216"/>
        </w:trPr>
        <w:tc>
          <w:tcPr>
            <w:tcW w:w="2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value of CHF 5.00 each per Series C Preferred Share, and having the preference rights set forth in the Articles of</w:t>
            </w:r>
          </w:p>
        </w:tc>
        <w:tc>
          <w:tcPr>
            <w:tcW w:w="1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D Preferred Shares</w:t>
            </w: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0"/>
              </w:rPr>
              <w:t>shall mean the 16’490 Series D preferred shares (</w:t>
            </w:r>
            <w:r>
              <w:rPr>
                <w:rFonts w:ascii="Arial" w:cs="Arial" w:eastAsia="Arial" w:hAnsi="Arial"/>
                <w:sz w:val="18"/>
                <w:szCs w:val="18"/>
                <w:i w:val="1"/>
                <w:iCs w:val="1"/>
                <w:color w:val="auto"/>
                <w:w w:val="90"/>
              </w:rPr>
              <w:t>Vorzugsaktien der Serie D / actions privilégiées série D)</w:t>
            </w:r>
            <w:r>
              <w:rPr>
                <w:rFonts w:ascii="Arial" w:cs="Arial" w:eastAsia="Arial" w:hAnsi="Arial"/>
                <w:sz w:val="18"/>
                <w:szCs w:val="18"/>
                <w:color w:val="auto"/>
                <w:w w:val="90"/>
              </w:rPr>
              <w:t xml:space="preserve"> with a nominal</w:t>
            </w:r>
          </w:p>
        </w:tc>
      </w:tr>
      <w:tr>
        <w:trPr>
          <w:trHeight w:val="216"/>
        </w:trPr>
        <w:tc>
          <w:tcPr>
            <w:tcW w:w="2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value of CHF 5.00 each per Series D Preferred Share, and having the preference rights set forth in the Articles of</w:t>
            </w:r>
          </w:p>
        </w:tc>
        <w:tc>
          <w:tcPr>
            <w:tcW w:w="1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E Financing Round</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Preamble.</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E Original Issue Price</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3.1.</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E Preferred Shares</w:t>
            </w:r>
          </w:p>
        </w:tc>
        <w:tc>
          <w:tcPr>
            <w:tcW w:w="8800" w:type="dxa"/>
            <w:vAlign w:val="bottom"/>
          </w:tcPr>
          <w:p>
            <w:pPr>
              <w:ind w:left="120"/>
              <w:spacing w:after="0"/>
              <w:rPr>
                <w:sz w:val="20"/>
                <w:szCs w:val="20"/>
                <w:color w:val="auto"/>
              </w:rPr>
            </w:pPr>
            <w:r>
              <w:rPr>
                <w:rFonts w:ascii="Arial" w:cs="Arial" w:eastAsia="Arial" w:hAnsi="Arial"/>
                <w:sz w:val="18"/>
                <w:szCs w:val="18"/>
                <w:color w:val="auto"/>
                <w:w w:val="92"/>
              </w:rPr>
              <w:t>shall mean the up to 4’150 Series E Preferred Shares (</w:t>
            </w:r>
            <w:r>
              <w:rPr>
                <w:rFonts w:ascii="Arial" w:cs="Arial" w:eastAsia="Arial" w:hAnsi="Arial"/>
                <w:sz w:val="18"/>
                <w:szCs w:val="18"/>
                <w:i w:val="1"/>
                <w:iCs w:val="1"/>
                <w:color w:val="auto"/>
                <w:w w:val="92"/>
              </w:rPr>
              <w:t>Vorzugsaktien der Serie E / actions privilégiées série E)</w:t>
            </w:r>
            <w:r>
              <w:rPr>
                <w:rFonts w:ascii="Arial" w:cs="Arial" w:eastAsia="Arial" w:hAnsi="Arial"/>
                <w:sz w:val="18"/>
                <w:szCs w:val="18"/>
                <w:color w:val="auto"/>
                <w:w w:val="92"/>
              </w:rPr>
              <w:t xml:space="preserve"> with a</w:t>
            </w: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62" w:name="page563"/>
    <w:bookmarkEnd w:id="562"/>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350"/>
        </w:trPr>
        <w:tc>
          <w:tcPr>
            <w:tcW w:w="2300" w:type="dxa"/>
            <w:vAlign w:val="bottom"/>
          </w:tcPr>
          <w:p>
            <w:pPr>
              <w:spacing w:after="0"/>
              <w:rPr>
                <w:sz w:val="24"/>
                <w:szCs w:val="24"/>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0"/>
              </w:rPr>
              <w:t>nominal value of CHF 5.00 each per Series E Preferred Share, each to be fully paid in pursuant the terms and conditions</w:t>
            </w:r>
          </w:p>
        </w:tc>
        <w:tc>
          <w:tcPr>
            <w:tcW w:w="100" w:type="dxa"/>
            <w:vAlign w:val="bottom"/>
          </w:tcPr>
          <w:p>
            <w:pPr>
              <w:spacing w:after="0"/>
              <w:rPr>
                <w:sz w:val="24"/>
                <w:szCs w:val="24"/>
                <w:color w:val="auto"/>
              </w:rPr>
            </w:pPr>
          </w:p>
        </w:tc>
      </w:tr>
      <w:tr>
        <w:trPr>
          <w:trHeight w:val="212"/>
        </w:trPr>
        <w:tc>
          <w:tcPr>
            <w:tcW w:w="230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1"/>
              </w:rPr>
              <w:t>set forth in the Subscription Agreement and having the preference rights set forth in the Revised Articles of Association</w:t>
            </w:r>
          </w:p>
        </w:tc>
        <w:tc>
          <w:tcPr>
            <w:tcW w:w="100" w:type="dxa"/>
            <w:vAlign w:val="bottom"/>
          </w:tcPr>
          <w:p>
            <w:pPr>
              <w:spacing w:after="0"/>
              <w:rPr>
                <w:sz w:val="18"/>
                <w:szCs w:val="18"/>
                <w:color w:val="auto"/>
              </w:rPr>
            </w:pPr>
          </w:p>
        </w:tc>
      </w:tr>
      <w:tr>
        <w:trPr>
          <w:trHeight w:val="220"/>
        </w:trPr>
        <w:tc>
          <w:tcPr>
            <w:tcW w:w="230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5"/>
              </w:rPr>
              <w:t xml:space="preserve">in </w:t>
            </w:r>
            <w:r>
              <w:rPr>
                <w:rFonts w:ascii="Arial" w:cs="Arial" w:eastAsia="Arial" w:hAnsi="Arial"/>
                <w:sz w:val="18"/>
                <w:szCs w:val="18"/>
                <w:b w:val="1"/>
                <w:bCs w:val="1"/>
                <w:color w:val="auto"/>
                <w:w w:val="95"/>
              </w:rPr>
              <w:t>Annex 3.3.</w:t>
            </w:r>
            <w:r>
              <w:rPr>
                <w:rFonts w:ascii="Arial" w:cs="Arial" w:eastAsia="Arial" w:hAnsi="Arial"/>
                <w:sz w:val="18"/>
                <w:szCs w:val="18"/>
                <w:color w:val="auto"/>
                <w:w w:val="95"/>
              </w:rPr>
              <w:t xml:space="preserve"> and any additional Series E Preferred Shares subscribed by an investor participating in the Series E</w:t>
            </w:r>
          </w:p>
        </w:tc>
        <w:tc>
          <w:tcPr>
            <w:tcW w:w="1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Financing Round.</w:t>
            </w:r>
          </w:p>
        </w:tc>
        <w:tc>
          <w:tcPr>
            <w:tcW w:w="100" w:type="dxa"/>
            <w:vAlign w:val="bottom"/>
          </w:tcPr>
          <w:p>
            <w:pPr>
              <w:spacing w:after="0"/>
              <w:rPr>
                <w:sz w:val="20"/>
                <w:szCs w:val="20"/>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Shareholder</w:t>
            </w:r>
          </w:p>
        </w:tc>
        <w:tc>
          <w:tcPr>
            <w:tcW w:w="9020" w:type="dxa"/>
            <w:vAlign w:val="bottom"/>
          </w:tcPr>
          <w:p>
            <w:pPr>
              <w:ind w:left="340"/>
              <w:spacing w:after="0"/>
              <w:rPr>
                <w:sz w:val="20"/>
                <w:szCs w:val="20"/>
                <w:color w:val="auto"/>
              </w:rPr>
            </w:pPr>
            <w:r>
              <w:rPr>
                <w:rFonts w:ascii="Arial" w:cs="Arial" w:eastAsia="Arial" w:hAnsi="Arial"/>
                <w:sz w:val="18"/>
                <w:szCs w:val="18"/>
                <w:color w:val="auto"/>
              </w:rPr>
              <w:t>means any shareholder of the Company which at any given time is a party to the Shareholders’ Agreement.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Shareholders’ Agreement</w:t>
            </w:r>
          </w:p>
        </w:tc>
        <w:tc>
          <w:tcPr>
            <w:tcW w:w="9020" w:type="dxa"/>
            <w:vAlign w:val="bottom"/>
          </w:tcPr>
          <w:p>
            <w:pPr>
              <w:ind w:left="340"/>
              <w:spacing w:after="0"/>
              <w:rPr>
                <w:sz w:val="20"/>
                <w:szCs w:val="20"/>
                <w:color w:val="auto"/>
              </w:rPr>
            </w:pPr>
            <w:r>
              <w:rPr>
                <w:rFonts w:ascii="Arial" w:cs="Arial" w:eastAsia="Arial" w:hAnsi="Arial"/>
                <w:sz w:val="18"/>
                <w:szCs w:val="18"/>
                <w:color w:val="auto"/>
              </w:rPr>
              <w:t xml:space="preserve">means the shareholders’ agreement regarding the Company dated 16 October 2015 in </w:t>
            </w:r>
            <w:r>
              <w:rPr>
                <w:rFonts w:ascii="Arial" w:cs="Arial" w:eastAsia="Arial" w:hAnsi="Arial"/>
                <w:sz w:val="18"/>
                <w:szCs w:val="18"/>
                <w:b w:val="1"/>
                <w:bCs w:val="1"/>
                <w:color w:val="auto"/>
              </w:rPr>
              <w:t>Annex 0</w:t>
            </w: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020" w:type="dxa"/>
            <w:vAlign w:val="bottom"/>
          </w:tcPr>
          <w:p>
            <w:pPr>
              <w:ind w:left="340"/>
              <w:spacing w:after="0"/>
              <w:rPr>
                <w:sz w:val="20"/>
                <w:szCs w:val="20"/>
                <w:color w:val="auto"/>
              </w:rPr>
            </w:pPr>
            <w:r>
              <w:rPr>
                <w:rFonts w:ascii="Arial" w:cs="Arial" w:eastAsia="Arial" w:hAnsi="Arial"/>
                <w:sz w:val="18"/>
                <w:szCs w:val="18"/>
                <w:color w:val="auto"/>
              </w:rPr>
              <w:t>shall mean any share of the Company</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Subscription Agreement</w:t>
            </w:r>
          </w:p>
        </w:tc>
        <w:tc>
          <w:tcPr>
            <w:tcW w:w="9020" w:type="dxa"/>
            <w:vAlign w:val="bottom"/>
          </w:tcPr>
          <w:p>
            <w:pPr>
              <w:ind w:left="340"/>
              <w:spacing w:after="0"/>
              <w:rPr>
                <w:sz w:val="20"/>
                <w:szCs w:val="20"/>
                <w:color w:val="auto"/>
              </w:rPr>
            </w:pPr>
            <w:r>
              <w:rPr>
                <w:rFonts w:ascii="Arial" w:cs="Arial" w:eastAsia="Arial" w:hAnsi="Arial"/>
                <w:sz w:val="18"/>
                <w:szCs w:val="18"/>
                <w:color w:val="auto"/>
              </w:rPr>
              <w:t>means this Subscription Agreement.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Subscription Form</w:t>
            </w:r>
          </w:p>
        </w:tc>
        <w:tc>
          <w:tcPr>
            <w:tcW w:w="9020" w:type="dxa"/>
            <w:vAlign w:val="bottom"/>
          </w:tcPr>
          <w:p>
            <w:pPr>
              <w:ind w:left="340"/>
              <w:spacing w:after="0"/>
              <w:rPr>
                <w:sz w:val="20"/>
                <w:szCs w:val="20"/>
                <w:color w:val="auto"/>
              </w:rPr>
            </w:pPr>
            <w:r>
              <w:rPr>
                <w:rFonts w:ascii="Arial" w:cs="Arial" w:eastAsia="Arial" w:hAnsi="Arial"/>
                <w:sz w:val="18"/>
                <w:szCs w:val="18"/>
                <w:color w:val="auto"/>
              </w:rPr>
              <w:t>shall have the meaning as defined in Section 3.2</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Tax Authority</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90"/>
              </w:rPr>
              <w:t>shall mean any governmental or other authority whatsoever competent to impose, collect or assess any Taxes, whether in</w:t>
            </w: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Switzerland or elsewhere.</w:t>
            </w:r>
          </w:p>
        </w:tc>
        <w:tc>
          <w:tcPr>
            <w:tcW w:w="10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9020" w:type="dxa"/>
            <w:vAlign w:val="bottom"/>
          </w:tcPr>
          <w:p>
            <w:pPr>
              <w:ind w:left="340"/>
              <w:spacing w:after="0"/>
              <w:rPr>
                <w:sz w:val="20"/>
                <w:szCs w:val="20"/>
                <w:color w:val="auto"/>
              </w:rPr>
            </w:pPr>
            <w:r>
              <w:rPr>
                <w:rFonts w:ascii="Arial" w:cs="Arial" w:eastAsia="Arial" w:hAnsi="Arial"/>
                <w:sz w:val="18"/>
                <w:szCs w:val="18"/>
                <w:color w:val="auto"/>
                <w:w w:val="93"/>
              </w:rPr>
              <w:t>shall mean all forms of taxation and statutory, governmental, state, federal, provincial, local, government or municipal</w:t>
            </w:r>
          </w:p>
        </w:tc>
        <w:tc>
          <w:tcPr>
            <w:tcW w:w="10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91"/>
              </w:rPr>
              <w:t>charges, duties, imposts, contributions, levies, withholdings or liabilities wherever chargeable and whether of Switzerland</w:t>
            </w:r>
          </w:p>
        </w:tc>
      </w:tr>
      <w:tr>
        <w:trPr>
          <w:trHeight w:val="216"/>
        </w:trPr>
        <w:tc>
          <w:tcPr>
            <w:tcW w:w="230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2"/>
              </w:rPr>
              <w:t>or any other jurisdiction, and any penalty, fine, surcharge, interest, charges or costs relating thereto or to any account,</w:t>
            </w: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3"/>
              </w:rPr>
              <w:t>record, form, return or computation required to be kept, preserved, maintained or submitted to any Tax Authority, and</w:t>
            </w:r>
          </w:p>
        </w:tc>
        <w:tc>
          <w:tcPr>
            <w:tcW w:w="10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Taxation shall have the same meaning.</w:t>
            </w:r>
          </w:p>
        </w:tc>
        <w:tc>
          <w:tcPr>
            <w:tcW w:w="10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Transaction Documents</w:t>
            </w:r>
          </w:p>
        </w:tc>
        <w:tc>
          <w:tcPr>
            <w:tcW w:w="9020" w:type="dxa"/>
            <w:vAlign w:val="bottom"/>
          </w:tcPr>
          <w:p>
            <w:pPr>
              <w:ind w:left="340"/>
              <w:spacing w:after="0"/>
              <w:rPr>
                <w:sz w:val="20"/>
                <w:szCs w:val="20"/>
                <w:color w:val="auto"/>
              </w:rPr>
            </w:pPr>
            <w:r>
              <w:rPr>
                <w:rFonts w:ascii="Arial" w:cs="Arial" w:eastAsia="Arial" w:hAnsi="Arial"/>
                <w:sz w:val="18"/>
                <w:szCs w:val="18"/>
                <w:color w:val="auto"/>
                <w:w w:val="98"/>
              </w:rPr>
              <w:t>shall mean, collectively, the Subscription Agreement, the Registration Rights Agreement and the Shareholders’</w:t>
            </w:r>
          </w:p>
        </w:tc>
        <w:tc>
          <w:tcPr>
            <w:tcW w:w="10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CURRENT EQUITY STRUCTURE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capital</w:t>
      </w:r>
    </w:p>
    <w:p>
      <w:pPr>
        <w:spacing w:after="0" w:line="117"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As at the date of this Subscription Agreement the Company has an issued statutory share capital in the nominal amount of CHF 853’900.00 divided into 34’532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92’010.00 corresponding to up to 18’402 Common Shares. The Company has no treasury shares.</w:t>
      </w:r>
    </w:p>
    <w:p>
      <w:pPr>
        <w:sectPr>
          <w:pgSz w:w="11900" w:h="16838" w:orient="portrait"/>
          <w:cols w:equalWidth="0" w:num="1">
            <w:col w:w="11420"/>
          </w:cols>
          <w:pgMar w:left="240" w:top="273" w:right="239" w:bottom="1440" w:gutter="0" w:footer="0" w:header="0"/>
        </w:sectPr>
      </w:pPr>
    </w:p>
    <w:bookmarkStart w:id="563" w:name="page564"/>
    <w:bookmarkEnd w:id="563"/>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Articles of Association</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 xml:space="preserve">The current Articles of Association (not yet reflecting the Series E Financing Round and not reflecting the exercise of 502 options in 2015) are enclosed as </w:t>
      </w:r>
      <w:r>
        <w:rPr>
          <w:rFonts w:ascii="Arial" w:cs="Arial" w:eastAsia="Arial" w:hAnsi="Arial"/>
          <w:sz w:val="18"/>
          <w:szCs w:val="18"/>
          <w:b w:val="1"/>
          <w:bCs w:val="1"/>
          <w:color w:val="auto"/>
        </w:rPr>
        <w:t>Annex 2.2</w:t>
      </w:r>
    </w:p>
    <w:p>
      <w:pPr>
        <w:spacing w:after="0" w:line="315" w:lineRule="exact"/>
        <w:rPr>
          <w:sz w:val="20"/>
          <w:szCs w:val="20"/>
          <w:color w:val="auto"/>
        </w:rPr>
      </w:pPr>
    </w:p>
    <w:p>
      <w:pPr>
        <w:ind w:left="680" w:hanging="672"/>
        <w:spacing w:after="0"/>
        <w:tabs>
          <w:tab w:leader="none" w:pos="68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SHARE CAPITAL (SERIES E FINANCING ROUND)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Subscription Undertaking</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Subject to the terms and conditions of this Subscription Agreement, the Company shall issue at Closing to V-Sciences a total of 4’150 Series E Preferred Shares with a nominal value of CHF 5.00 each.</w:t>
      </w:r>
    </w:p>
    <w:p>
      <w:pPr>
        <w:spacing w:after="0" w:line="62"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Subject to the terms and conditions of this Subscription Agreement, each Investor agrees, severally and not jointly, to subscribe Series E Preferred Shares at the signing of this Subscription Agreement, for an amount of USD 2’409.06 (in words: two thousand four hundred and nine point zero six U.S. Dollars) for each Series E Preferred Share (“</w:t>
      </w:r>
      <w:r>
        <w:rPr>
          <w:rFonts w:ascii="Arial" w:cs="Arial" w:eastAsia="Arial" w:hAnsi="Arial"/>
          <w:sz w:val="18"/>
          <w:szCs w:val="18"/>
          <w:b w:val="1"/>
          <w:bCs w:val="1"/>
          <w:color w:val="auto"/>
        </w:rPr>
        <w:t>Series E Original Issue Price</w:t>
      </w:r>
      <w:r>
        <w:rPr>
          <w:rFonts w:ascii="Arial" w:cs="Arial" w:eastAsia="Arial" w:hAnsi="Arial"/>
          <w:sz w:val="18"/>
          <w:szCs w:val="18"/>
          <w:color w:val="auto"/>
        </w:rPr>
        <w:t>”). The amount of USD 2’409.06 per share shall be payable at Closing whereby the amount exceeding the nominal value of the new Series E shares shall be booked as reserves from capital paid in (</w:t>
      </w:r>
      <w:r>
        <w:rPr>
          <w:rFonts w:ascii="Arial" w:cs="Arial" w:eastAsia="Arial" w:hAnsi="Arial"/>
          <w:sz w:val="18"/>
          <w:szCs w:val="18"/>
          <w:i w:val="1"/>
          <w:iCs w:val="1"/>
          <w:color w:val="auto"/>
        </w:rPr>
        <w:t>Kapitaleinlagereserven</w:t>
      </w:r>
      <w:r>
        <w:rPr>
          <w:rFonts w:ascii="Arial" w:cs="Arial" w:eastAsia="Arial" w:hAnsi="Arial"/>
          <w:sz w:val="18"/>
          <w:szCs w:val="18"/>
          <w:color w:val="auto"/>
        </w:rPr>
        <w:t>). The commitment by each Investor shall be as follows: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Party</w:t>
            </w: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Series E</w:t>
            </w:r>
          </w:p>
        </w:tc>
        <w:tc>
          <w:tcPr>
            <w:tcW w:w="5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Subscription amount</w:t>
            </w:r>
          </w:p>
        </w:tc>
        <w:tc>
          <w:tcPr>
            <w:tcW w:w="0" w:type="dxa"/>
            <w:vAlign w:val="bottom"/>
          </w:tcPr>
          <w:p>
            <w:pPr>
              <w:spacing w:after="0"/>
              <w:rPr>
                <w:sz w:val="1"/>
                <w:szCs w:val="1"/>
                <w:color w:val="auto"/>
              </w:rPr>
            </w:pPr>
          </w:p>
        </w:tc>
      </w:tr>
      <w:tr>
        <w:trPr>
          <w:trHeight w:val="178"/>
        </w:trPr>
        <w:tc>
          <w:tcPr>
            <w:tcW w:w="3180" w:type="dxa"/>
            <w:vAlign w:val="bottom"/>
            <w:gridSpan w:val="3"/>
            <w:vMerge w:val="continue"/>
          </w:tcPr>
          <w:p>
            <w:pPr>
              <w:spacing w:after="0"/>
              <w:rPr>
                <w:sz w:val="15"/>
                <w:szCs w:val="15"/>
                <w:color w:val="auto"/>
              </w:rPr>
            </w:pPr>
          </w:p>
        </w:tc>
        <w:tc>
          <w:tcPr>
            <w:tcW w:w="2100" w:type="dxa"/>
            <w:vAlign w:val="bottom"/>
          </w:tcPr>
          <w:p>
            <w:pPr>
              <w:spacing w:after="0"/>
              <w:rPr>
                <w:sz w:val="15"/>
                <w:szCs w:val="15"/>
                <w:color w:val="auto"/>
              </w:rPr>
            </w:pPr>
          </w:p>
        </w:tc>
        <w:tc>
          <w:tcPr>
            <w:tcW w:w="1200" w:type="dxa"/>
            <w:vAlign w:val="bottom"/>
          </w:tcPr>
          <w:p>
            <w:pPr>
              <w:jc w:val="right"/>
              <w:ind w:right="34"/>
              <w:spacing w:after="0" w:line="158" w:lineRule="exact"/>
              <w:rPr>
                <w:sz w:val="20"/>
                <w:szCs w:val="20"/>
                <w:color w:val="auto"/>
              </w:rPr>
            </w:pPr>
            <w:r>
              <w:rPr>
                <w:rFonts w:ascii="Arial" w:cs="Arial" w:eastAsia="Arial" w:hAnsi="Arial"/>
                <w:sz w:val="14"/>
                <w:szCs w:val="14"/>
                <w:b w:val="1"/>
                <w:bCs w:val="1"/>
                <w:color w:val="auto"/>
              </w:rPr>
              <w:t>Preferred Share</w:t>
            </w:r>
          </w:p>
        </w:tc>
        <w:tc>
          <w:tcPr>
            <w:tcW w:w="500" w:type="dxa"/>
            <w:vAlign w:val="bottom"/>
          </w:tcPr>
          <w:p>
            <w:pPr>
              <w:spacing w:after="0"/>
              <w:rPr>
                <w:sz w:val="15"/>
                <w:szCs w:val="15"/>
                <w:color w:val="auto"/>
              </w:rPr>
            </w:pP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Closing (in USD)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V-Sciences</w:t>
            </w:r>
          </w:p>
        </w:tc>
        <w:tc>
          <w:tcPr>
            <w:tcW w:w="2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4’150</w:t>
            </w:r>
          </w:p>
        </w:tc>
        <w:tc>
          <w:tcPr>
            <w:tcW w:w="5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9’997’599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 investors</w:t>
            </w:r>
          </w:p>
        </w:tc>
        <w:tc>
          <w:tcPr>
            <w:tcW w:w="2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Up to 16’386</w:t>
            </w:r>
          </w:p>
        </w:tc>
        <w:tc>
          <w:tcPr>
            <w:tcW w:w="5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Up to 39’474’857.16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overall</w:t>
            </w:r>
          </w:p>
        </w:tc>
        <w:tc>
          <w:tcPr>
            <w:tcW w:w="2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Up to 20’536</w:t>
            </w:r>
          </w:p>
        </w:tc>
        <w:tc>
          <w:tcPr>
            <w:tcW w:w="5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Up to 49’472’456.16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right="100"/>
        <w:spacing w:after="0" w:line="282" w:lineRule="auto"/>
        <w:rPr>
          <w:sz w:val="20"/>
          <w:szCs w:val="20"/>
          <w:color w:val="auto"/>
        </w:rPr>
      </w:pPr>
      <w:r>
        <w:rPr>
          <w:rFonts w:ascii="Arial" w:cs="Arial" w:eastAsia="Arial" w:hAnsi="Arial"/>
          <w:sz w:val="18"/>
          <w:szCs w:val="18"/>
          <w:color w:val="auto"/>
        </w:rPr>
        <w:t xml:space="preserve">Each Investor other than V-Sciences shall indicate the commitment by such Investor in an adherence declaration substantially in the form of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3.1</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Payment Undertaking at Closing</w:t>
      </w:r>
    </w:p>
    <w:p>
      <w:pPr>
        <w:spacing w:after="0" w:line="117"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In implementation of the subscription in cash undertaking, each Investor hereby undertakes to execute and deliver to the Company on or prior to the Closing a subscription form as required by Swiss corporate law substantially in the form attached hereto as </w:t>
      </w:r>
      <w:r>
        <w:rPr>
          <w:rFonts w:ascii="Arial" w:cs="Arial" w:eastAsia="Arial" w:hAnsi="Arial"/>
          <w:sz w:val="18"/>
          <w:szCs w:val="18"/>
          <w:b w:val="1"/>
          <w:bCs w:val="1"/>
          <w:color w:val="auto"/>
        </w:rPr>
        <w:t>Annex 3.2 (</w:t>
      </w:r>
      <w:r>
        <w:rPr>
          <w:rFonts w:ascii="Arial" w:cs="Arial" w:eastAsia="Arial" w:hAnsi="Arial"/>
          <w:sz w:val="18"/>
          <w:szCs w:val="18"/>
          <w:color w:val="auto"/>
        </w:rPr>
        <w:t>“</w:t>
      </w:r>
      <w:r>
        <w:rPr>
          <w:rFonts w:ascii="Arial" w:cs="Arial" w:eastAsia="Arial" w:hAnsi="Arial"/>
          <w:sz w:val="18"/>
          <w:szCs w:val="18"/>
          <w:b w:val="1"/>
          <w:bCs w:val="1"/>
          <w:color w:val="auto"/>
        </w:rPr>
        <w:t>Subscription Form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pay the corresponding subscription amount to the following blocked capital account in the name of the Company (“</w:t>
      </w:r>
      <w:r>
        <w:rPr>
          <w:rFonts w:ascii="Arial" w:cs="Arial" w:eastAsia="Arial" w:hAnsi="Arial"/>
          <w:sz w:val="18"/>
          <w:szCs w:val="18"/>
          <w:b w:val="1"/>
          <w:bCs w:val="1"/>
          <w:color w:val="auto"/>
        </w:rPr>
        <w:t>Blocked Capital Account</w:t>
      </w:r>
      <w:r>
        <w:rPr>
          <w:rFonts w:ascii="Arial" w:cs="Arial" w:eastAsia="Arial" w:hAnsi="Arial"/>
          <w:sz w:val="18"/>
          <w:szCs w:val="18"/>
          <w:color w:val="auto"/>
        </w:rPr>
        <w:t xml:space="preserve">”; </w:t>
      </w:r>
      <w:r>
        <w:rPr>
          <w:rFonts w:ascii="Arial" w:cs="Arial" w:eastAsia="Arial" w:hAnsi="Arial"/>
          <w:sz w:val="18"/>
          <w:szCs w:val="18"/>
          <w:i w:val="1"/>
          <w:iCs w:val="1"/>
          <w:color w:val="auto"/>
        </w:rPr>
        <w:t>Kapitaleinzahlungssperrkonto / compte de consignation</w:t>
      </w:r>
      <w:r>
        <w:rPr>
          <w:rFonts w:ascii="Arial" w:cs="Arial" w:eastAsia="Arial" w:hAnsi="Arial"/>
          <w:sz w:val="18"/>
          <w:szCs w:val="18"/>
          <w:color w:val="auto"/>
        </w:rPr>
        <w:t>):</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Please send cash (USD) to the following bank: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Bank of New York Mellon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Wall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US-New York</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ABA 021000018</w:t>
      </w:r>
    </w:p>
    <w:p>
      <w:pPr>
        <w:sectPr>
          <w:pgSz w:w="11900" w:h="16838" w:orient="portrait"/>
          <w:cols w:equalWidth="0" w:num="1">
            <w:col w:w="11420"/>
          </w:cols>
          <w:pgMar w:left="240" w:top="274" w:right="239" w:bottom="1440" w:gutter="0" w:footer="0" w:header="0"/>
        </w:sectPr>
      </w:pPr>
    </w:p>
    <w:bookmarkStart w:id="564" w:name="page565"/>
    <w:bookmarkEnd w:id="564"/>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b w:val="1"/>
          <w:bCs w:val="1"/>
          <w:color w:val="auto"/>
        </w:rPr>
        <w:t>Swift-Code (BIC):</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IRVTUS3NXXX</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further credit to (Field 57):</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A/C-Nr: 8033342099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CH-8070 Zurich</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MT103 to:</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CRESCHZZ80A</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Beneficiary’s name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 Lausanne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Beneficiary’s IBAN (A/C No)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CH72 0483 5173 7769 4200 7</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Reference: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 Capital Increase of AC Immune SA</w:t>
      </w:r>
    </w:p>
    <w:p>
      <w:pPr>
        <w:spacing w:after="0" w:line="3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Resolution passed by the Extraordinary General Meeting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resolution shall be passed at the Extraordinary General Meeting on the Closing:</w:t>
      </w:r>
    </w:p>
    <w:p>
      <w:pPr>
        <w:spacing w:after="0" w:line="131" w:lineRule="exact"/>
        <w:rPr>
          <w:sz w:val="20"/>
          <w:szCs w:val="20"/>
          <w:color w:val="auto"/>
        </w:rPr>
      </w:pPr>
    </w:p>
    <w:p>
      <w:pPr>
        <w:ind w:left="1120" w:right="60" w:hanging="437"/>
        <w:spacing w:after="0" w:line="276" w:lineRule="auto"/>
        <w:tabs>
          <w:tab w:leader="none" w:pos="11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to increase the nominal statutory share capital of the Company by the total amount of the Series E Original Issue Price of all Series E Preferred Shares validly subscriped for pursuant to Section 3.2 of this Subscription Agreement through the issuance of the number of Series E Preferred Shares validly subscribed for pursuant to Section 3.2 of this Subscription Agreement but by the aggregate amount of a maximum of CHF 102’680 to up to CHF 956’580 through the issuance of a maximum of 20’536 new Series E Preferred Shares with a nominal value of CHF 5.00 each at the subscription amount to be determined by the Board; and</w:t>
      </w:r>
    </w:p>
    <w:p>
      <w:pPr>
        <w:spacing w:after="0" w:line="73" w:lineRule="exact"/>
        <w:rPr>
          <w:rFonts w:ascii="Arial" w:cs="Arial" w:eastAsia="Arial" w:hAnsi="Arial"/>
          <w:sz w:val="17"/>
          <w:szCs w:val="17"/>
          <w:color w:val="auto"/>
        </w:rPr>
      </w:pPr>
    </w:p>
    <w:p>
      <w:pPr>
        <w:ind w:left="1120" w:hanging="437"/>
        <w:spacing w:after="0"/>
        <w:tabs>
          <w:tab w:leader="none" w:pos="112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to adopt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as to all items except the share capital and the numbers of Series E Preferred Shares</w:t>
      </w:r>
    </w:p>
    <w:p>
      <w:pPr>
        <w:spacing w:after="0" w:line="200" w:lineRule="exact"/>
        <w:rPr>
          <w:sz w:val="20"/>
          <w:szCs w:val="20"/>
          <w:color w:val="auto"/>
        </w:rPr>
      </w:pP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Resolution of the Board</w:t>
      </w:r>
    </w:p>
    <w:p>
      <w:pPr>
        <w:spacing w:after="0" w:line="117"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The Company undertakes to procure that the Board of Directors of the Company will prior to Closing approve the issuance of the Series E Preferred Shares at the Series E Original Issue Price (execution resolution, </w:t>
      </w:r>
      <w:r>
        <w:rPr>
          <w:rFonts w:ascii="Arial" w:cs="Arial" w:eastAsia="Arial" w:hAnsi="Arial"/>
          <w:sz w:val="18"/>
          <w:szCs w:val="18"/>
          <w:i w:val="1"/>
          <w:iCs w:val="1"/>
          <w:color w:val="auto"/>
        </w:rPr>
        <w:t>Durchführungsbeschluss</w:t>
      </w:r>
      <w:r>
        <w:rPr>
          <w:rFonts w:ascii="Arial" w:cs="Arial" w:eastAsia="Arial" w:hAnsi="Arial"/>
          <w:sz w:val="18"/>
          <w:szCs w:val="18"/>
          <w:color w:val="auto"/>
        </w:rPr>
        <w:t>).</w:t>
      </w:r>
    </w:p>
    <w:p>
      <w:pPr>
        <w:spacing w:after="0" w:line="315" w:lineRule="exact"/>
        <w:rPr>
          <w:sz w:val="20"/>
          <w:szCs w:val="20"/>
          <w:color w:val="auto"/>
        </w:rPr>
      </w:pPr>
    </w:p>
    <w:p>
      <w:pPr>
        <w:ind w:left="680" w:hanging="672"/>
        <w:spacing w:after="0"/>
        <w:tabs>
          <w:tab w:leader="none" w:pos="68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STRUCTURE AFTER SERIES E FINANCING ROUND</w:t>
      </w:r>
    </w:p>
    <w:p>
      <w:pPr>
        <w:spacing w:after="0" w:line="121" w:lineRule="exact"/>
        <w:rPr>
          <w:rFonts w:ascii="Arial" w:cs="Arial" w:eastAsia="Arial" w:hAnsi="Arial"/>
          <w:sz w:val="18"/>
          <w:szCs w:val="18"/>
          <w:b w:val="1"/>
          <w:bCs w:val="1"/>
          <w:color w:val="auto"/>
        </w:rPr>
      </w:pPr>
    </w:p>
    <w:p>
      <w:pPr>
        <w:ind w:left="7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Prior and after completion of the initial closing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565" w:name="page566"/>
    <w:bookmarkEnd w:id="565"/>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Place and Date of Closing</w:t>
      </w:r>
    </w:p>
    <w:p>
      <w:pPr>
        <w:spacing w:after="0" w:line="113" w:lineRule="exact"/>
        <w:rPr>
          <w:sz w:val="20"/>
          <w:szCs w:val="20"/>
          <w:color w:val="auto"/>
        </w:rPr>
      </w:pPr>
    </w:p>
    <w:p>
      <w:pPr>
        <w:ind w:left="700" w:right="80"/>
        <w:spacing w:after="0" w:line="313" w:lineRule="auto"/>
        <w:rPr>
          <w:sz w:val="20"/>
          <w:szCs w:val="20"/>
          <w:color w:val="auto"/>
        </w:rPr>
      </w:pPr>
      <w:r>
        <w:rPr>
          <w:rFonts w:ascii="Arial" w:cs="Arial" w:eastAsia="Arial" w:hAnsi="Arial"/>
          <w:sz w:val="17"/>
          <w:szCs w:val="17"/>
          <w:color w:val="auto"/>
        </w:rPr>
        <w:t>The closing of the Series E Financing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on or around October 21, 2015, at 11.a.m. Swiss time at the offices of VISCHER AG, Aeschenvorstadt 4, 4010 Basel, Switzerland, or such other date or place as the Company and V-Sciences mutually agree.</w:t>
      </w: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Conditions Precedent to Closing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Conditions in favor of V-Sciences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Closing shall be subject to the prior fulfillment of each of the following conditions precedent in favor of V-Sciences unless otherwise waived:</w:t>
      </w:r>
    </w:p>
    <w:p>
      <w:pPr>
        <w:spacing w:after="0" w:line="154" w:lineRule="exact"/>
        <w:rPr>
          <w:sz w:val="20"/>
          <w:szCs w:val="20"/>
          <w:color w:val="auto"/>
        </w:rPr>
      </w:pPr>
    </w:p>
    <w:p>
      <w:pPr>
        <w:ind w:left="1120" w:right="80" w:hanging="437"/>
        <w:spacing w:after="0" w:line="342" w:lineRule="auto"/>
        <w:tabs>
          <w:tab w:leader="none" w:pos="11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Section 7.1 shall be true and correct in all material respects as of the Closing (except that representations and warranties qualified by materiality or a Material Adverse Effect shall be true and correct in all respects).</w:t>
      </w:r>
    </w:p>
    <w:p>
      <w:pPr>
        <w:spacing w:after="0" w:line="29" w:lineRule="exact"/>
        <w:rPr>
          <w:rFonts w:ascii="Arial" w:cs="Arial" w:eastAsia="Arial" w:hAnsi="Arial"/>
          <w:sz w:val="16"/>
          <w:szCs w:val="16"/>
          <w:color w:val="auto"/>
        </w:rPr>
      </w:pPr>
    </w:p>
    <w:p>
      <w:pPr>
        <w:ind w:left="1120" w:right="240" w:hanging="437"/>
        <w:spacing w:after="0" w:line="277" w:lineRule="auto"/>
        <w:tabs>
          <w:tab w:leader="none" w:pos="11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Company shall have performed and complied with all covenants, agreements, obligations and conditions contained in this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1120" w:right="400" w:hanging="437"/>
        <w:spacing w:after="0" w:line="342" w:lineRule="auto"/>
        <w:tabs>
          <w:tab w:leader="none" w:pos="11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ind w:left="1120" w:right="340" w:hanging="437"/>
        <w:spacing w:after="0" w:line="286" w:lineRule="auto"/>
        <w:tabs>
          <w:tab w:leader="none" w:pos="112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The Company, V-Sciences, any other investor participating in the Series E Round and the other shareholders of the Company representing 85% of all outstanding Shares prior to the Closing of the Series E Financing Round shall have executed and delivered the Shareholders’ Agreement (or a joinder agreement thereto), in substantially the form of </w:t>
      </w:r>
      <w:r>
        <w:rPr>
          <w:rFonts w:ascii="Arial" w:cs="Arial" w:eastAsia="Arial" w:hAnsi="Arial"/>
          <w:sz w:val="17"/>
          <w:szCs w:val="17"/>
          <w:b w:val="1"/>
          <w:bCs w:val="1"/>
          <w:color w:val="auto"/>
        </w:rPr>
        <w:t>Annex 0</w:t>
      </w:r>
      <w:r>
        <w:rPr>
          <w:rFonts w:ascii="Arial" w:cs="Arial" w:eastAsia="Arial" w:hAnsi="Arial"/>
          <w:sz w:val="17"/>
          <w:szCs w:val="17"/>
          <w:color w:val="auto"/>
        </w:rPr>
        <w:t xml:space="preserve"> hereto.</w:t>
      </w:r>
    </w:p>
    <w:p>
      <w:pPr>
        <w:spacing w:after="0" w:line="70" w:lineRule="exact"/>
        <w:rPr>
          <w:rFonts w:ascii="Arial" w:cs="Arial" w:eastAsia="Arial" w:hAnsi="Arial"/>
          <w:sz w:val="17"/>
          <w:szCs w:val="17"/>
          <w:color w:val="auto"/>
        </w:rPr>
      </w:pPr>
    </w:p>
    <w:p>
      <w:pPr>
        <w:ind w:left="1120" w:right="20" w:hanging="437"/>
        <w:spacing w:after="0" w:line="342" w:lineRule="auto"/>
        <w:tabs>
          <w:tab w:leader="none" w:pos="11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The Company, V-Sciences, any other Investor requesting so and the other shareholders of the Company named as parties thereto shall have executed and delivered the Registration Rights Agreement (or a joinder agreement thereto), in substantially the form of </w:t>
      </w:r>
      <w:r>
        <w:rPr>
          <w:rFonts w:ascii="Arial" w:cs="Arial" w:eastAsia="Arial" w:hAnsi="Arial"/>
          <w:sz w:val="16"/>
          <w:szCs w:val="16"/>
          <w:b w:val="1"/>
          <w:bCs w:val="1"/>
          <w:color w:val="auto"/>
        </w:rPr>
        <w:t>Annex 5.2.1(e)</w:t>
      </w:r>
      <w:r>
        <w:rPr>
          <w:rFonts w:ascii="Arial" w:cs="Arial" w:eastAsia="Arial" w:hAnsi="Arial"/>
          <w:sz w:val="16"/>
          <w:szCs w:val="16"/>
          <w:color w:val="auto"/>
        </w:rPr>
        <w:t xml:space="preserve"> hereto.</w:t>
      </w:r>
    </w:p>
    <w:p>
      <w:pPr>
        <w:spacing w:after="0" w:line="29" w:lineRule="exact"/>
        <w:rPr>
          <w:rFonts w:ascii="Arial" w:cs="Arial" w:eastAsia="Arial" w:hAnsi="Arial"/>
          <w:sz w:val="16"/>
          <w:szCs w:val="16"/>
          <w:color w:val="auto"/>
        </w:rPr>
      </w:pPr>
    </w:p>
    <w:p>
      <w:pPr>
        <w:ind w:left="1120" w:hanging="437"/>
        <w:spacing w:after="0" w:line="277" w:lineRule="auto"/>
        <w:tabs>
          <w:tab w:leader="none" w:pos="11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V-Sciences and any other Investor requesting so shall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attached to this Subscription Agreement.</w:t>
      </w:r>
    </w:p>
    <w:p>
      <w:pPr>
        <w:spacing w:after="0" w:line="75" w:lineRule="exact"/>
        <w:rPr>
          <w:rFonts w:ascii="Arial" w:cs="Arial" w:eastAsia="Arial" w:hAnsi="Arial"/>
          <w:sz w:val="18"/>
          <w:szCs w:val="18"/>
          <w:color w:val="auto"/>
        </w:rPr>
      </w:pPr>
    </w:p>
    <w:p>
      <w:pPr>
        <w:ind w:left="1120" w:right="340" w:hanging="437"/>
        <w:spacing w:after="0" w:line="259" w:lineRule="auto"/>
        <w:tabs>
          <w:tab w:leader="none" w:pos="11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Legal counsel shall have delivered to V-Sciences and any other Investor requesting so a certificate, dated as of the date of such Closing, certifying (i)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8"/>
          <w:szCs w:val="18"/>
          <w:b w:val="1"/>
          <w:bCs w:val="1"/>
          <w:color w:val="auto"/>
        </w:rPr>
        <w:t>Annex 3.3</w:t>
      </w:r>
    </w:p>
    <w:p>
      <w:pPr>
        <w:spacing w:after="0" w:line="92" w:lineRule="exact"/>
        <w:rPr>
          <w:rFonts w:ascii="Arial" w:cs="Arial" w:eastAsia="Arial" w:hAnsi="Arial"/>
          <w:sz w:val="18"/>
          <w:szCs w:val="18"/>
          <w:color w:val="auto"/>
        </w:rPr>
      </w:pPr>
    </w:p>
    <w:p>
      <w:pPr>
        <w:jc w:val="both"/>
        <w:ind w:left="1120" w:right="40" w:hanging="437"/>
        <w:spacing w:after="0" w:line="264" w:lineRule="auto"/>
        <w:tabs>
          <w:tab w:leader="none" w:pos="11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V-Sciences and the Investors shall have received all such counterpart original and certified or other copies of such documents as reasonably requested.</w:t>
      </w:r>
    </w:p>
    <w:p>
      <w:pPr>
        <w:sectPr>
          <w:pgSz w:w="11900" w:h="16838" w:orient="portrait"/>
          <w:cols w:equalWidth="0" w:num="1">
            <w:col w:w="11420"/>
          </w:cols>
          <w:pgMar w:left="240" w:top="273" w:right="239" w:bottom="1440" w:gutter="0" w:footer="0" w:header="0"/>
        </w:sectPr>
      </w:pPr>
    </w:p>
    <w:bookmarkStart w:id="566" w:name="page567"/>
    <w:bookmarkEnd w:id="566"/>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Conditions in favor of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Closing shall be subject to the prior fulfillment of each of the following conditions precedent in favor of the Company, unless otherwise waived:</w:t>
      </w:r>
    </w:p>
    <w:p>
      <w:pPr>
        <w:spacing w:after="0" w:line="154" w:lineRule="exact"/>
        <w:rPr>
          <w:sz w:val="20"/>
          <w:szCs w:val="20"/>
          <w:color w:val="auto"/>
        </w:rPr>
      </w:pPr>
    </w:p>
    <w:p>
      <w:pPr>
        <w:ind w:left="1120" w:hanging="437"/>
        <w:spacing w:after="0"/>
        <w:tabs>
          <w:tab w:leader="none" w:pos="112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representations and warranties of each Investor contained in Section 7.2 shall be true and correct in all respects as of such Closing.</w:t>
      </w:r>
    </w:p>
    <w:p>
      <w:pPr>
        <w:spacing w:after="0" w:line="142" w:lineRule="exact"/>
        <w:rPr>
          <w:rFonts w:ascii="Arial" w:cs="Arial" w:eastAsia="Arial" w:hAnsi="Arial"/>
          <w:sz w:val="17"/>
          <w:szCs w:val="17"/>
          <w:color w:val="auto"/>
        </w:rPr>
      </w:pPr>
    </w:p>
    <w:p>
      <w:pPr>
        <w:ind w:left="1120" w:right="280" w:hanging="437"/>
        <w:spacing w:after="0" w:line="277" w:lineRule="auto"/>
        <w:tabs>
          <w:tab w:leader="none" w:pos="11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Investors shall have performed and complied with all covenants, agreements, obligations and conditions contained in this Subscription Agreement that are required to be performed or complied with by them on or before such Closing.</w:t>
      </w:r>
    </w:p>
    <w:p>
      <w:pPr>
        <w:spacing w:after="0" w:line="75" w:lineRule="exact"/>
        <w:rPr>
          <w:rFonts w:ascii="Arial" w:cs="Arial" w:eastAsia="Arial" w:hAnsi="Arial"/>
          <w:sz w:val="18"/>
          <w:szCs w:val="18"/>
          <w:color w:val="auto"/>
        </w:rPr>
      </w:pPr>
    </w:p>
    <w:p>
      <w:pPr>
        <w:ind w:left="1120" w:right="400" w:hanging="437"/>
        <w:spacing w:after="0" w:line="342" w:lineRule="auto"/>
        <w:tabs>
          <w:tab w:leader="none" w:pos="112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The Company, V-Sciences, any other Investor and the other shareholders of the Company representing 85% of all outstanding Shares prior to the Closing of the Series E Financing Round shall have executed and delivered the Shareholders’ Agreement, in substantially the form of </w:t>
      </w:r>
      <w:r>
        <w:rPr>
          <w:rFonts w:ascii="Arial" w:cs="Arial" w:eastAsia="Arial" w:hAnsi="Arial"/>
          <w:sz w:val="18"/>
          <w:szCs w:val="18"/>
          <w:b w:val="1"/>
          <w:bCs w:val="1"/>
          <w:color w:val="auto"/>
        </w:rPr>
        <w:t xml:space="preserve">Annex 0 </w:t>
      </w:r>
      <w:r>
        <w:rPr>
          <w:rFonts w:ascii="Arial" w:cs="Arial" w:eastAsia="Arial" w:hAnsi="Arial"/>
          <w:sz w:val="18"/>
          <w:szCs w:val="18"/>
          <w:color w:val="auto"/>
        </w:rPr>
        <w:t>hereto.</w:t>
      </w:r>
    </w:p>
    <w:p>
      <w:pPr>
        <w:spacing w:after="0" w:line="82" w:lineRule="exact"/>
        <w:rPr>
          <w:rFonts w:ascii="Arial" w:cs="Arial" w:eastAsia="Arial" w:hAnsi="Arial"/>
          <w:sz w:val="18"/>
          <w:szCs w:val="18"/>
          <w:color w:val="auto"/>
        </w:rPr>
      </w:pPr>
    </w:p>
    <w:p>
      <w:pPr>
        <w:ind w:left="1120" w:hanging="437"/>
        <w:spacing w:after="0"/>
        <w:tabs>
          <w:tab w:leader="none" w:pos="112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The Investors requesting so shall have executed and delivered the Registration Rights Agreement substantially in the form of </w:t>
      </w:r>
      <w:r>
        <w:rPr>
          <w:rFonts w:ascii="Arial" w:cs="Arial" w:eastAsia="Arial" w:hAnsi="Arial"/>
          <w:sz w:val="16"/>
          <w:szCs w:val="16"/>
          <w:b w:val="1"/>
          <w:bCs w:val="1"/>
          <w:color w:val="auto"/>
        </w:rPr>
        <w:t>Annex 5.2.1(f).</w:t>
      </w:r>
    </w:p>
    <w:p>
      <w:pPr>
        <w:spacing w:after="0" w:line="157" w:lineRule="exact"/>
        <w:rPr>
          <w:rFonts w:ascii="Arial" w:cs="Arial" w:eastAsia="Arial" w:hAnsi="Arial"/>
          <w:sz w:val="16"/>
          <w:szCs w:val="16"/>
          <w:color w:val="auto"/>
        </w:rPr>
      </w:pPr>
    </w:p>
    <w:p>
      <w:pPr>
        <w:ind w:left="1120" w:right="440" w:hanging="437"/>
        <w:spacing w:after="0" w:line="277" w:lineRule="auto"/>
        <w:tabs>
          <w:tab w:leader="none" w:pos="11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Closing Actions for Closing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 Closing, the relevant Party shall deliver the following documents, duly executed and in form and substance satisfactory to the Company and V-</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Sciences:</w:t>
      </w:r>
    </w:p>
    <w:p>
      <w:pPr>
        <w:spacing w:after="0" w:line="116" w:lineRule="exact"/>
        <w:rPr>
          <w:sz w:val="20"/>
          <w:szCs w:val="20"/>
          <w:color w:val="auto"/>
        </w:rPr>
      </w:pPr>
    </w:p>
    <w:p>
      <w:pPr>
        <w:ind w:left="1120" w:right="620" w:hanging="437"/>
        <w:spacing w:after="0" w:line="277" w:lineRule="auto"/>
        <w:tabs>
          <w:tab w:leader="none" w:pos="11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 bring-down certificate of the Company confirming that the conditions precedent set out in Section 5.1 are satisfied as of the Closing, substantially in the form attached hereto in </w:t>
      </w:r>
      <w:r>
        <w:rPr>
          <w:rFonts w:ascii="Arial" w:cs="Arial" w:eastAsia="Arial" w:hAnsi="Arial"/>
          <w:sz w:val="18"/>
          <w:szCs w:val="18"/>
          <w:b w:val="1"/>
          <w:bCs w:val="1"/>
          <w:color w:val="auto"/>
        </w:rPr>
        <w:t>Annex 5.3(a)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a duly signed application to the Register of Commerce regarding the increase of the share capital to reflect the Series E Financing Round;</w:t>
      </w:r>
    </w:p>
    <w:p>
      <w:pPr>
        <w:spacing w:after="0" w:line="153" w:lineRule="exact"/>
        <w:rPr>
          <w:rFonts w:ascii="Arial" w:cs="Arial" w:eastAsia="Arial" w:hAnsi="Arial"/>
          <w:sz w:val="16"/>
          <w:szCs w:val="16"/>
          <w:color w:val="auto"/>
        </w:rPr>
      </w:pPr>
    </w:p>
    <w:p>
      <w:pPr>
        <w:ind w:left="1120" w:right="200" w:hanging="437"/>
        <w:spacing w:after="0" w:line="277" w:lineRule="auto"/>
        <w:tabs>
          <w:tab w:leader="none" w:pos="11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at least USD 9’997’599 (plus any amount required to be paid in by the Investors other than V-Sciences) has been paid in cash and fully credited to the Blocked Capital Account; and</w:t>
      </w:r>
    </w:p>
    <w:p>
      <w:pPr>
        <w:spacing w:after="0" w:line="75" w:lineRule="exact"/>
        <w:rPr>
          <w:rFonts w:ascii="Arial" w:cs="Arial" w:eastAsia="Arial" w:hAnsi="Arial"/>
          <w:sz w:val="18"/>
          <w:szCs w:val="18"/>
          <w:color w:val="auto"/>
        </w:rPr>
      </w:pPr>
    </w:p>
    <w:p>
      <w:pPr>
        <w:ind w:left="1120" w:right="440" w:hanging="437"/>
        <w:spacing w:after="0" w:line="342" w:lineRule="auto"/>
        <w:tabs>
          <w:tab w:leader="none" w:pos="112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circular resolutions or minutes evidencing the Board resolution regarding registration of the Investors as owners with voting rights of the relevant number of Series E Preferred Shares subscribed by the Investors in the Company’s share register upon Full Consummation.</w:t>
      </w:r>
    </w:p>
    <w:p>
      <w:pPr>
        <w:sectPr>
          <w:pgSz w:w="11900" w:h="16838" w:orient="portrait"/>
          <w:cols w:equalWidth="0" w:num="1">
            <w:col w:w="11420"/>
          </w:cols>
          <w:pgMar w:left="240" w:top="274" w:right="23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Upon the delivery of these documents, the following actions shall be performed:</w:t>
      </w:r>
    </w:p>
    <w:p>
      <w:pPr>
        <w:spacing w:after="0" w:line="127" w:lineRule="exact"/>
        <w:rPr>
          <w:sz w:val="20"/>
          <w:szCs w:val="20"/>
          <w:color w:val="auto"/>
        </w:rPr>
      </w:pPr>
    </w:p>
    <w:p>
      <w:pPr>
        <w:ind w:left="1120" w:hanging="437"/>
        <w:spacing w:after="0" w:line="282" w:lineRule="auto"/>
        <w:tabs>
          <w:tab w:leader="none" w:pos="11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Each Investor shall deliver its duly signed Subscription Form (as original or at least as PDF copy) substantially in the form as set out in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3.2.</w:t>
      </w:r>
    </w:p>
    <w:p>
      <w:pPr>
        <w:spacing w:after="0" w:line="71" w:lineRule="exact"/>
        <w:rPr>
          <w:rFonts w:ascii="Arial" w:cs="Arial" w:eastAsia="Arial" w:hAnsi="Arial"/>
          <w:sz w:val="18"/>
          <w:szCs w:val="18"/>
          <w:color w:val="auto"/>
        </w:rPr>
      </w:pPr>
    </w:p>
    <w:p>
      <w:pPr>
        <w:ind w:left="1120" w:right="140" w:hanging="437"/>
        <w:spacing w:after="0" w:line="286" w:lineRule="auto"/>
        <w:tabs>
          <w:tab w:leader="none" w:pos="11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Board shall issue its report on the capital increase (</w:t>
      </w:r>
      <w:r>
        <w:rPr>
          <w:rFonts w:ascii="Arial" w:cs="Arial" w:eastAsia="Arial" w:hAnsi="Arial"/>
          <w:sz w:val="17"/>
          <w:szCs w:val="17"/>
          <w:i w:val="1"/>
          <w:iCs w:val="1"/>
          <w:color w:val="auto"/>
        </w:rPr>
        <w:t>Kapitalerhöhungsbericht / rapport d’augmentation</w:t>
      </w:r>
      <w:r>
        <w:rPr>
          <w:rFonts w:ascii="Arial" w:cs="Arial" w:eastAsia="Arial" w:hAnsi="Arial"/>
          <w:sz w:val="17"/>
          <w:szCs w:val="17"/>
          <w:color w:val="auto"/>
        </w:rPr>
        <w:t>), take the resolutions on the implementation of the Series E Financing (</w:t>
      </w:r>
      <w:r>
        <w:rPr>
          <w:rFonts w:ascii="Arial" w:cs="Arial" w:eastAsia="Arial" w:hAnsi="Arial"/>
          <w:sz w:val="17"/>
          <w:szCs w:val="17"/>
          <w:i w:val="1"/>
          <w:iCs w:val="1"/>
          <w:color w:val="auto"/>
        </w:rPr>
        <w:t>Feststellungsbeschluss / decision de constatation</w:t>
      </w:r>
      <w:r>
        <w:rPr>
          <w:rFonts w:ascii="Arial" w:cs="Arial" w:eastAsia="Arial" w:hAnsi="Arial"/>
          <w:sz w:val="17"/>
          <w:szCs w:val="17"/>
          <w:color w:val="auto"/>
        </w:rPr>
        <w:t xml:space="preserve">) in the presence of a public notary and adopt the Revised Articles of Association in </w:t>
      </w:r>
      <w:r>
        <w:rPr>
          <w:rFonts w:ascii="Arial" w:cs="Arial" w:eastAsia="Arial" w:hAnsi="Arial"/>
          <w:sz w:val="17"/>
          <w:szCs w:val="17"/>
          <w:b w:val="1"/>
          <w:bCs w:val="1"/>
          <w:color w:val="auto"/>
        </w:rPr>
        <w:t>Annex 3.3</w:t>
      </w:r>
      <w:r>
        <w:rPr>
          <w:rFonts w:ascii="Arial" w:cs="Arial" w:eastAsia="Arial" w:hAnsi="Arial"/>
          <w:sz w:val="17"/>
          <w:szCs w:val="17"/>
          <w:color w:val="auto"/>
        </w:rPr>
        <w:t xml:space="preserve"> including the final share capital and the numbers of Series E Preferred Shares.</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file the application with the Register of Commerce immediately after receipt of the above executed documents.</w:t>
      </w:r>
    </w:p>
    <w:p>
      <w:pPr>
        <w:spacing w:after="0" w:line="370" w:lineRule="exact"/>
        <w:rPr>
          <w:sz w:val="20"/>
          <w:szCs w:val="20"/>
          <w:color w:val="auto"/>
        </w:rPr>
      </w:pPr>
    </w:p>
    <w:p>
      <w:pPr>
        <w:ind w:left="680" w:hanging="672"/>
        <w:spacing w:after="0"/>
        <w:tabs>
          <w:tab w:leader="none" w:pos="68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RECISSION</w:t>
      </w:r>
    </w:p>
    <w:p>
      <w:pPr>
        <w:spacing w:after="0" w:line="121" w:lineRule="exact"/>
        <w:rPr>
          <w:rFonts w:ascii="Arial" w:cs="Arial" w:eastAsia="Arial" w:hAnsi="Arial"/>
          <w:sz w:val="18"/>
          <w:szCs w:val="18"/>
          <w:b w:val="1"/>
          <w:bCs w:val="1"/>
          <w:color w:val="auto"/>
        </w:rPr>
      </w:pPr>
    </w:p>
    <w:p>
      <w:pPr>
        <w:ind w:left="70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no Full Consummation of the Series E Financing occurs until the later of 20 calendar days after the Closing or 40 calendar days after the date of this Subscription Agreement, if the Investor did not cause such delay by a breach of any of its material obligations under this Subscription Agreement, the Investor shall have the right (but not the obligation) to terminate and rescind this Subscription Agreement and any documents, instruments or deeds executed by the Investor (including, but not limited to, the Subscription Forms) with immediate effect by written notice to all other Parties.</w:t>
      </w:r>
    </w:p>
    <w:p>
      <w:pPr>
        <w:spacing w:after="0" w:line="8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If notice of termination and rescission is made in accordance with the terms of the preceding paragraph:</w:t>
      </w:r>
    </w:p>
    <w:p>
      <w:pPr>
        <w:spacing w:after="0" w:line="130" w:lineRule="exact"/>
        <w:rPr>
          <w:rFonts w:ascii="Arial" w:cs="Arial" w:eastAsia="Arial" w:hAnsi="Arial"/>
          <w:sz w:val="18"/>
          <w:szCs w:val="18"/>
          <w:b w:val="1"/>
          <w:bCs w:val="1"/>
          <w:color w:val="auto"/>
        </w:rPr>
      </w:pPr>
    </w:p>
    <w:p>
      <w:pPr>
        <w:ind w:left="1120" w:right="480" w:hanging="437"/>
        <w:spacing w:after="0" w:line="342" w:lineRule="auto"/>
        <w:tabs>
          <w:tab w:leader="none" w:pos="112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this Subscription Agreement and any documents, instruments or deeds executed by the Investor (including, but not limited to, the Subscription Forms) shall be deemed terminated and shall be without any further effect;</w:t>
      </w:r>
    </w:p>
    <w:p>
      <w:pPr>
        <w:spacing w:after="0" w:line="29" w:lineRule="exact"/>
        <w:rPr>
          <w:rFonts w:ascii="Arial" w:cs="Arial" w:eastAsia="Arial" w:hAnsi="Arial"/>
          <w:sz w:val="16"/>
          <w:szCs w:val="16"/>
          <w:color w:val="auto"/>
        </w:rPr>
      </w:pPr>
    </w:p>
    <w:p>
      <w:pPr>
        <w:ind w:left="1120" w:right="40" w:hanging="437"/>
        <w:spacing w:after="0" w:line="259" w:lineRule="auto"/>
        <w:tabs>
          <w:tab w:leader="none" w:pos="11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Company hereby undertakes to the Investors to procure that the application to the Register of Commerce of the Series E Financing Round (if already filed) shall be withdrawn and instruct VISCHER AG, Attorneys at Law (or any other public notary appointed by the Parties) and the Company to return the respective subscription amount paid by the Investors for new Series E Preferred Shares to the Investors in cash out of the Blocked Capital Account.</w:t>
      </w:r>
    </w:p>
    <w:p>
      <w:pPr>
        <w:spacing w:after="0" w:line="79"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If this Subscription Agreement is terminated pursuant to this Section, such termination shall be without liability of the Investors to the Company and vice versa; provided, however, that if such termination is the result of the willful misconduct or gross negligence of a Party failing to satisfy its respective obligations under Sections 3, 5 and 6, such Party shall be liable to the other Parties for any damage, loss, costs or expenses incurred or sustained as a result of such misconduct or breach. It shall be agreed and understood that, in addition to such liability, such other Parties shall have the right to request specific performance.</w:t>
      </w:r>
    </w:p>
    <w:p>
      <w:pPr>
        <w:spacing w:after="0" w:line="8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If this Subscription Agreement is terminated by a Party (which is not the result of the willful misconduct or gross negligence of such Party to satisfy its respective obligations</w:t>
      </w:r>
    </w:p>
    <w:p>
      <w:pPr>
        <w:sectPr>
          <w:pgSz w:w="11900" w:h="16838" w:orient="portrait"/>
          <w:cols w:equalWidth="0" w:num="1">
            <w:col w:w="11420"/>
          </w:cols>
          <w:pgMar w:left="240" w:top="273" w:right="239" w:bottom="1440" w:gutter="0" w:footer="0" w:header="0"/>
        </w:sectPr>
      </w:pPr>
    </w:p>
    <w:bookmarkStart w:id="568" w:name="page569"/>
    <w:bookmarkEnd w:id="568"/>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740"/>
        <w:spacing w:after="0" w:line="277" w:lineRule="auto"/>
        <w:rPr>
          <w:sz w:val="20"/>
          <w:szCs w:val="20"/>
          <w:color w:val="auto"/>
        </w:rPr>
      </w:pPr>
      <w:r>
        <w:rPr>
          <w:rFonts w:ascii="Arial" w:cs="Arial" w:eastAsia="Arial" w:hAnsi="Arial"/>
          <w:sz w:val="18"/>
          <w:szCs w:val="18"/>
          <w:color w:val="auto"/>
        </w:rPr>
        <w:t>under Sections 3, 5 and 6), all provisions of this Subscription Agreement shall cease to be effective for such Party except for the preceding paragraph and Section 11 (Miscellaneous).</w:t>
      </w:r>
    </w:p>
    <w:p>
      <w:pPr>
        <w:spacing w:after="0" w:line="315" w:lineRule="exact"/>
        <w:rPr>
          <w:sz w:val="20"/>
          <w:szCs w:val="20"/>
          <w:color w:val="auto"/>
        </w:rPr>
      </w:pPr>
    </w:p>
    <w:p>
      <w:pPr>
        <w:ind w:left="680" w:hanging="672"/>
        <w:spacing w:after="0"/>
        <w:tabs>
          <w:tab w:leader="none" w:pos="68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Representation and Warranties by the Company</w:t>
      </w:r>
    </w:p>
    <w:p>
      <w:pPr>
        <w:spacing w:after="0" w:line="113" w:lineRule="exact"/>
        <w:rPr>
          <w:sz w:val="20"/>
          <w:szCs w:val="20"/>
          <w:color w:val="auto"/>
        </w:rPr>
      </w:pPr>
    </w:p>
    <w:p>
      <w:pPr>
        <w:ind w:left="700" w:right="100"/>
        <w:spacing w:after="0" w:line="298" w:lineRule="auto"/>
        <w:rPr>
          <w:sz w:val="20"/>
          <w:szCs w:val="20"/>
          <w:color w:val="auto"/>
        </w:rPr>
      </w:pPr>
      <w:r>
        <w:rPr>
          <w:rFonts w:ascii="Arial" w:cs="Arial" w:eastAsia="Arial" w:hAnsi="Arial"/>
          <w:sz w:val="16"/>
          <w:szCs w:val="16"/>
          <w:color w:val="auto"/>
        </w:rPr>
        <w:t xml:space="preserve">Subject to the limitations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and Section 8, the Company hereby represents and warrants in the sense of an independent guarantee as of the time of signing of this Subscription Agreement to the Investors, that the representations and warranties set forth in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are in all material respects true, complete, correct and not misleading (or in the case of representations and warranties qualified by materiality or a Material Adverse Effect, in all respects true, complete, correct and not misleading) as of the date of this Subscription Agreement and as of the date of the Closing, except for those representations and warranties which are explicitly made as of a specific date.</w:t>
      </w:r>
    </w:p>
    <w:p>
      <w:pPr>
        <w:spacing w:after="0" w:line="3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Representation and Warranties by each Investor</w:t>
      </w:r>
    </w:p>
    <w:p>
      <w:pPr>
        <w:spacing w:after="0" w:line="113" w:lineRule="exact"/>
        <w:rPr>
          <w:sz w:val="20"/>
          <w:szCs w:val="20"/>
          <w:color w:val="auto"/>
        </w:rPr>
      </w:pPr>
    </w:p>
    <w:p>
      <w:pPr>
        <w:ind w:left="700" w:right="100"/>
        <w:spacing w:after="0" w:line="277" w:lineRule="auto"/>
        <w:rPr>
          <w:sz w:val="20"/>
          <w:szCs w:val="20"/>
          <w:color w:val="auto"/>
        </w:rPr>
      </w:pPr>
      <w:r>
        <w:rPr>
          <w:rFonts w:ascii="Arial" w:cs="Arial" w:eastAsia="Arial" w:hAnsi="Arial"/>
          <w:sz w:val="17"/>
          <w:szCs w:val="17"/>
          <w:color w:val="auto"/>
        </w:rPr>
        <w:t xml:space="preserve">Subject to the limitations set forth in this Section 7 (including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and Section 8, each Investor hereby represents and warrants in the sense of an independent guarantee as of the time of signing of this Subscription Agreement to the Company, that the representations and warranties set forth in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are in all material respects true, complete, correct and not misleading as of the date of this Subscription Agreement and as of the date of the Closing, except for those representations and warranties which are explicitly made as of a specific date. Each Investor agrees that Credit Suisse Investment Banking may rely on the representations and warranties set forth in </w:t>
      </w:r>
      <w:r>
        <w:rPr>
          <w:rFonts w:ascii="Arial" w:cs="Arial" w:eastAsia="Arial" w:hAnsi="Arial"/>
          <w:sz w:val="17"/>
          <w:szCs w:val="17"/>
          <w:b w:val="1"/>
          <w:bCs w:val="1"/>
          <w:color w:val="auto"/>
        </w:rPr>
        <w:t>Annex 7.2.</w:t>
      </w:r>
    </w:p>
    <w:p>
      <w:pPr>
        <w:spacing w:after="0" w:line="3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Exclusive Representations and Warranties</w:t>
      </w:r>
    </w:p>
    <w:p>
      <w:pPr>
        <w:spacing w:after="0" w:line="117" w:lineRule="exact"/>
        <w:rPr>
          <w:sz w:val="20"/>
          <w:szCs w:val="20"/>
          <w:color w:val="auto"/>
        </w:rPr>
      </w:pPr>
    </w:p>
    <w:p>
      <w:pPr>
        <w:ind w:left="700" w:right="100"/>
        <w:spacing w:after="0" w:line="290" w:lineRule="auto"/>
        <w:rPr>
          <w:sz w:val="20"/>
          <w:szCs w:val="20"/>
          <w:color w:val="auto"/>
        </w:rPr>
      </w:pPr>
      <w:r>
        <w:rPr>
          <w:rFonts w:ascii="Arial" w:cs="Arial" w:eastAsia="Arial" w:hAnsi="Arial"/>
          <w:sz w:val="16"/>
          <w:szCs w:val="16"/>
          <w:color w:val="auto"/>
        </w:rPr>
        <w:t xml:space="preserve">The Parties acknowledge that none of the Parties has made, and none of the Parties has relied upon, any representation or warranty, express or implied, pertaining to the subject matter of this Subscription Agreement other than as expressly provided in this Subscription Agreement. Without prejudice to the foregoing, the Company hereby acknowledges that each of the Investors has entered into this Subscription Agreement and is subscribing the Series E Preferred Shares in reliance on each of the representations and warranties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Each Investor acknowledges that such Investor is not relying upon any person, other than the Company and its officers and directors, in making its investment or decision to invest in the Company. Each Investor agrees that neither any Investor nor its respective controlling persons, officers, directors, partners, agents, nor employees nor any partners or agents of such Investor shall be liable to any other Investor for any action taken or omitted to be taken by any of them in connection with this Subscription Agreement.</w:t>
      </w:r>
    </w:p>
    <w:p>
      <w:pPr>
        <w:sectPr>
          <w:pgSz w:w="11900" w:h="16838" w:orient="portrait"/>
          <w:cols w:equalWidth="0" w:num="1">
            <w:col w:w="11420"/>
          </w:cols>
          <w:pgMar w:left="240" w:top="274" w:right="239" w:bottom="1440" w:gutter="0" w:footer="0" w:header="0"/>
        </w:sectPr>
      </w:pPr>
    </w:p>
    <w:bookmarkStart w:id="569" w:name="page570"/>
    <w:bookmarkEnd w:id="569"/>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REMEDIES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Notice of Breach (</w:t>
      </w:r>
      <w:r>
        <w:rPr>
          <w:rFonts w:ascii="Arial" w:cs="Arial" w:eastAsia="Arial" w:hAnsi="Arial"/>
          <w:sz w:val="16"/>
          <w:szCs w:val="16"/>
          <w:i w:val="1"/>
          <w:iCs w:val="1"/>
          <w:color w:val="auto"/>
        </w:rPr>
        <w:t>Rügefrist</w:t>
      </w:r>
      <w:r>
        <w:rPr>
          <w:rFonts w:ascii="Arial" w:cs="Arial" w:eastAsia="Arial" w:hAnsi="Arial"/>
          <w:sz w:val="16"/>
          <w:szCs w:val="16"/>
          <w:color w:val="auto"/>
        </w:rPr>
        <w:t>)</w:t>
      </w:r>
    </w:p>
    <w:p>
      <w:pPr>
        <w:spacing w:after="0" w:line="117"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color w:val="auto"/>
        </w:rPr>
        <w:t>An Investor claiming a breach shall deliver to the Company a notice in writing describing the underlying facts of a claim for misrepresentation or breach of warranty in reasonable detail to the extent then known within sixty (60) calendar days after such Investor has obtained reasonable knowledge of the circumstances which are likely to give rise to a claim for misrepresentation or breach of warranty under this Subscription Agreement.</w:t>
      </w:r>
    </w:p>
    <w:p>
      <w:pPr>
        <w:spacing w:after="0" w:line="79"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color w:val="auto"/>
        </w:rPr>
        <w:t>Failure to provide notice of claim consistent with this Section 8.1 shall not relieve the Company of any liability it may have under Section 7; provided, however, that the Company shall not be liable for any damage, loss, expense, or cost to the extent that the same is attributable to, or caused or aggravated by, or could not be remedied due to, that Investor’s failure to timely provide notice in accordance with this Section 8.1. The Parties explicitly waive the application of Article 201 CO.</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rules in this Section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case the Company makes a claim towards an Investor.</w:t>
      </w:r>
    </w:p>
    <w:p>
      <w:pPr>
        <w:spacing w:after="0" w:line="3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Time Limitations on Claims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113" w:lineRule="exact"/>
        <w:rPr>
          <w:sz w:val="20"/>
          <w:szCs w:val="20"/>
          <w:color w:val="auto"/>
        </w:rPr>
      </w:pPr>
    </w:p>
    <w:p>
      <w:pPr>
        <w:ind w:left="700" w:right="260"/>
        <w:spacing w:after="0" w:line="347" w:lineRule="auto"/>
        <w:rPr>
          <w:sz w:val="20"/>
          <w:szCs w:val="20"/>
          <w:color w:val="auto"/>
        </w:rPr>
      </w:pPr>
      <w:r>
        <w:rPr>
          <w:rFonts w:ascii="Arial" w:cs="Arial" w:eastAsia="Arial" w:hAnsi="Arial"/>
          <w:sz w:val="16"/>
          <w:szCs w:val="16"/>
          <w:color w:val="auto"/>
        </w:rPr>
        <w:t xml:space="preserve">The representations and warranties given by the Company as set forth in Section 7.1 and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shall expire, and any claim of an Investor for misrepresentation or breach of warranty shall be time barred, forfeited and precluded from being made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22" w:lineRule="exact"/>
        <w:rPr>
          <w:sz w:val="20"/>
          <w:szCs w:val="20"/>
          <w:color w:val="auto"/>
        </w:rPr>
      </w:pPr>
    </w:p>
    <w:p>
      <w:pPr>
        <w:ind w:left="1120" w:right="780" w:hanging="437"/>
        <w:spacing w:after="0" w:line="282" w:lineRule="auto"/>
        <w:tabs>
          <w:tab w:leader="none" w:pos="11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 (Incorporation and Authority), 2 (Capitalization), 3 (Authorization) and 4 (Valid Issuance of Shares) as of the tenth (10</w:t>
      </w:r>
      <w:r>
        <w:rPr>
          <w:rFonts w:ascii="Arial" w:cs="Arial" w:eastAsia="Arial" w:hAnsi="Arial"/>
          <w:sz w:val="15"/>
          <w:szCs w:val="15"/>
          <w:color w:val="auto"/>
        </w:rPr>
        <w:t>th</w:t>
      </w:r>
      <w:r>
        <w:rPr>
          <w:rFonts w:ascii="Arial" w:cs="Arial" w:eastAsia="Arial" w:hAnsi="Arial"/>
          <w:sz w:val="18"/>
          <w:szCs w:val="18"/>
          <w:color w:val="auto"/>
        </w:rPr>
        <w:t>) anniversary of the Closing;</w:t>
      </w:r>
    </w:p>
    <w:p>
      <w:pPr>
        <w:spacing w:after="0" w:line="67" w:lineRule="exact"/>
        <w:rPr>
          <w:rFonts w:ascii="Arial" w:cs="Arial" w:eastAsia="Arial" w:hAnsi="Arial"/>
          <w:sz w:val="18"/>
          <w:szCs w:val="18"/>
          <w:color w:val="auto"/>
        </w:rPr>
      </w:pPr>
    </w:p>
    <w:p>
      <w:pPr>
        <w:ind w:left="1120" w:right="120" w:hanging="437"/>
        <w:spacing w:after="0" w:line="261" w:lineRule="auto"/>
        <w:tabs>
          <w:tab w:leader="none" w:pos="11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16 (Payments of Taxes) and 18 (Social Security and Pensions) on the earlier of: (i) six (6) months after the date on which the relevant Taxes have been finally assessed (</w:t>
      </w:r>
      <w:r>
        <w:rPr>
          <w:rFonts w:ascii="Arial" w:cs="Arial" w:eastAsia="Arial" w:hAnsi="Arial"/>
          <w:sz w:val="18"/>
          <w:szCs w:val="18"/>
          <w:i w:val="1"/>
          <w:iCs w:val="1"/>
          <w:color w:val="auto"/>
        </w:rPr>
        <w:t>veranlagt / taxées</w:t>
      </w:r>
      <w:r>
        <w:rPr>
          <w:rFonts w:ascii="Arial" w:cs="Arial" w:eastAsia="Arial" w:hAnsi="Arial"/>
          <w:sz w:val="18"/>
          <w:szCs w:val="18"/>
          <w:color w:val="auto"/>
        </w:rPr>
        <w:t>) and such assessment has become legally binding (</w:t>
      </w:r>
      <w:r>
        <w:rPr>
          <w:rFonts w:ascii="Arial" w:cs="Arial" w:eastAsia="Arial" w:hAnsi="Arial"/>
          <w:sz w:val="18"/>
          <w:szCs w:val="18"/>
          <w:i w:val="1"/>
          <w:iCs w:val="1"/>
          <w:color w:val="auto"/>
        </w:rPr>
        <w:t>rechtskräftig / définitivement jugées</w:t>
      </w:r>
      <w:r>
        <w:rPr>
          <w:rFonts w:ascii="Arial" w:cs="Arial" w:eastAsia="Arial" w:hAnsi="Arial"/>
          <w:sz w:val="18"/>
          <w:szCs w:val="18"/>
          <w:color w:val="auto"/>
        </w:rPr>
        <w:t>), or (ii) the date on which the statute of limitations for the relevant Taxes has expired; or</w:t>
      </w:r>
    </w:p>
    <w:p>
      <w:pPr>
        <w:spacing w:after="0" w:line="85" w:lineRule="exact"/>
        <w:rPr>
          <w:rFonts w:ascii="Arial" w:cs="Arial" w:eastAsia="Arial" w:hAnsi="Arial"/>
          <w:sz w:val="18"/>
          <w:szCs w:val="18"/>
          <w:color w:val="auto"/>
        </w:rPr>
      </w:pPr>
    </w:p>
    <w:p>
      <w:pPr>
        <w:ind w:left="1120" w:right="600" w:hanging="437"/>
        <w:spacing w:after="0" w:line="282" w:lineRule="auto"/>
        <w:tabs>
          <w:tab w:leader="none" w:pos="11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with respect to all other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as of the expiry of a period of twelve (12) months from the Closing.</w:t>
      </w:r>
    </w:p>
    <w:p>
      <w:pPr>
        <w:spacing w:after="0" w:line="54" w:lineRule="exact"/>
        <w:rPr>
          <w:sz w:val="20"/>
          <w:szCs w:val="20"/>
          <w:color w:val="auto"/>
        </w:rPr>
      </w:pPr>
    </w:p>
    <w:p>
      <w:pPr>
        <w:jc w:val="both"/>
        <w:ind w:left="700" w:right="100"/>
        <w:spacing w:after="0" w:line="266" w:lineRule="auto"/>
        <w:rPr>
          <w:sz w:val="20"/>
          <w:szCs w:val="20"/>
          <w:color w:val="auto"/>
        </w:rPr>
      </w:pPr>
      <w:r>
        <w:rPr>
          <w:rFonts w:ascii="Arial" w:cs="Arial" w:eastAsia="Arial" w:hAnsi="Arial"/>
          <w:sz w:val="18"/>
          <w:szCs w:val="18"/>
          <w:color w:val="auto"/>
        </w:rPr>
        <w:t xml:space="preserve">The representations and warranties given by each Investor as set forth in Section 7.2 and </w:t>
      </w:r>
      <w:r>
        <w:rPr>
          <w:rFonts w:ascii="Arial" w:cs="Arial" w:eastAsia="Arial" w:hAnsi="Arial"/>
          <w:sz w:val="18"/>
          <w:szCs w:val="18"/>
          <w:b w:val="1"/>
          <w:bCs w:val="1"/>
          <w:color w:val="auto"/>
        </w:rPr>
        <w:t>Annex 7.2</w:t>
      </w:r>
      <w:r>
        <w:rPr>
          <w:rFonts w:ascii="Arial" w:cs="Arial" w:eastAsia="Arial" w:hAnsi="Arial"/>
          <w:sz w:val="18"/>
          <w:szCs w:val="18"/>
          <w:color w:val="auto"/>
        </w:rPr>
        <w:t xml:space="preserve"> shall expire, and any claim of the Company for misrepresentation or breach of warranty shall be time barred, forfeited and precluded from being made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 as of the expiry of a period of twelve (12) months from the Closing.</w:t>
      </w:r>
    </w:p>
    <w:p>
      <w:pPr>
        <w:spacing w:after="0" w:line="72"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An Investor shall be entitled to make a claim in respect of liability which is contingent or unascertained provided that written notice of the claim (giving as far as practical the amount and details of the claim) is given to the Company before the expiry of the relevant periods specified in this Section. Any notice of claim for misrepresentation or breach of warranty may be delivered to the Company on or by the applicable date set forth in the preceding paragraphs, in which case the resolution of such claim may be</w:t>
      </w:r>
    </w:p>
    <w:p>
      <w:pPr>
        <w:sectPr>
          <w:pgSz w:w="11900" w:h="16838" w:orient="portrait"/>
          <w:cols w:equalWidth="0" w:num="1">
            <w:col w:w="11420"/>
          </w:cols>
          <w:pgMar w:left="240" w:top="274" w:right="239" w:bottom="1440" w:gutter="0" w:footer="0" w:header="0"/>
        </w:sectPr>
      </w:pPr>
    </w:p>
    <w:bookmarkStart w:id="570" w:name="page571"/>
    <w:bookmarkEnd w:id="570"/>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160"/>
        <w:spacing w:after="0" w:line="259" w:lineRule="auto"/>
        <w:rPr>
          <w:sz w:val="20"/>
          <w:szCs w:val="20"/>
          <w:color w:val="auto"/>
        </w:rPr>
      </w:pPr>
      <w:r>
        <w:rPr>
          <w:rFonts w:ascii="Arial" w:cs="Arial" w:eastAsia="Arial" w:hAnsi="Arial"/>
          <w:sz w:val="18"/>
          <w:szCs w:val="18"/>
          <w:color w:val="auto"/>
        </w:rPr>
        <w:t>effected after such date; provided, however, that notwithstanding the foregoing, such Investor’s claim shall be time-barred, forfeited and precluded from being made (</w:t>
      </w:r>
      <w:r>
        <w:rPr>
          <w:rFonts w:ascii="Arial" w:cs="Arial" w:eastAsia="Arial" w:hAnsi="Arial"/>
          <w:sz w:val="18"/>
          <w:szCs w:val="18"/>
          <w:i w:val="1"/>
          <w:iCs w:val="1"/>
          <w:color w:val="auto"/>
        </w:rPr>
        <w:t>verjährt / prescrit)</w:t>
      </w:r>
      <w:r>
        <w:rPr>
          <w:rFonts w:ascii="Arial" w:cs="Arial" w:eastAsia="Arial" w:hAnsi="Arial"/>
          <w:sz w:val="18"/>
          <w:szCs w:val="18"/>
          <w:color w:val="auto"/>
        </w:rPr>
        <w:t xml:space="preserve"> unless such Investor initiates proceedings on the claim against the Company pursuant to Section 11.13 (Arbitration) within twelve (12) months from the date of such Investor’s notice of claim to the Company. The rules in this paragraph shall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in case the Company makes a claim towards an Investor.</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Remedies for the Investors</w:t>
      </w:r>
    </w:p>
    <w:p>
      <w:pPr>
        <w:spacing w:after="0" w:line="117"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The Investors shall be indemnified for any and all direct costs, expenses, damages, claims, actions, demands, penalties or other liabilities including loss of Series E Original Issue Price but excluding any lost profits, resulting as a consequence of any inaccuracy or breach of any representation, warranty, covenant, undertaking, confirmation or obligation (the “</w:t>
      </w:r>
      <w:r>
        <w:rPr>
          <w:rFonts w:ascii="Arial" w:cs="Arial" w:eastAsia="Arial" w:hAnsi="Arial"/>
          <w:sz w:val="18"/>
          <w:szCs w:val="18"/>
          <w:b w:val="1"/>
          <w:bCs w:val="1"/>
          <w:color w:val="auto"/>
        </w:rPr>
        <w:t>Loss</w:t>
      </w:r>
      <w:r>
        <w:rPr>
          <w:rFonts w:ascii="Arial" w:cs="Arial" w:eastAsia="Arial" w:hAnsi="Arial"/>
          <w:sz w:val="18"/>
          <w:szCs w:val="18"/>
          <w:color w:val="auto"/>
        </w:rPr>
        <w:t>”), pursuant to the terms and conditions in this Section 8.3 thereby excluding any other remedy. The term Loss shall also include all duly documented external costs and reasonable expenses of the Investors claiming the Loss including reasonable attorneys’ fees.</w:t>
      </w:r>
    </w:p>
    <w:p>
      <w:pPr>
        <w:spacing w:after="0" w:line="80" w:lineRule="exact"/>
        <w:rPr>
          <w:sz w:val="20"/>
          <w:szCs w:val="20"/>
          <w:color w:val="auto"/>
        </w:rPr>
      </w:pPr>
    </w:p>
    <w:p>
      <w:pPr>
        <w:jc w:val="both"/>
        <w:ind w:left="700" w:right="240"/>
        <w:spacing w:after="0" w:line="264" w:lineRule="auto"/>
        <w:rPr>
          <w:sz w:val="20"/>
          <w:szCs w:val="20"/>
          <w:color w:val="auto"/>
        </w:rPr>
      </w:pPr>
      <w:r>
        <w:rPr>
          <w:rFonts w:ascii="Arial" w:cs="Arial" w:eastAsia="Arial" w:hAnsi="Arial"/>
          <w:sz w:val="18"/>
          <w:szCs w:val="18"/>
          <w:color w:val="auto"/>
        </w:rPr>
        <w:t>To the extent the claimed Loss is remedied in full by the Company immediately upon receiving notification of the Loss, or at the latest within one month after receiving the claim, and provided the Company has established the contractually due status, the claim shall lapse and be of no further effect.</w:t>
      </w:r>
    </w:p>
    <w:p>
      <w:pPr>
        <w:spacing w:after="0" w:line="73"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Subject to Section 8.4 hereinafter and subject to the subsequent paragraph, the Loss shall be compensated in full by the Company by way of a compensatory capital increase of the Company’s share capital (“</w:t>
      </w:r>
      <w:r>
        <w:rPr>
          <w:rFonts w:ascii="Arial" w:cs="Arial" w:eastAsia="Arial" w:hAnsi="Arial"/>
          <w:sz w:val="17"/>
          <w:szCs w:val="17"/>
          <w:b w:val="1"/>
          <w:bCs w:val="1"/>
          <w:color w:val="auto"/>
        </w:rPr>
        <w:t>Compensatory Capital Increase</w:t>
      </w:r>
      <w:r>
        <w:rPr>
          <w:rFonts w:ascii="Arial" w:cs="Arial" w:eastAsia="Arial" w:hAnsi="Arial"/>
          <w:sz w:val="17"/>
          <w:szCs w:val="17"/>
          <w:color w:val="auto"/>
        </w:rPr>
        <w:t>”). The Compensatory Capital Increase shall be resolved and completed without undue delay after the demand by such Investor or Investors.</w:t>
      </w:r>
    </w:p>
    <w:p>
      <w:pPr>
        <w:spacing w:after="0" w:line="57"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As part of the Compensatory Capital Increase, the Investors shall be invited, to the exclusion of the subscription rights of all other Shareholders, to subscribe to the number of Series E Preferred Shares at its nominal value (currently CHF 5.00) per share so that the Investors shall receive such participation in the Company’s share capital as if the Investors had invested the funds committed under this Subscription Agreement and the additional funds provided in the Compensatory Capital Increase from the start at the Reduced Valuation. The “Reduced Valuation” shall be equal to a pre-money valuation of the Company (i.e. before the Series E Financing Round) less the amount of all Losses.</w:t>
      </w:r>
    </w:p>
    <w:p>
      <w:pPr>
        <w:spacing w:after="0" w:line="50" w:lineRule="exact"/>
        <w:rPr>
          <w:sz w:val="20"/>
          <w:szCs w:val="20"/>
          <w:color w:val="auto"/>
        </w:rPr>
      </w:pPr>
    </w:p>
    <w:p>
      <w:pPr>
        <w:ind w:left="700" w:right="360"/>
        <w:spacing w:after="0" w:line="308" w:lineRule="auto"/>
        <w:rPr>
          <w:sz w:val="20"/>
          <w:szCs w:val="20"/>
          <w:color w:val="auto"/>
        </w:rPr>
      </w:pPr>
      <w:r>
        <w:rPr>
          <w:rFonts w:ascii="Arial" w:cs="Arial" w:eastAsia="Arial" w:hAnsi="Arial"/>
          <w:sz w:val="17"/>
          <w:szCs w:val="17"/>
          <w:color w:val="auto"/>
        </w:rPr>
        <w:t>To the extent that the Compensatory Capital Increase cannot be implemented, resolved or is blocked for whatever reason for a period of 90 days after the claim is due, the Company shall indemnify the Investors irrespective of fault for any Loss through a payment in cash.</w:t>
      </w:r>
    </w:p>
    <w:p>
      <w:pPr>
        <w:spacing w:after="0" w:line="38"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remedies in this Section 8.3 for any misrepresentation or breach of warranty under this Subscription Agreement by the Company shall be in lieu of, and not in addition to, the remedies provided for under statutory law. All other remedies including, without limitation, the right to rescind this Subscription Agreement shall, subject to the right of termination and rescission in accordance with Section 6, not apply and are expressly excluded and waived.</w:t>
      </w:r>
    </w:p>
    <w:p>
      <w:pPr>
        <w:sectPr>
          <w:pgSz w:w="11900" w:h="16838" w:orient="portrait"/>
          <w:cols w:equalWidth="0" w:num="1">
            <w:col w:w="11420"/>
          </w:cols>
          <w:pgMar w:left="240" w:top="274" w:right="239" w:bottom="1440" w:gutter="0" w:footer="0" w:header="0"/>
        </w:sectPr>
      </w:pPr>
    </w:p>
    <w:bookmarkStart w:id="571" w:name="page572"/>
    <w:bookmarkEnd w:id="571"/>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Limitations on Liability by the Company</w:t>
      </w:r>
    </w:p>
    <w:p>
      <w:pPr>
        <w:spacing w:after="0" w:line="117"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The liability of the Company and towards all Investors for misrepresentations or breaches of warranties under this Subscription Agreement shall be excluded if the aggregate amount of the claimed Basket Losses for all Investors does not exceed CHF 1’000’000; provided, however, in the case the total claimed Basket Losses exceed CHF 1’000’000, the entire Loss (and not only the amount above the claimed Basket Losses) is to be compensated. For purposes hereof, “Basket Losses” shall mean actual damages, claims, actions, demands, penalties or other liabilities including loss of Series E Original Issue Price but excluding any lost profits, resulting as a consequence of any inaccuracy or breach of any representation, warranty, covenant, undertaking, confirmation or obligation but excluding attorney’s fees and other external costs and expenses of the Investors claiming the Loss.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Investor confirms not to be aware that the Company is in breach of any representation or warranty at the date of this Subscription Agreement.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explicitly exclude and waive Article 200 para 2 CO, if and to the extent applicable.</w:t>
      </w:r>
    </w:p>
    <w:p>
      <w:pPr>
        <w:spacing w:after="0" w:line="103"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The Company’s liability for misrepresentation or breach of warranty under this Subscription Agreement shall be excluded or reduced, as the case may be, if and to the extent that:</w:t>
      </w:r>
    </w:p>
    <w:p>
      <w:pPr>
        <w:spacing w:after="0" w:line="76" w:lineRule="exact"/>
        <w:rPr>
          <w:sz w:val="20"/>
          <w:szCs w:val="20"/>
          <w:color w:val="auto"/>
        </w:rPr>
      </w:pPr>
    </w:p>
    <w:p>
      <w:pPr>
        <w:ind w:left="1120" w:right="180" w:hanging="437"/>
        <w:spacing w:after="0" w:line="286" w:lineRule="auto"/>
        <w:tabs>
          <w:tab w:leader="none" w:pos="11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Such Investor or the Company has actually recovered or, using commercially reasonable best efforts, could recover or could have recovered, as the case may be, from any third person, including but not limited to an insurer, any sum in respect of any matter to which a claim made relates, after deduction of all duly documented costs and expenses incurred in making such recovery;</w:t>
      </w:r>
    </w:p>
    <w:p>
      <w:pPr>
        <w:spacing w:after="0" w:line="70" w:lineRule="exact"/>
        <w:rPr>
          <w:rFonts w:ascii="Arial" w:cs="Arial" w:eastAsia="Arial" w:hAnsi="Arial"/>
          <w:sz w:val="17"/>
          <w:szCs w:val="17"/>
          <w:color w:val="auto"/>
        </w:rPr>
      </w:pPr>
    </w:p>
    <w:p>
      <w:pPr>
        <w:jc w:val="both"/>
        <w:ind w:left="1120" w:right="140" w:hanging="437"/>
        <w:spacing w:after="0" w:line="342" w:lineRule="auto"/>
        <w:tabs>
          <w:tab w:leader="none" w:pos="112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 specific provision, reserve or valuation allowance has been or is made or included in the financial statements / management accounts of the Company as of 31 December 2014 with respect to the facts, matters or circumstances resulting in a misrepresentation of breach of warranty;</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such Loss is attributable to any act, omission, Subscription or arrangement of the Company after the closing of this Subscription Agreement;</w:t>
      </w:r>
    </w:p>
    <w:p>
      <w:pPr>
        <w:spacing w:after="0" w:line="153" w:lineRule="exact"/>
        <w:rPr>
          <w:rFonts w:ascii="Arial" w:cs="Arial" w:eastAsia="Arial" w:hAnsi="Arial"/>
          <w:sz w:val="16"/>
          <w:szCs w:val="16"/>
          <w:color w:val="auto"/>
        </w:rPr>
      </w:pPr>
    </w:p>
    <w:p>
      <w:pPr>
        <w:ind w:left="1120" w:right="220" w:hanging="437"/>
        <w:spacing w:after="0" w:line="259" w:lineRule="auto"/>
        <w:tabs>
          <w:tab w:leader="none" w:pos="11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to the extent that such Loss arises only as a result of any change in the accounting bases or policies in accordance with which the Company values its assets or calculate its liabilities or any other change in accounting practice from the treatment or application of the same used in preparing the accounts (save to the extent that such changes are required to correct errors or because relevant generally accepted accounting principles have not been complied with);</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tax payable by the Company is reduced as a result of a matter giving rise to a claim for misrepresentation or breach of warranty; and</w:t>
      </w:r>
    </w:p>
    <w:p>
      <w:pPr>
        <w:spacing w:after="0" w:line="142" w:lineRule="exact"/>
        <w:rPr>
          <w:rFonts w:ascii="Arial" w:cs="Arial" w:eastAsia="Arial" w:hAnsi="Arial"/>
          <w:sz w:val="17"/>
          <w:szCs w:val="17"/>
          <w:color w:val="auto"/>
        </w:rPr>
      </w:pPr>
    </w:p>
    <w:p>
      <w:pPr>
        <w:ind w:left="1120" w:right="20" w:hanging="437"/>
        <w:spacing w:after="0" w:line="302" w:lineRule="auto"/>
        <w:tabs>
          <w:tab w:leader="none" w:pos="112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such claim arises or is increased as a result of any legislation, regulation, rule of law or practice not in force at the date hereof, or as a result of the withdrawal (which is not due to any act or omission of the Company) after Closing of any authorization, license or permit previously made by any relevant authority, or as a result of any change made or introduced on or after the date hereof in any legislation, regulation, rule of law or practice of any relevant authority, whether or not such change or withdrawal purports to be effective retrospectively in whole or part.</w:t>
      </w:r>
    </w:p>
    <w:p>
      <w:pPr>
        <w:sectPr>
          <w:pgSz w:w="11900" w:h="16838" w:orient="portrait"/>
          <w:cols w:equalWidth="0" w:num="1">
            <w:col w:w="11420"/>
          </w:cols>
          <w:pgMar w:left="240" w:top="273" w:right="239"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0" w:hanging="672"/>
        <w:spacing w:after="0"/>
        <w:tabs>
          <w:tab w:leader="none" w:pos="68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Issuance of New Shares and Registration in the Share Register</w:t>
      </w:r>
    </w:p>
    <w:p>
      <w:pPr>
        <w:spacing w:after="0" w:line="117"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color w:val="auto"/>
        </w:rPr>
        <w:t>Promptly following the receipt of the certified extract and/or express confirmation of the Register of Commerce evidencing the registration of the Series E capital increase and the respective adoption of the Revised Articles of Association the Company shall deliver to the Investors a copy of the updated share register of the Company evidencing each Investor as owner of the appropriate number of Series E Preferred Shares.</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Information Rights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deliver to each Investor at a minimum,</w:t>
      </w:r>
    </w:p>
    <w:p>
      <w:pPr>
        <w:spacing w:after="0" w:line="131" w:lineRule="exact"/>
        <w:rPr>
          <w:sz w:val="20"/>
          <w:szCs w:val="20"/>
          <w:color w:val="auto"/>
        </w:rPr>
      </w:pPr>
    </w:p>
    <w:p>
      <w:pPr>
        <w:ind w:left="1120" w:hanging="437"/>
        <w:spacing w:after="0"/>
        <w:tabs>
          <w:tab w:leader="none" w:pos="11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audited financial statements within 90 days after the end of each fiscal year, prepared in accordance with IFRS;</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unaudited quarterly financial statements within 30 days from the end of each quarter;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quarterly progress reports as determined by the Board</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The Company shall promptly and accurately respond, and shall use its best efforts to cause its transfer agent to promptly respond, to requests for information made on behalf of any Investor or such Investor’s fund or account relating to accounting or securities law matters required in connection with its audit or the actual holdings of the Investor or of the Investor’s funds or accounts, including in relation to the total outstanding shares.</w:t>
      </w:r>
    </w:p>
    <w:p>
      <w:pPr>
        <w:spacing w:after="0" w:line="39"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information rights shall expire once no Investor (or the Investor’s fund or account) holds any securities of the Company that are restricted under the Securities Act, as amended.</w:t>
      </w:r>
    </w:p>
    <w:p>
      <w:pPr>
        <w:spacing w:after="0" w:line="315" w:lineRule="exact"/>
        <w:rPr>
          <w:sz w:val="20"/>
          <w:szCs w:val="20"/>
          <w:color w:val="auto"/>
        </w:rPr>
      </w:pPr>
    </w:p>
    <w:p>
      <w:pPr>
        <w:ind w:left="680" w:hanging="672"/>
        <w:spacing w:after="0"/>
        <w:tabs>
          <w:tab w:leader="none" w:pos="68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PARTIES’ RIGHTS AND OBLIGATIONS</w:t>
      </w:r>
    </w:p>
    <w:p>
      <w:pPr>
        <w:spacing w:after="0" w:line="121" w:lineRule="exact"/>
        <w:rPr>
          <w:rFonts w:ascii="Arial" w:cs="Arial" w:eastAsia="Arial" w:hAnsi="Arial"/>
          <w:sz w:val="18"/>
          <w:szCs w:val="18"/>
          <w:b w:val="1"/>
          <w:bCs w:val="1"/>
          <w:color w:val="auto"/>
        </w:rPr>
      </w:pPr>
    </w:p>
    <w:p>
      <w:pPr>
        <w:ind w:left="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Except as specifically provided otherwise in this Subscription Agreement, the rights and obligations of the Parties hereunder shall be several (and not joint). Each Investor may exercise and enforce its rights hereunder in accordance with this Subscription Agreement, and the non-performance by the Company or a Shareholder (the “</w:t>
      </w:r>
      <w:r>
        <w:rPr>
          <w:rFonts w:ascii="Arial" w:cs="Arial" w:eastAsia="Arial" w:hAnsi="Arial"/>
          <w:sz w:val="18"/>
          <w:szCs w:val="18"/>
          <w:b w:val="1"/>
          <w:bCs w:val="1"/>
          <w:color w:val="auto"/>
        </w:rPr>
        <w:t>Defaulting Party</w:t>
      </w:r>
      <w:r>
        <w:rPr>
          <w:rFonts w:ascii="Arial" w:cs="Arial" w:eastAsia="Arial" w:hAnsi="Arial"/>
          <w:sz w:val="18"/>
          <w:szCs w:val="18"/>
          <w:color w:val="auto"/>
        </w:rPr>
        <w:t>”) shall neither relieve the Company nor any other Shareholder from performing its obligations under this Subscription Agreement, nor shall the Company (provided it is not the Defaulting Party) or any other Shareholder be liable for the non-performance by the Defaulting Party. Nothing in this Subscription Agreement is intended to or shall be construed as establishing or implying any partnership of any kind between the Parties.</w:t>
      </w:r>
    </w:p>
    <w:p>
      <w:pPr>
        <w:sectPr>
          <w:pgSz w:w="11900" w:h="16838" w:orient="portrait"/>
          <w:cols w:equalWidth="0" w:num="1">
            <w:col w:w="11420"/>
          </w:cols>
          <w:pgMar w:left="240" w:top="274" w:right="239"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Confidentiality</w:t>
      </w:r>
    </w:p>
    <w:p>
      <w:pPr>
        <w:spacing w:after="0" w:line="117" w:lineRule="exact"/>
        <w:rPr>
          <w:sz w:val="20"/>
          <w:szCs w:val="20"/>
          <w:color w:val="auto"/>
        </w:rPr>
      </w:pPr>
    </w:p>
    <w:p>
      <w:pPr>
        <w:ind w:left="700" w:right="40"/>
        <w:spacing w:after="0" w:line="268" w:lineRule="auto"/>
        <w:rPr>
          <w:sz w:val="20"/>
          <w:szCs w:val="20"/>
          <w:color w:val="auto"/>
        </w:rPr>
      </w:pPr>
      <w:r>
        <w:rPr>
          <w:rFonts w:ascii="Arial" w:cs="Arial" w:eastAsia="Arial" w:hAnsi="Arial"/>
          <w:sz w:val="17"/>
          <w:szCs w:val="17"/>
          <w:color w:val="auto"/>
        </w:rPr>
        <w:t xml:space="preserve">Unless disclosure is or has been approved by the Company and V-Sciences, the existence as well as the terms and conditions of this Subscription Agreement, and any information exchanged between the Parties (including their respective representatives or advisors) during the due diligence and the negotiation of the definitive agreements for the Series E Financing Round and/or pertaining to the business and the operation of the Company shall be kept strictly confidential by each Party as further outlined in the Shareholders’ Agreement, provided however, that the Company may confirm that an Investor is the investor in the Company following the public announcement of the Closing of the Series E Financing. Any Party may disclose the terms of this Subscription Agreement (i) to the extent required to comply with any governmental or regulatory inquiry or with applicable law, including the rules and regulations promulgated by the United States Securities and Exchange Commission or any equivalent governmental agency to which the Party is subject;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where it is practicable such Party will solicit and will reasonably consider the comments of the other Party regarding confidential treatment sought for such disclosure; (ii) to the extent required for the enforcement of such Party’s rights hereunder and/or under the Shareholders’ Agreement; and (iii) to its affiliated companies, advisors (including financial advisors, attorneys and accountants), actual or potential acquisition partners, financing sources or investors and underwriters on a need to know basis;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disclosure is covered by terms of confidentiality similar to those set forth herein (which may include professional ethical</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w:t>
      </w:r>
    </w:p>
    <w:p>
      <w:pPr>
        <w:spacing w:after="0" w:line="3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Successors and Assignment</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This Subscription Agreement shall be binding upon and shall inure to the benefit of the Parties hereto and their respective permitted successors and assigns.</w:t>
      </w:r>
    </w:p>
    <w:p>
      <w:pPr>
        <w:spacing w:after="0" w:line="62" w:lineRule="exact"/>
        <w:rPr>
          <w:sz w:val="20"/>
          <w:szCs w:val="20"/>
          <w:color w:val="auto"/>
        </w:rPr>
      </w:pPr>
    </w:p>
    <w:p>
      <w:pPr>
        <w:jc w:val="both"/>
        <w:ind w:left="700" w:right="40"/>
        <w:spacing w:after="0" w:line="312" w:lineRule="auto"/>
        <w:rPr>
          <w:sz w:val="20"/>
          <w:szCs w:val="20"/>
          <w:color w:val="auto"/>
        </w:rPr>
      </w:pPr>
      <w:r>
        <w:rPr>
          <w:rFonts w:ascii="Arial" w:cs="Arial" w:eastAsia="Arial" w:hAnsi="Arial"/>
          <w:sz w:val="16"/>
          <w:szCs w:val="16"/>
          <w:color w:val="auto"/>
        </w:rPr>
        <w:t>None of the Parties shall be entitled to assign all or any part of its rights and obligations under this Subscription Agreement without the prior written consent of the other Parties, except that post the Closing each Investor may assign its rights and obligations under this Subscription Agreement with the prior written consent of the Company in conjunction with a transfer of Shares pursuant to and in compliance with the Shareholders’ Agreement.</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Costs and Expenses, Taxes</w:t>
      </w:r>
    </w:p>
    <w:p>
      <w:pPr>
        <w:spacing w:after="0" w:line="117"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Provided the Series E Financing Round is closed, the Company shall pay the reasonable fees and out-of-pocket expenses of counsel for the several Investors, in an aggregate amount not to exceed USD 100’000 including any taxes. The Company shall also bear all Swiss issuance and stamp taxes arising out of the Series E Financing Round. Each Party shall bear any other costs and any other expenses arising out of or incurred, and any taxes imposed on it, in connection with this Subscription Agreement and all Subscriptions contemplated hereby.</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Notices</w:t>
      </w:r>
    </w:p>
    <w:p>
      <w:pPr>
        <w:spacing w:after="0" w:line="117"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All notices and other communications made or to be made under this Subscription Agreement shall be effective upon receipt and shall be given in writing by courier, or</w:t>
      </w:r>
    </w:p>
    <w:p>
      <w:pPr>
        <w:sectPr>
          <w:pgSz w:w="11900" w:h="16838" w:orient="portrait"/>
          <w:cols w:equalWidth="0" w:num="1">
            <w:col w:w="11420"/>
          </w:cols>
          <w:pgMar w:left="240" w:top="274" w:right="23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100"/>
        <w:spacing w:after="0" w:line="277" w:lineRule="auto"/>
        <w:rPr>
          <w:sz w:val="20"/>
          <w:szCs w:val="20"/>
          <w:color w:val="auto"/>
        </w:rPr>
      </w:pPr>
      <w:r>
        <w:rPr>
          <w:rFonts w:ascii="Arial" w:cs="Arial" w:eastAsia="Arial" w:hAnsi="Arial"/>
          <w:sz w:val="18"/>
          <w:szCs w:val="18"/>
          <w:color w:val="auto"/>
        </w:rPr>
        <w:t>registered mail to the addressees listed on the first page of this Subscription Agreement. Any notice to the Company shall be sent to the attention of the Chairman of the Board and to the attention of the CEO.</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V-Sciences Investments Pte Ltd. shall be sent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Khoo Shih</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Temasek Holdings (Private) Limited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60B Orchard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Atrium@Orchard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Singapore 238891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the Company shall be sent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1015 Lausanne,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21 693 91 21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Attn. Dr. Matthias Staehelin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4010 Basel,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58 211 33 00</w:t>
      </w:r>
    </w:p>
    <w:p>
      <w:pPr>
        <w:spacing w:after="0" w:line="103"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Each Party may change or amend the addresses given in this Subscription Agreement or designate additional addresses for the purposes of this Section by giving the other Parties written notice of the new address in the manner set forth in this Section.</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This Subscription Agreement (including its Appendices) and any written document executed in connection herewith constitutes the entire agreement between the Parties hereto with respect to the subject matter hereof and supersedes any agreement or understanding that may have been concluded with respect to the subject matter hereof between any of the Parties prior to the date of this Subscription Agreement.</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Severability</w:t>
      </w:r>
    </w:p>
    <w:p>
      <w:pPr>
        <w:spacing w:after="0" w:line="11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If at any time any provision of this Subscription Agreement or any part thereof is or becomes invalid or unenforceable, then neither the validity nor the enforceability of the remaining provisions or the remaining part of the provision shall in any way be affected or impaired thereby. The Parties agree to replace the invalid or unenforceable provision or part thereof by a valid or enforceable provision which shall best reflect the Parties’ original intention and shall to the extent possible achieve the same economic result.</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Termination at IPO and Survival</w:t>
      </w:r>
    </w:p>
    <w:p>
      <w:pPr>
        <w:spacing w:after="0" w:line="117" w:lineRule="exact"/>
        <w:rPr>
          <w:sz w:val="20"/>
          <w:szCs w:val="20"/>
          <w:color w:val="auto"/>
        </w:rPr>
      </w:pPr>
    </w:p>
    <w:p>
      <w:pPr>
        <w:ind w:left="700" w:right="800"/>
        <w:spacing w:after="0" w:line="264" w:lineRule="auto"/>
        <w:rPr>
          <w:sz w:val="20"/>
          <w:szCs w:val="20"/>
          <w:color w:val="auto"/>
        </w:rPr>
      </w:pPr>
      <w:r>
        <w:rPr>
          <w:rFonts w:ascii="Arial" w:cs="Arial" w:eastAsia="Arial" w:hAnsi="Arial"/>
          <w:sz w:val="18"/>
          <w:szCs w:val="18"/>
          <w:color w:val="auto"/>
        </w:rPr>
        <w:t>This Subscription Agreement shall terminate at a firmly underwritten public offering of Common Shares of the Company for listing on an internationally recognized stock exchange at a pre-money valuation at the IPO date of not less than the Post Series E Valuation (USD 500’000’000.00 assuming the issuance of 20’755 Series E Preferred</w:t>
      </w:r>
    </w:p>
    <w:p>
      <w:pPr>
        <w:sectPr>
          <w:pgSz w:w="11900" w:h="16838" w:orient="portrait"/>
          <w:cols w:equalWidth="0" w:num="1">
            <w:col w:w="11420"/>
          </w:cols>
          <w:pgMar w:left="240" w:top="273" w:right="239" w:bottom="1440" w:gutter="0" w:footer="0" w:header="0"/>
        </w:sectPr>
      </w:pPr>
    </w:p>
    <w:bookmarkStart w:id="575" w:name="page576"/>
    <w:bookmarkEnd w:id="575"/>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80"/>
        <w:spacing w:after="0" w:line="302" w:lineRule="auto"/>
        <w:rPr>
          <w:sz w:val="20"/>
          <w:szCs w:val="20"/>
          <w:color w:val="auto"/>
        </w:rPr>
      </w:pPr>
      <w:r>
        <w:rPr>
          <w:rFonts w:ascii="Arial" w:cs="Arial" w:eastAsia="Arial" w:hAnsi="Arial"/>
          <w:sz w:val="16"/>
          <w:szCs w:val="16"/>
          <w:color w:val="auto"/>
        </w:rPr>
        <w:t>Shares) and with gross proceeds from the initial public offering of at least USD 50 million. Notwithstanding any termination and rescission of this Subscription Agreement (and the Shareholders’ Agreement and any documents, instruments or deeds executed by an Investor including, but not limited to, the Subscription Forms) pursuant to Section 6 above, it is acknowledged and agreed that Sections 6 (Termination and Recission) and this Section 11.7 shall survive any such termination and rescission and continue to be effective as if no such termination and rescission had occurred.</w:t>
      </w:r>
    </w:p>
    <w:p>
      <w:pPr>
        <w:spacing w:after="0" w:line="3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Amendments</w:t>
      </w:r>
    </w:p>
    <w:p>
      <w:pPr>
        <w:spacing w:after="0" w:line="117"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This Subscription Agreement including this Section 11.8 may be amended only in writing by an instrument signed by the Company and all Investors.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Waiver of Rights</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No waiver by a Party of a failure of any other Party to perform any provision of this Subscription Agreement shall operate or be construed as a waiver in respect of any other or further failure whether of a similar or different character.</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Announcement</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Each Investor shall consult with the Company, and the Company shall consult with such Investor, before issuing any press releases or otherwise making any public statements with respect to this Subscription Agreement and the matter contemplated hereby. The wording and timing of the initial public announcement of the acquisition of the equity participation in the Company shall be mutually agreed between the Company and V-Sciences.</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Counterparts</w:t>
      </w:r>
    </w:p>
    <w:p>
      <w:pPr>
        <w:spacing w:after="0" w:line="117"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This Subscription Agreement may be executed in so many counterparts as there are Parties to it, each of which shall constitute an original, and all counterparts shall constitute an original, and all counterparts shall together constitute one and the same instrument. Execution copies may be delivered by as PDF by e-mail (in which case original copies shall subsequently be sent by mail as soon as possible).</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Applicable Law</w:t>
      </w:r>
    </w:p>
    <w:p>
      <w:pPr>
        <w:spacing w:after="0" w:line="11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This Subscription Agreement and all disputes including those concerning any statute of limitations, set-off claims, tort claims and interest claims, shall be governed by the substantive laws of Switzerland excluding its conflict of laws rules.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Arbitration</w:t>
      </w:r>
    </w:p>
    <w:p>
      <w:pPr>
        <w:spacing w:after="0" w:line="117"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ectPr>
          <w:pgSz w:w="11900" w:h="16838" w:orient="portrait"/>
          <w:cols w:equalWidth="0" w:num="1">
            <w:col w:w="11420"/>
          </w:cols>
          <w:pgMar w:left="240" w:top="274" w:right="239" w:bottom="1440" w:gutter="0" w:footer="0" w:header="0"/>
        </w:sectPr>
      </w:pPr>
    </w:p>
    <w:bookmarkStart w:id="576" w:name="page577"/>
    <w:bookmarkEnd w:id="576"/>
    <w:tbl>
      <w:tblPr>
        <w:tblLayout w:type="fixed"/>
        <w:tblInd w:w="0" w:type="dxa"/>
        <w:tblCellMar>
          <w:top w:w="0" w:type="dxa"/>
          <w:left w:w="0" w:type="dxa"/>
          <w:bottom w:w="0" w:type="dxa"/>
          <w:right w:w="0" w:type="dxa"/>
        </w:tblCellMar>
      </w:tblP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10420" w:type="dxa"/>
            <w:vAlign w:val="bottom"/>
          </w:tcPr>
          <w:p>
            <w:pPr>
              <w:spacing w:after="0"/>
              <w:rPr>
                <w:sz w:val="20"/>
                <w:szCs w:val="20"/>
                <w:color w:val="auto"/>
              </w:rPr>
            </w:pPr>
            <w:r>
              <w:rPr>
                <w:rFonts w:ascii="Arial" w:cs="Arial" w:eastAsia="Arial" w:hAnsi="Arial"/>
                <w:sz w:val="18"/>
                <w:szCs w:val="18"/>
                <w:color w:val="auto"/>
                <w:w w:val="98"/>
              </w:rPr>
              <w:t>IN WITNESS WHEREOF the Parties have caused the Subscription Agreement to be duly executed as of the date first written above.</w:t>
            </w:r>
          </w:p>
        </w:tc>
        <w:tc>
          <w:tcPr>
            <w:tcW w:w="100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 Singapore / 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V-Sciences Investments Pte Ltd.</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5380" w:type="dxa"/>
            <w:vAlign w:val="bottom"/>
            <w:gridSpan w:val="6"/>
          </w:tcPr>
          <w:p>
            <w:pPr>
              <w:spacing w:after="0"/>
              <w:rPr>
                <w:sz w:val="20"/>
                <w:szCs w:val="20"/>
                <w:color w:val="auto"/>
              </w:rPr>
            </w:pPr>
            <w:r>
              <w:rPr>
                <w:rFonts w:ascii="Arial" w:cs="Arial" w:eastAsia="Arial" w:hAnsi="Arial"/>
                <w:sz w:val="18"/>
                <w:szCs w:val="18"/>
                <w:color w:val="auto"/>
              </w:rPr>
              <w:t>Signature</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Fidah Alsagoff</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Tan</w:t>
            </w:r>
          </w:p>
        </w:tc>
      </w:tr>
      <w:tr>
        <w:trPr>
          <w:trHeight w:val="331"/>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Fidah Alsagoff</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Tan</w:t>
            </w:r>
          </w:p>
        </w:tc>
      </w:tr>
      <w:tr>
        <w:trPr>
          <w:trHeight w:val="331"/>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Authorised Signatory</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Witness</w:t>
            </w:r>
          </w:p>
        </w:tc>
      </w:tr>
      <w:tr>
        <w:trPr>
          <w:trHeight w:val="466"/>
        </w:trPr>
        <w:tc>
          <w:tcPr>
            <w:tcW w:w="1120" w:type="dxa"/>
            <w:vAlign w:val="bottom"/>
            <w:gridSpan w:val="3"/>
          </w:tcPr>
          <w:p>
            <w:pPr>
              <w:spacing w:after="0"/>
              <w:rPr>
                <w:sz w:val="20"/>
                <w:szCs w:val="20"/>
                <w:color w:val="auto"/>
              </w:rPr>
            </w:pPr>
            <w:r>
              <w:rPr>
                <w:rFonts w:ascii="Arial" w:cs="Arial" w:eastAsia="Arial" w:hAnsi="Arial"/>
                <w:sz w:val="18"/>
                <w:szCs w:val="18"/>
                <w:color w:val="auto"/>
              </w:rPr>
              <w:t>Place/Date:</w:t>
            </w:r>
          </w:p>
        </w:tc>
        <w:tc>
          <w:tcPr>
            <w:tcW w:w="346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66"/>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AC Immune SA</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2"/>
        </w:trPr>
        <w:tc>
          <w:tcPr>
            <w:tcW w:w="5380" w:type="dxa"/>
            <w:vAlign w:val="bottom"/>
            <w:gridSpan w:val="6"/>
          </w:tcPr>
          <w:p>
            <w:pPr>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4"/>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gridSpan w:val="5"/>
          </w:tcPr>
          <w:p>
            <w:pPr>
              <w:ind w:left="40"/>
              <w:spacing w:after="0"/>
              <w:rPr>
                <w:sz w:val="20"/>
                <w:szCs w:val="20"/>
                <w:color w:val="auto"/>
              </w:rPr>
            </w:pPr>
            <w:r>
              <w:rPr>
                <w:rFonts w:ascii="Arial" w:cs="Arial" w:eastAsia="Arial" w:hAnsi="Arial"/>
                <w:sz w:val="18"/>
                <w:szCs w:val="18"/>
                <w:color w:val="auto"/>
              </w:rPr>
              <w:t>Martin Velasco</w:t>
            </w:r>
          </w:p>
        </w:tc>
        <w:tc>
          <w:tcPr>
            <w:tcW w:w="7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Matthias Staehelin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gridSpan w:val="5"/>
          </w:tcPr>
          <w:p>
            <w:pPr>
              <w:ind w:left="40"/>
              <w:spacing w:after="0"/>
              <w:rPr>
                <w:sz w:val="20"/>
                <w:szCs w:val="20"/>
                <w:color w:val="auto"/>
              </w:rPr>
            </w:pPr>
            <w:r>
              <w:rPr>
                <w:rFonts w:ascii="Arial" w:cs="Arial" w:eastAsia="Arial" w:hAnsi="Arial"/>
                <w:sz w:val="18"/>
                <w:szCs w:val="18"/>
                <w:color w:val="auto"/>
              </w:rPr>
              <w:t>Chairman of the Board</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Secretary of the Board (Non-Member)</w:t>
            </w:r>
          </w:p>
        </w:tc>
      </w:tr>
    </w:tbl>
    <w:p>
      <w:pPr>
        <w:sectPr>
          <w:pgSz w:w="11900" w:h="16838" w:orient="portrait"/>
          <w:cols w:equalWidth="0" w:num="1">
            <w:col w:w="11420"/>
          </w:cols>
          <w:pgMar w:left="240" w:top="273" w:right="239" w:bottom="1440" w:gutter="0" w:footer="0" w:header="0"/>
        </w:sectPr>
      </w:pPr>
    </w:p>
    <w:bookmarkStart w:id="577" w:name="page578"/>
    <w:bookmarkEnd w:id="5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the Subscription Agreement to be duly executed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V-Sciences Investments Pte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Place/Date: Lausanne, 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Velasco</w:t>
            </w:r>
          </w:p>
        </w:tc>
        <w:tc>
          <w:tcPr>
            <w:tcW w:w="7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Martin Velasco</w:t>
            </w:r>
          </w:p>
        </w:tc>
        <w:tc>
          <w:tcPr>
            <w:tcW w:w="7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Chairman of the Board</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sectPr>
          <w:pgSz w:w="11900" w:h="16838" w:orient="portrait"/>
          <w:cols w:equalWidth="0" w:num="1">
            <w:col w:w="11420"/>
          </w:cols>
          <w:pgMar w:left="240" w:top="274" w:right="239" w:bottom="1440" w:gutter="0" w:footer="0" w:header="0"/>
        </w:sectPr>
      </w:pPr>
    </w:p>
    <w:bookmarkStart w:id="578" w:name="page579"/>
    <w:bookmarkEnd w:id="5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the Subscription Agreement to be duly executed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V-Sciences Investments Pte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Place/Date: Bangkok / 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Matthias Staehelin</w:t>
            </w: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Martin Velasco</w:t>
            </w:r>
          </w:p>
        </w:tc>
        <w:tc>
          <w:tcPr>
            <w:tcW w:w="7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Chairman of the Board</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sectPr>
          <w:pgSz w:w="11900" w:h="16838" w:orient="portrait"/>
          <w:cols w:equalWidth="0" w:num="1">
            <w:col w:w="11420"/>
          </w:cols>
          <w:pgMar w:left="240" w:top="273" w:right="239" w:bottom="1440" w:gutter="0" w:footer="0" w:header="0"/>
        </w:sectPr>
      </w:pPr>
    </w:p>
    <w:bookmarkStart w:id="579" w:name="page580"/>
    <w:bookmarkEnd w:id="5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80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222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7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9"/>
        </w:trPr>
        <w:tc>
          <w:tcPr>
            <w:tcW w:w="2220" w:type="dxa"/>
            <w:vAlign w:val="bottom"/>
          </w:tcPr>
          <w:p>
            <w:pPr>
              <w:spacing w:after="0"/>
              <w:rPr>
                <w:sz w:val="20"/>
                <w:szCs w:val="20"/>
                <w:color w:val="auto"/>
              </w:rPr>
            </w:pPr>
            <w:r>
              <w:rPr>
                <w:rFonts w:ascii="Arial" w:cs="Arial" w:eastAsia="Arial" w:hAnsi="Arial"/>
                <w:sz w:val="18"/>
                <w:szCs w:val="18"/>
                <w:color w:val="auto"/>
              </w:rPr>
              <w:t>Annex 0</w:t>
            </w:r>
          </w:p>
        </w:tc>
        <w:tc>
          <w:tcPr>
            <w:tcW w:w="7580" w:type="dxa"/>
            <w:vAlign w:val="bottom"/>
          </w:tcPr>
          <w:p>
            <w:pPr>
              <w:ind w:left="1120"/>
              <w:spacing w:after="0"/>
              <w:rPr>
                <w:sz w:val="20"/>
                <w:szCs w:val="20"/>
                <w:color w:val="auto"/>
              </w:rPr>
            </w:pPr>
            <w:r>
              <w:rPr>
                <w:rFonts w:ascii="Arial" w:cs="Arial" w:eastAsia="Arial" w:hAnsi="Arial"/>
                <w:sz w:val="18"/>
                <w:szCs w:val="18"/>
                <w:color w:val="auto"/>
              </w:rPr>
              <w:t>Shareholders’ Agreement dated 16 October 2015</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2.2</w:t>
            </w:r>
          </w:p>
        </w:tc>
        <w:tc>
          <w:tcPr>
            <w:tcW w:w="7580" w:type="dxa"/>
            <w:vAlign w:val="bottom"/>
          </w:tcPr>
          <w:p>
            <w:pPr>
              <w:ind w:left="1120"/>
              <w:spacing w:after="0"/>
              <w:rPr>
                <w:sz w:val="20"/>
                <w:szCs w:val="20"/>
                <w:color w:val="auto"/>
              </w:rPr>
            </w:pPr>
            <w:r>
              <w:rPr>
                <w:rFonts w:ascii="Arial" w:cs="Arial" w:eastAsia="Arial" w:hAnsi="Arial"/>
                <w:sz w:val="18"/>
                <w:szCs w:val="18"/>
                <w:color w:val="auto"/>
              </w:rPr>
              <w:t>Current Articles of Association of the Company as of 1 October 2015</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3.1</w:t>
            </w:r>
          </w:p>
        </w:tc>
        <w:tc>
          <w:tcPr>
            <w:tcW w:w="7580" w:type="dxa"/>
            <w:vAlign w:val="bottom"/>
          </w:tcPr>
          <w:p>
            <w:pPr>
              <w:ind w:left="1120"/>
              <w:spacing w:after="0"/>
              <w:rPr>
                <w:sz w:val="20"/>
                <w:szCs w:val="20"/>
                <w:color w:val="auto"/>
              </w:rPr>
            </w:pPr>
            <w:r>
              <w:rPr>
                <w:rFonts w:ascii="Arial" w:cs="Arial" w:eastAsia="Arial" w:hAnsi="Arial"/>
                <w:sz w:val="18"/>
                <w:szCs w:val="18"/>
                <w:color w:val="auto"/>
              </w:rPr>
              <w:t>Adherence Declaration</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3.2</w:t>
            </w:r>
          </w:p>
        </w:tc>
        <w:tc>
          <w:tcPr>
            <w:tcW w:w="7580" w:type="dxa"/>
            <w:vAlign w:val="bottom"/>
          </w:tcPr>
          <w:p>
            <w:pPr>
              <w:ind w:left="1120"/>
              <w:spacing w:after="0"/>
              <w:rPr>
                <w:sz w:val="20"/>
                <w:szCs w:val="20"/>
                <w:color w:val="auto"/>
              </w:rPr>
            </w:pPr>
            <w:r>
              <w:rPr>
                <w:rFonts w:ascii="Arial" w:cs="Arial" w:eastAsia="Arial" w:hAnsi="Arial"/>
                <w:sz w:val="18"/>
                <w:szCs w:val="18"/>
                <w:color w:val="auto"/>
              </w:rPr>
              <w:t>Subscription Form</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3.3</w:t>
            </w:r>
          </w:p>
        </w:tc>
        <w:tc>
          <w:tcPr>
            <w:tcW w:w="7580" w:type="dxa"/>
            <w:vAlign w:val="bottom"/>
          </w:tcPr>
          <w:p>
            <w:pPr>
              <w:ind w:left="1120"/>
              <w:spacing w:after="0"/>
              <w:rPr>
                <w:sz w:val="20"/>
                <w:szCs w:val="20"/>
                <w:color w:val="auto"/>
              </w:rPr>
            </w:pPr>
            <w:r>
              <w:rPr>
                <w:rFonts w:ascii="Arial" w:cs="Arial" w:eastAsia="Arial" w:hAnsi="Arial"/>
                <w:sz w:val="18"/>
                <w:szCs w:val="18"/>
                <w:color w:val="auto"/>
              </w:rPr>
              <w:t>Revised Articles of Association of the Company as of Closing</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4</w:t>
            </w:r>
          </w:p>
        </w:tc>
        <w:tc>
          <w:tcPr>
            <w:tcW w:w="7580" w:type="dxa"/>
            <w:vAlign w:val="bottom"/>
          </w:tcPr>
          <w:p>
            <w:pPr>
              <w:ind w:left="1120"/>
              <w:spacing w:after="0"/>
              <w:rPr>
                <w:sz w:val="20"/>
                <w:szCs w:val="20"/>
                <w:color w:val="auto"/>
              </w:rPr>
            </w:pPr>
            <w:r>
              <w:rPr>
                <w:rFonts w:ascii="Arial" w:cs="Arial" w:eastAsia="Arial" w:hAnsi="Arial"/>
                <w:sz w:val="18"/>
                <w:szCs w:val="18"/>
                <w:color w:val="auto"/>
              </w:rPr>
              <w:t>Capitalization Table of the Company Post Closing</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5.2.1(e)</w:t>
            </w:r>
          </w:p>
        </w:tc>
        <w:tc>
          <w:tcPr>
            <w:tcW w:w="7580" w:type="dxa"/>
            <w:vAlign w:val="bottom"/>
          </w:tcPr>
          <w:p>
            <w:pPr>
              <w:ind w:left="1120"/>
              <w:spacing w:after="0"/>
              <w:rPr>
                <w:sz w:val="20"/>
                <w:szCs w:val="20"/>
                <w:color w:val="auto"/>
              </w:rPr>
            </w:pPr>
            <w:r>
              <w:rPr>
                <w:rFonts w:ascii="Arial" w:cs="Arial" w:eastAsia="Arial" w:hAnsi="Arial"/>
                <w:sz w:val="18"/>
                <w:szCs w:val="18"/>
                <w:color w:val="auto"/>
              </w:rPr>
              <w:t>Registration Rights Agreement</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5.2.1(f)</w:t>
            </w:r>
          </w:p>
        </w:tc>
        <w:tc>
          <w:tcPr>
            <w:tcW w:w="7580" w:type="dxa"/>
            <w:vAlign w:val="bottom"/>
          </w:tcPr>
          <w:p>
            <w:pPr>
              <w:ind w:left="1120"/>
              <w:spacing w:after="0"/>
              <w:rPr>
                <w:sz w:val="20"/>
                <w:szCs w:val="20"/>
                <w:color w:val="auto"/>
              </w:rPr>
            </w:pPr>
            <w:r>
              <w:rPr>
                <w:rFonts w:ascii="Arial" w:cs="Arial" w:eastAsia="Arial" w:hAnsi="Arial"/>
                <w:sz w:val="18"/>
                <w:szCs w:val="18"/>
                <w:color w:val="auto"/>
              </w:rPr>
              <w:t>Legal Opinion VISCHER AG</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5.3(a)</w:t>
            </w:r>
          </w:p>
        </w:tc>
        <w:tc>
          <w:tcPr>
            <w:tcW w:w="7580" w:type="dxa"/>
            <w:vAlign w:val="bottom"/>
          </w:tcPr>
          <w:p>
            <w:pPr>
              <w:ind w:left="1120"/>
              <w:spacing w:after="0"/>
              <w:rPr>
                <w:sz w:val="20"/>
                <w:szCs w:val="20"/>
                <w:color w:val="auto"/>
              </w:rPr>
            </w:pPr>
            <w:r>
              <w:rPr>
                <w:rFonts w:ascii="Arial" w:cs="Arial" w:eastAsia="Arial" w:hAnsi="Arial"/>
                <w:sz w:val="18"/>
                <w:szCs w:val="18"/>
                <w:color w:val="auto"/>
              </w:rPr>
              <w:t>Certificates for fulfilled conditions precedent</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7.1</w:t>
            </w:r>
          </w:p>
        </w:tc>
        <w:tc>
          <w:tcPr>
            <w:tcW w:w="7580" w:type="dxa"/>
            <w:vAlign w:val="bottom"/>
          </w:tcPr>
          <w:p>
            <w:pPr>
              <w:ind w:left="1120"/>
              <w:spacing w:after="0"/>
              <w:rPr>
                <w:sz w:val="20"/>
                <w:szCs w:val="20"/>
                <w:color w:val="auto"/>
              </w:rPr>
            </w:pPr>
            <w:r>
              <w:rPr>
                <w:rFonts w:ascii="Arial" w:cs="Arial" w:eastAsia="Arial" w:hAnsi="Arial"/>
                <w:sz w:val="18"/>
                <w:szCs w:val="18"/>
                <w:color w:val="auto"/>
              </w:rPr>
              <w:t>Representation and Warranties by the Company</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7.2</w:t>
            </w:r>
          </w:p>
        </w:tc>
        <w:tc>
          <w:tcPr>
            <w:tcW w:w="7580" w:type="dxa"/>
            <w:vAlign w:val="bottom"/>
          </w:tcPr>
          <w:p>
            <w:pPr>
              <w:ind w:left="1120"/>
              <w:spacing w:after="0"/>
              <w:rPr>
                <w:sz w:val="20"/>
                <w:szCs w:val="20"/>
                <w:color w:val="auto"/>
              </w:rPr>
            </w:pPr>
            <w:r>
              <w:rPr>
                <w:rFonts w:ascii="Arial" w:cs="Arial" w:eastAsia="Arial" w:hAnsi="Arial"/>
                <w:sz w:val="18"/>
                <w:szCs w:val="18"/>
                <w:color w:val="auto"/>
              </w:rPr>
              <w:t>Representation and Warranties by each Investor</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Adherence Declaration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(hereinafter “</w:t>
      </w:r>
      <w:r>
        <w:rPr>
          <w:rFonts w:ascii="Arial" w:cs="Arial" w:eastAsia="Arial" w:hAnsi="Arial"/>
          <w:sz w:val="16"/>
          <w:szCs w:val="16"/>
          <w:b w:val="1"/>
          <w:bCs w:val="1"/>
          <w:color w:val="auto"/>
        </w:rPr>
        <w:t>Investor</w:t>
      </w:r>
      <w:r>
        <w:rPr>
          <w:rFonts w:ascii="Arial" w:cs="Arial" w:eastAsia="Arial" w:hAnsi="Arial"/>
          <w:sz w:val="16"/>
          <w:szCs w:val="16"/>
          <w:color w:val="auto"/>
        </w:rPr>
        <w:t>”)</w:t>
      </w:r>
    </w:p>
    <w:p>
      <w:pPr>
        <w:spacing w:after="0" w:line="25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WHEREAS, the Subscription Agreement as of 16 October 2015 regarding AC Immune SA, a Swiss share company registered under the number CHE-109.878.825, EPFL Innovation Park, bâtiment B, 1015 Lausanne, Switzerland (the “</w:t>
      </w:r>
      <w:r>
        <w:rPr>
          <w:rFonts w:ascii="Arial" w:cs="Arial" w:eastAsia="Arial" w:hAnsi="Arial"/>
          <w:sz w:val="18"/>
          <w:szCs w:val="18"/>
          <w:b w:val="1"/>
          <w:bCs w:val="1"/>
          <w:color w:val="auto"/>
        </w:rPr>
        <w:t>Company</w:t>
      </w:r>
      <w:r>
        <w:rPr>
          <w:rFonts w:ascii="Arial" w:cs="Arial" w:eastAsia="Arial" w:hAnsi="Arial"/>
          <w:sz w:val="18"/>
          <w:szCs w:val="18"/>
          <w:color w:val="auto"/>
        </w:rPr>
        <w:t>”), was executed between the Company and [●]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enclosed as Appendix A to this adherence declaration);</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WHEREAS, pursuant to the Subscription Agreement existing shareholders and other investors may participate for up to USD 49’472’456.16 in the investment in the Company by way of adherence to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Investor is willing to invest in the Company or increase its investment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Investor hereby declares and agrees to the following:</w:t>
      </w:r>
    </w:p>
    <w:p>
      <w:pPr>
        <w:spacing w:after="0" w:line="370" w:lineRule="exact"/>
        <w:rPr>
          <w:sz w:val="20"/>
          <w:szCs w:val="20"/>
          <w:color w:val="auto"/>
        </w:rPr>
      </w:pPr>
    </w:p>
    <w:p>
      <w:pPr>
        <w:ind w:left="460" w:hanging="452"/>
        <w:spacing w:after="0"/>
        <w:tabs>
          <w:tab w:leader="none" w:pos="4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in this adherence declaration, all capitalized terms shall have the meaning according to the definition in the Subscription Agreement.</w:t>
      </w:r>
    </w:p>
    <w:p>
      <w:pPr>
        <w:spacing w:after="0" w:line="393"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ADHERENCE TO THE SUBSCRIPTION AGREEMENT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Investor hereby adheres to the Subscription Agreement as additional Investor and undertakes to invest a total amount of USD [AMOUNT] according to the terms in this adherence declaration and according to the terms of the Subscription Agreement.</w:t>
      </w:r>
    </w:p>
    <w:p>
      <w:pPr>
        <w:spacing w:after="0" w:line="315" w:lineRule="exact"/>
        <w:rPr>
          <w:sz w:val="20"/>
          <w:szCs w:val="20"/>
          <w:color w:val="auto"/>
        </w:rPr>
      </w:pPr>
    </w:p>
    <w:p>
      <w:pPr>
        <w:ind w:left="460" w:hanging="452"/>
        <w:spacing w:after="0"/>
        <w:tabs>
          <w:tab w:leader="none" w:pos="46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 JURISDICTION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adherence declaration and all disputes including those concerning any statute of limitations, set-off claims, tort claims and interest claims, shall be governed by the substantive laws of Switzerland excluding its conflict of laws rules.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adherence declaration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ectPr>
          <w:pgSz w:w="11900" w:h="16838" w:orient="portrait"/>
          <w:cols w:equalWidth="0" w:num="1">
            <w:col w:w="11420"/>
          </w:cols>
          <w:pgMar w:left="240" w:top="273" w:right="239" w:bottom="1440" w:gutter="0" w:footer="0" w:header="0"/>
        </w:sectPr>
      </w:pPr>
    </w:p>
    <w:bookmarkStart w:id="581" w:name="page582"/>
    <w:bookmarkEnd w:id="5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Appendix A</w:t>
      </w:r>
      <w:r>
        <w:rPr>
          <w:sz w:val="20"/>
          <w:szCs w:val="20"/>
          <w:color w:val="auto"/>
        </w:rPr>
        <w:tab/>
      </w:r>
      <w:r>
        <w:rPr>
          <w:rFonts w:ascii="Arial" w:cs="Arial" w:eastAsia="Arial" w:hAnsi="Arial"/>
          <w:sz w:val="16"/>
          <w:szCs w:val="16"/>
          <w:color w:val="auto"/>
        </w:rPr>
        <w:t>Subscription Agreement 16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has caused this adherence declaration to be duly executed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Place</w:t>
            </w: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Date</w:t>
            </w: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color w:val="auto"/>
              </w:rPr>
              <w:t>Cambridge MA USA</w:t>
            </w:r>
          </w:p>
        </w:tc>
        <w:tc>
          <w:tcPr>
            <w:tcW w:w="540" w:type="dxa"/>
            <w:vAlign w:val="bottom"/>
          </w:tcPr>
          <w:p>
            <w:pPr>
              <w:spacing w:after="0"/>
              <w:rPr>
                <w:sz w:val="24"/>
                <w:szCs w:val="24"/>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October 19, 2015</w:t>
            </w:r>
          </w:p>
        </w:tc>
      </w:tr>
      <w:tr>
        <w:trPr>
          <w:trHeight w:val="466"/>
        </w:trPr>
        <w:tc>
          <w:tcPr>
            <w:tcW w:w="5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Signature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top w:val="single" w:sz="8" w:color="auto"/>
            </w:tcBorders>
          </w:tcPr>
          <w:p>
            <w:pPr>
              <w:spacing w:after="0"/>
              <w:rPr>
                <w:sz w:val="24"/>
                <w:szCs w:val="24"/>
                <w:color w:val="auto"/>
              </w:rPr>
            </w:pP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Hansjoerg Wyss</w:t>
            </w:r>
          </w:p>
        </w:tc>
        <w:tc>
          <w:tcPr>
            <w:tcW w:w="12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gridSpan w:val="3"/>
          </w:tcPr>
          <w:p>
            <w:pPr>
              <w:ind w:left="80"/>
              <w:spacing w:after="0"/>
              <w:rPr>
                <w:sz w:val="20"/>
                <w:szCs w:val="20"/>
                <w:color w:val="auto"/>
              </w:rPr>
            </w:pPr>
            <w:r>
              <w:rPr>
                <w:rFonts w:ascii="Arial" w:cs="Arial" w:eastAsia="Arial" w:hAnsi="Arial"/>
                <w:sz w:val="18"/>
                <w:szCs w:val="18"/>
                <w:color w:val="auto"/>
              </w:rPr>
              <w:t>Hansjoerg Wyss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gridSpan w:val="3"/>
          </w:tcPr>
          <w:p>
            <w:pPr>
              <w:ind w:left="80"/>
              <w:spacing w:after="0"/>
              <w:rPr>
                <w:sz w:val="20"/>
                <w:szCs w:val="20"/>
                <w:color w:val="auto"/>
              </w:rPr>
            </w:pPr>
            <w:r>
              <w:rPr>
                <w:rFonts w:ascii="Arial" w:cs="Arial" w:eastAsia="Arial" w:hAnsi="Arial"/>
                <w:sz w:val="18"/>
                <w:szCs w:val="18"/>
                <w:color w:val="auto"/>
              </w:rPr>
              <w:t>Trustee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b w:val="1"/>
                <w:bCs w:val="1"/>
                <w:color w:val="auto"/>
              </w:rPr>
              <w:t>Accepted: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59"/>
        </w:trPr>
        <w:tc>
          <w:tcPr>
            <w:tcW w:w="5860" w:type="dxa"/>
            <w:vAlign w:val="bottom"/>
            <w:gridSpan w:val="4"/>
          </w:tcPr>
          <w:p>
            <w:pPr>
              <w:spacing w:after="0"/>
              <w:rPr>
                <w:sz w:val="20"/>
                <w:szCs w:val="20"/>
                <w:color w:val="auto"/>
              </w:rPr>
            </w:pPr>
            <w:r>
              <w:rPr>
                <w:rFonts w:ascii="Arial" w:cs="Arial" w:eastAsia="Arial" w:hAnsi="Arial"/>
                <w:sz w:val="18"/>
                <w:szCs w:val="18"/>
                <w:color w:val="auto"/>
              </w:rPr>
              <w:t>AC Immune SA</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5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tcBorders>
              <w:bottom w:val="single" w:sz="8" w:color="auto"/>
            </w:tcBorders>
            <w:gridSpan w:val="2"/>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74" w:right="23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4718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3412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AND REGISTRATION FORM</w:t>
      </w:r>
    </w:p>
    <w:p>
      <w:pPr>
        <w:spacing w:after="0" w:line="22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Subscription Rights and Shares may not be offered or sold, directly or indirectly, in or from any country or jurisdiction except under circumstances that will result in compliance with any applicable rules and regulations of any such country or jurisdiction. This security offering is in the United States solely addressed to accredited investors (as defined in Regulation D of the Securities Act) and in the European Union solely addressed to qualified investors or to special category of investors (as defined in article 2 section 1 E of the Prospectus Directive).</w:t>
      </w:r>
    </w:p>
    <w:p>
      <w:pPr>
        <w:spacing w:after="0" w:line="1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Making reference to the articles of association AC Immune SA, with registered seat in Lausanne, company number CHE-109.878.825 (the “Company”), as enacted the extraordinary general meeting held on October 1, 2015 and the resolutions of such meeting and a meeting of the Board of Directors to increase the share capital of the Company by the aggregate amount of CHF[102’680] from CHF [853’900] (amount registered in the register of commerce not taking into account the 502 options for common shares exercised in 2015) up to CHF [956’580] through the issuance of up to 20’536 new Series E Preferred Shares (the “Preferred Series E Shares” and each a “Preferred Series E Share”) with a nominal value of CHF 5.00 each at the subscription amount of USD 2’409.06, and the corresponding rights offering, offering such shares for a price of USD 2’409.06 per share in cash at issuance.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My/Our commitment for the Series E Financing Round is USD</w:t>
      </w:r>
    </w:p>
    <w:p>
      <w:pPr>
        <w:spacing w:after="0" w:line="117"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For my/our commitment I/we hereby unconditionally subscribe (in words ) Preferred Series E Shares with the irrevocable and unconditional undertaking to pay the issue price of USD 2’409.06 for each allotted Preferred Series E Share to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I/we grant power of attorney to each member of the board of directors of the Company to repeat the subscription of based on a signed copy of this form.</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I/we confirm the following: (1) My/our overall commitment to investments that are not readily marketable is reasonable in relation to my/our net worth; (2) I am/we are willing and able to bear the economic risk of this investment; and (3) I am/we are purchasing the shares offered for my/our own account for investment purposes only and not with a view to distribution or resale.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I/we confirm that I/we have taken note of the contents of the Articles of Association of the Company as resolved on October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I/we declare that I/we will acquire Preferred Series E Shares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my/our own name and for my/our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trustee (nominee) for the following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2320" w:val="left"/>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 address</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 /we confirm that I/we are not acquiring the Shares for the account or benefit of another person who is a U.S. person or resident in China, Australia, Canada, Taiwan or Japan.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I/we request that the Preferred Series E Shares be entered into the shareholders’ register of AC Immune SA under my/our name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Individuals</w:t>
      </w:r>
    </w:p>
    <w:p>
      <w:pPr>
        <w:spacing w:after="0" w:line="84" w:lineRule="exact"/>
        <w:rPr>
          <w:sz w:val="20"/>
          <w:szCs w:val="20"/>
          <w:color w:val="auto"/>
        </w:rPr>
      </w:pPr>
    </w:p>
    <w:p>
      <w:pPr>
        <w:spacing w:after="0" w:line="207" w:lineRule="exact"/>
        <w:tabs>
          <w:tab w:leader="none" w:pos="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Ms/Mrs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Nationality:</w:t>
            </w:r>
          </w:p>
        </w:tc>
        <w:tc>
          <w:tcPr>
            <w:tcW w:w="7060" w:type="dxa"/>
            <w:vAlign w:val="bottom"/>
          </w:tcPr>
          <w:p>
            <w:pPr>
              <w:ind w:left="2140"/>
              <w:spacing w:after="0"/>
              <w:rPr>
                <w:sz w:val="20"/>
                <w:szCs w:val="20"/>
                <w:color w:val="auto"/>
              </w:rPr>
            </w:pPr>
            <w:r>
              <w:rPr>
                <w:rFonts w:ascii="Arial" w:cs="Arial" w:eastAsia="Arial" w:hAnsi="Arial"/>
                <w:sz w:val="18"/>
                <w:szCs w:val="18"/>
                <w:color w:val="auto"/>
              </w:rPr>
              <w:t>Date of Birth:</w:t>
            </w:r>
          </w:p>
        </w:tc>
      </w:tr>
      <w:tr>
        <w:trPr>
          <w:trHeight w:val="20"/>
        </w:trPr>
        <w:tc>
          <w:tcPr>
            <w:tcW w:w="480" w:type="dxa"/>
            <w:vAlign w:val="bottom"/>
            <w:gridSpan w:val="2"/>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r>
      <w:tr>
        <w:trPr>
          <w:trHeight w:val="547"/>
        </w:trPr>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Legal Entities</w:t>
            </w:r>
          </w:p>
        </w:tc>
        <w:tc>
          <w:tcPr>
            <w:tcW w:w="706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Status:</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Line of Business:</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Activity/Purpose: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Jurisdiction of Incorporation:</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Notices from AC Immune SA should be sent to:</w:t>
      </w:r>
    </w:p>
    <w:p>
      <w:pPr>
        <w:spacing w:after="0" w:line="252" w:lineRule="exact"/>
        <w:rPr>
          <w:sz w:val="20"/>
          <w:szCs w:val="20"/>
          <w:color w:val="auto"/>
        </w:rPr>
      </w:pPr>
    </w:p>
    <w:p>
      <w:pPr>
        <w:ind w:left="680" w:hanging="213"/>
        <w:spacing w:after="0"/>
        <w:tabs>
          <w:tab w:leader="none" w:pos="680" w:val="left"/>
        </w:tabs>
        <w:numPr>
          <w:ilvl w:val="0"/>
          <w:numId w:val="428"/>
        </w:numPr>
        <w:rPr>
          <w:rFonts w:ascii="MS PGothic" w:cs="MS PGothic" w:eastAsia="MS PGothic" w:hAnsi="MS PGothic"/>
          <w:sz w:val="18"/>
          <w:szCs w:val="18"/>
          <w:color w:val="auto"/>
        </w:rPr>
      </w:pPr>
      <w:r>
        <w:rPr>
          <w:rFonts w:ascii="Arial" w:cs="Arial" w:eastAsia="Arial" w:hAnsi="Arial"/>
          <w:sz w:val="18"/>
          <w:szCs w:val="18"/>
          <w:color w:val="auto"/>
        </w:rPr>
        <w:t>the above address</w:t>
      </w:r>
    </w:p>
    <w:p>
      <w:pPr>
        <w:spacing w:after="0" w:line="43" w:lineRule="exact"/>
        <w:rPr>
          <w:rFonts w:ascii="MS PGothic" w:cs="MS PGothic" w:eastAsia="MS PGothic" w:hAnsi="MS PGothic"/>
          <w:sz w:val="18"/>
          <w:szCs w:val="18"/>
          <w:color w:val="auto"/>
        </w:rPr>
      </w:pPr>
    </w:p>
    <w:p>
      <w:pPr>
        <w:ind w:left="680" w:hanging="213"/>
        <w:spacing w:after="0"/>
        <w:tabs>
          <w:tab w:leader="none" w:pos="680" w:val="left"/>
        </w:tabs>
        <w:numPr>
          <w:ilvl w:val="0"/>
          <w:numId w:val="428"/>
        </w:numPr>
        <w:rPr>
          <w:rFonts w:ascii="MS PGothic" w:cs="MS PGothic" w:eastAsia="MS PGothic" w:hAnsi="MS PGothic"/>
          <w:sz w:val="18"/>
          <w:szCs w:val="18"/>
          <w:color w:val="auto"/>
        </w:rPr>
      </w:pPr>
      <w:r>
        <w:rPr>
          <w:rFonts w:ascii="Arial" w:cs="Arial" w:eastAsia="Arial" w:hAnsi="Arial"/>
          <w:sz w:val="18"/>
          <w:szCs w:val="18"/>
          <w:color w:val="auto"/>
        </w:rPr>
        <w:t>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-143510</wp:posOffset>
            </wp:positionV>
            <wp:extent cx="66636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173355</wp:posOffset>
            </wp:positionV>
            <wp:extent cx="66636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I am a U.S. Person as defined in Regulation S (see on the form below), I/we confirm I am/we are an accredited investor(s) as that term is defined in Regulation D of the Securities Act (see at the end of this form), the Preferred Series E Shares have not been offered for sale to me/us in the United States, and I am/we are not acquiring the Shares for the account or benefit of any other U.S. person.</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I am /we are a resident of a members state of the European Union, I/we understand that the offering is solely addressed to qualified investors or to special category of investors (as defined in article 2 section 1 E of the Prospectus Directive, see below) and that any subscription by another person may not be permitted and must be approved by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and Payment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I/we will wire the amount of USD 2’409.06 for each Preferred Series E Shares allotted to me/us with value date October , 2015 to the following escrow bank account: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Name of bank: Credit Suisse AG, St. Alban-Graben 1-3, 4002 Basel/Switzerland, SWIFT CRESCHZZ80A Benificiary/Formal account holder: AC Immune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 EPFL Innovation Park, Building B, CH 1015 Lausanne, Suisse; Account Number USD: IBAN CH72 0483 5173 7769 4200 7</w:t>
      </w:r>
    </w:p>
    <w:p>
      <w:pPr>
        <w:sectPr>
          <w:pgSz w:w="11900" w:h="16838" w:orient="portrait"/>
          <w:cols w:equalWidth="0" w:num="1">
            <w:col w:w="11400"/>
          </w:cols>
          <w:pgMar w:left="240" w:top="274" w:right="259" w:bottom="1440" w:gutter="0" w:footer="0" w:header="0"/>
        </w:sectPr>
      </w:pPr>
    </w:p>
    <w:bookmarkStart w:id="584" w:name="page585"/>
    <w:bookmarkEnd w:id="5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Duties /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stamp tax (“Emissionsabgabe”) will be borne by AC Immune SA. The Shares are entitled to dividends starting with the business year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 of the Series E Preference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shares are subject to an escrow arrangement as laid out in Section D4 of the Shareholders’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I/We hereby declare that I/we have taken notice of and fully understood the content of the Shareholders’ Agreement dated 16 October 2015 and that I/we hereby unconditionally and irrevocably accede to the Shareholders’ Agreement and assume all rights and duties thereunder.</w:t>
      </w:r>
    </w:p>
    <w:p>
      <w:pPr>
        <w:spacing w:after="0" w:line="14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This Subscription and Registration Form is subject to Swiss law. 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20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Place/Date: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[signature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need be notarized]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Securities Act of 1933: Definition of U.S. Person / Accredited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used in Regulation S, the term “U.S. person” means:</w:t>
      </w:r>
    </w:p>
    <w:p>
      <w:pPr>
        <w:spacing w:after="0" w:line="225" w:lineRule="exact"/>
        <w:rPr>
          <w:sz w:val="20"/>
          <w:szCs w:val="20"/>
          <w:color w:val="auto"/>
        </w:rPr>
      </w:pPr>
    </w:p>
    <w:p>
      <w:pPr>
        <w:ind w:left="220" w:hanging="212"/>
        <w:spacing w:after="0"/>
        <w:tabs>
          <w:tab w:leader="none" w:pos="2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25" w:lineRule="exact"/>
        <w:rPr>
          <w:rFonts w:ascii="Arial" w:cs="Arial" w:eastAsia="Arial" w:hAnsi="Arial"/>
          <w:sz w:val="18"/>
          <w:szCs w:val="18"/>
          <w:color w:val="auto"/>
        </w:rPr>
      </w:pPr>
    </w:p>
    <w:p>
      <w:pPr>
        <w:ind w:right="420" w:firstLine="8"/>
        <w:spacing w:after="0" w:line="277" w:lineRule="auto"/>
        <w:tabs>
          <w:tab w:leader="none" w:pos="30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non-discretionary account or similar account (other than an estate or trust) held by a dealer or other fiduciary for the benefit or account of a U.S. person;</w:t>
      </w:r>
    </w:p>
    <w:p>
      <w:pPr>
        <w:spacing w:after="0" w:line="170" w:lineRule="exact"/>
        <w:rPr>
          <w:rFonts w:ascii="Arial" w:cs="Arial" w:eastAsia="Arial" w:hAnsi="Arial"/>
          <w:sz w:val="18"/>
          <w:szCs w:val="18"/>
          <w:color w:val="auto"/>
        </w:rPr>
      </w:pPr>
    </w:p>
    <w:p>
      <w:pPr>
        <w:ind w:right="820" w:firstLine="8"/>
        <w:spacing w:after="0" w:line="277" w:lineRule="auto"/>
        <w:tabs>
          <w:tab w:leader="none" w:pos="35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170" w:lineRule="exact"/>
        <w:rPr>
          <w:rFonts w:ascii="Arial" w:cs="Arial" w:eastAsia="Arial" w:hAnsi="Arial"/>
          <w:sz w:val="18"/>
          <w:szCs w:val="18"/>
          <w:color w:val="auto"/>
        </w:rPr>
      </w:pPr>
    </w:p>
    <w:p>
      <w:pPr>
        <w:ind w:right="60" w:firstLine="8"/>
        <w:spacing w:after="0" w:line="312" w:lineRule="auto"/>
        <w:tabs>
          <w:tab w:leader="none" w:pos="40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any partnership or corporation if: (A) organized or incorporated under the laws of any foreign jurisdiction; and (B) formed by a U.S. person principally for the purpose of investing in securities not registered under the Act, unless it is organized or incorporated, and owned, by accredited investors (as defined in Rule 501(a), which is codified in Title 17 of the US Code of Federal Regulations as § 230.501) who are not natural persons, estates or trusts.</w:t>
      </w:r>
    </w:p>
    <w:p>
      <w:pPr>
        <w:sectPr>
          <w:pgSz w:w="11900" w:h="16838" w:orient="portrait"/>
          <w:cols w:equalWidth="0" w:num="1">
            <w:col w:w="11420"/>
          </w:cols>
          <w:pgMar w:left="240" w:top="273" w:right="2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As used in Regulation D, </w:t>
      </w:r>
      <w:r>
        <w:rPr>
          <w:rFonts w:ascii="Arial" w:cs="Arial" w:eastAsia="Arial" w:hAnsi="Arial"/>
          <w:sz w:val="18"/>
          <w:szCs w:val="18"/>
          <w:i w:val="1"/>
          <w:iCs w:val="1"/>
          <w:color w:val="auto"/>
        </w:rPr>
        <w:t>accredited investor</w:t>
      </w:r>
      <w:r>
        <w:rPr>
          <w:rFonts w:ascii="Arial" w:cs="Arial" w:eastAsia="Arial" w:hAnsi="Arial"/>
          <w:sz w:val="18"/>
          <w:szCs w:val="18"/>
          <w:color w:val="auto"/>
        </w:rPr>
        <w:t xml:space="preserve"> shall mean any person who comes within any of the following categories, or who the issuer reasonably believes comes within any of the following categories, at the time of the sale of the securities to that person:</w:t>
      </w:r>
    </w:p>
    <w:p>
      <w:pPr>
        <w:spacing w:after="0" w:line="76" w:lineRule="exact"/>
        <w:rPr>
          <w:sz w:val="20"/>
          <w:szCs w:val="20"/>
          <w:color w:val="auto"/>
        </w:rPr>
      </w:pPr>
    </w:p>
    <w:p>
      <w:pPr>
        <w:ind w:left="900" w:hanging="446"/>
        <w:spacing w:after="0" w:line="288" w:lineRule="auto"/>
        <w:tabs>
          <w:tab w:leader="none" w:pos="9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Any bank as defined in section 3(a)(2) of the Act, or any savings and loan association or other institution as defined in section 3(a)(5)(A) of the Act whether acting in its individual or fiduciary capacity; any broker or dealer registered pursuant to section 15 of the Securities Exchange Act of 1934; any insurance company as defined in section 2(a)(13) of the Act; any investment company registered under the Investment Company Act of 1940 or a business development company as defined in section 2(a)(48) of that Act; any Small Business Investment Company licensed by the U.S. Small Business Administration under section 301(c) or (d) of the Small Business Investment Act of 1958; any plan established and maintained by a state, its political subdivisions, or any agency or instrumentality of a state or its political subdivisions, for the benefit of its employees, if such plan has total assets in excess of $5,000,000; 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74" w:lineRule="exact"/>
        <w:rPr>
          <w:rFonts w:ascii="Arial" w:cs="Arial" w:eastAsia="Arial" w:hAnsi="Arial"/>
          <w:sz w:val="16"/>
          <w:szCs w:val="16"/>
          <w:color w:val="auto"/>
        </w:rPr>
      </w:pPr>
    </w:p>
    <w:p>
      <w:pPr>
        <w:ind w:left="900" w:hanging="446"/>
        <w:spacing w:after="0"/>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30" w:lineRule="exact"/>
        <w:rPr>
          <w:rFonts w:ascii="Arial" w:cs="Arial" w:eastAsia="Arial" w:hAnsi="Arial"/>
          <w:sz w:val="18"/>
          <w:szCs w:val="18"/>
          <w:color w:val="auto"/>
        </w:rPr>
      </w:pPr>
    </w:p>
    <w:p>
      <w:pPr>
        <w:ind w:left="900" w:right="860" w:hanging="446"/>
        <w:spacing w:after="0" w:line="342" w:lineRule="auto"/>
        <w:tabs>
          <w:tab w:leader="none" w:pos="9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 $1,000,000 excluding the value of the primary residence of such person;</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Except as provided in paragraph ii. below, for purposes of calculating net worth:</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The person’s primary residence shall not be included as an asset;</w:t>
      </w:r>
    </w:p>
    <w:p>
      <w:pPr>
        <w:spacing w:after="0" w:line="130" w:lineRule="exact"/>
        <w:rPr>
          <w:rFonts w:ascii="Arial" w:cs="Arial" w:eastAsia="Arial" w:hAnsi="Arial"/>
          <w:sz w:val="18"/>
          <w:szCs w:val="18"/>
          <w:color w:val="auto"/>
        </w:rPr>
      </w:pPr>
    </w:p>
    <w:p>
      <w:pPr>
        <w:ind w:left="2960" w:right="160" w:hanging="562"/>
        <w:spacing w:after="0" w:line="257" w:lineRule="auto"/>
        <w:tabs>
          <w:tab w:leader="none" w:pos="296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w:t>
      </w:r>
    </w:p>
    <w:p>
      <w:pPr>
        <w:spacing w:after="0" w:line="93" w:lineRule="exact"/>
        <w:rPr>
          <w:rFonts w:ascii="Arial" w:cs="Arial" w:eastAsia="Arial" w:hAnsi="Arial"/>
          <w:sz w:val="18"/>
          <w:szCs w:val="18"/>
          <w:color w:val="auto"/>
        </w:rPr>
      </w:pPr>
    </w:p>
    <w:p>
      <w:pPr>
        <w:ind w:left="2960" w:right="340" w:hanging="562"/>
        <w:spacing w:after="0" w:line="277" w:lineRule="auto"/>
        <w:tabs>
          <w:tab w:leader="none" w:pos="296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in excess of the estimated fair market value of the primary residence at the time of the sale of securities shall be included as a liability;</w:t>
      </w:r>
    </w:p>
    <w:p>
      <w:pPr>
        <w:spacing w:after="0" w:line="76" w:lineRule="exact"/>
        <w:rPr>
          <w:sz w:val="20"/>
          <w:szCs w:val="20"/>
          <w:color w:val="auto"/>
        </w:rPr>
      </w:pPr>
    </w:p>
    <w:p>
      <w:pPr>
        <w:ind w:left="1920" w:right="360" w:hanging="440"/>
        <w:spacing w:after="0" w:line="277" w:lineRule="auto"/>
        <w:tabs>
          <w:tab w:leader="none" w:pos="1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Paragraph i. above will not apply to any calculation of a person’s net worth made in connection with a purchase of securities in accordance with a right to purchase such securities, provided that:</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Such right was held by the person on July 20, 2010;</w:t>
      </w:r>
    </w:p>
    <w:p>
      <w:pPr>
        <w:spacing w:after="0" w:line="130" w:lineRule="exact"/>
        <w:rPr>
          <w:rFonts w:ascii="Arial" w:cs="Arial" w:eastAsia="Arial" w:hAnsi="Arial"/>
          <w:sz w:val="18"/>
          <w:szCs w:val="18"/>
          <w:color w:val="auto"/>
        </w:rPr>
      </w:pPr>
    </w:p>
    <w:p>
      <w:pPr>
        <w:ind w:left="2960" w:right="260" w:hanging="562"/>
        <w:spacing w:after="0" w:line="277" w:lineRule="auto"/>
        <w:tabs>
          <w:tab w:leader="none" w:pos="29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person qualified as an accredited investor on the basis of net worth at the time the person acquired such right; and</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person held securities of the same issuer, other than such right, on July 20, 2010.</w:t>
      </w:r>
    </w:p>
    <w:p>
      <w:pPr>
        <w:sectPr>
          <w:pgSz w:w="11900" w:h="16838" w:orient="portrait"/>
          <w:cols w:equalWidth="0" w:num="1">
            <w:col w:w="11420"/>
          </w:cols>
          <w:pgMar w:left="240" w:top="274" w:right="23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900" w:hanging="446"/>
        <w:spacing w:after="0" w:line="342" w:lineRule="auto"/>
        <w:tabs>
          <w:tab w:leader="none" w:pos="9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w:t>
      </w:r>
    </w:p>
    <w:p>
      <w:pPr>
        <w:sectPr>
          <w:pgSz w:w="11900" w:h="16838" w:orient="portrait"/>
          <w:cols w:equalWidth="0" w:num="1">
            <w:col w:w="11220"/>
          </w:cols>
          <w:pgMar w:left="240" w:top="274" w:right="43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Prospectus Directive 2010/73/EU of 24 November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Article 2 –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For the purposes of this Directive, the following definitions shall apply:</w:t>
      </w:r>
    </w:p>
    <w:p>
      <w:pPr>
        <w:spacing w:after="0" w:line="225" w:lineRule="exact"/>
        <w:rPr>
          <w:sz w:val="20"/>
          <w:szCs w:val="20"/>
          <w:color w:val="auto"/>
        </w:rPr>
      </w:pPr>
    </w:p>
    <w:p>
      <w:pPr>
        <w:ind w:left="260" w:hanging="252"/>
        <w:spacing w:after="0"/>
        <w:tabs>
          <w:tab w:leader="none" w:pos="2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(d) […];</w:t>
      </w:r>
    </w:p>
    <w:p>
      <w:pPr>
        <w:spacing w:after="0" w:line="130" w:lineRule="exact"/>
        <w:rPr>
          <w:rFonts w:ascii="Arial" w:cs="Arial" w:eastAsia="Arial" w:hAnsi="Arial"/>
          <w:sz w:val="18"/>
          <w:szCs w:val="18"/>
          <w:color w:val="auto"/>
        </w:rPr>
      </w:pPr>
    </w:p>
    <w:p>
      <w:pPr>
        <w:ind w:left="1140" w:right="220" w:hanging="565"/>
        <w:spacing w:after="0" w:line="272" w:lineRule="auto"/>
        <w:tabs>
          <w:tab w:leader="none" w:pos="1140" w:val="left"/>
        </w:tabs>
        <w:numPr>
          <w:ilvl w:val="1"/>
          <w:numId w:val="433"/>
        </w:numPr>
        <w:rPr>
          <w:rFonts w:ascii="Arial" w:cs="Arial" w:eastAsia="Arial" w:hAnsi="Arial"/>
          <w:sz w:val="17"/>
          <w:szCs w:val="17"/>
          <w:color w:val="auto"/>
        </w:rPr>
      </w:pPr>
      <w:r>
        <w:rPr>
          <w:rFonts w:ascii="Arial" w:cs="Arial" w:eastAsia="Arial" w:hAnsi="Arial"/>
          <w:sz w:val="17"/>
          <w:szCs w:val="17"/>
          <w:color w:val="auto"/>
        </w:rPr>
        <w:t>‘qualified investors’ means persons or entities that are described in points (1) to (4) of Section I of Annex II to Directive 2004/39/EC of the European Parliament and of the Council of 21 April 2004 on markets in financial instruments</w:t>
      </w:r>
      <w:r>
        <w:rPr>
          <w:rFonts w:ascii="Arial" w:cs="Arial" w:eastAsia="Arial" w:hAnsi="Arial"/>
          <w:sz w:val="14"/>
          <w:szCs w:val="14"/>
          <w:color w:val="auto"/>
        </w:rPr>
        <w:t>1</w:t>
      </w:r>
      <w:r>
        <w:rPr>
          <w:rFonts w:ascii="Arial" w:cs="Arial" w:eastAsia="Arial" w:hAnsi="Arial"/>
          <w:sz w:val="17"/>
          <w:szCs w:val="17"/>
          <w:color w:val="auto"/>
        </w:rPr>
        <w:t>, and persons or entities who are, on request, treated as professional clients in accordance with Annex II to Directive 2004/39/EC</w:t>
      </w:r>
      <w:r>
        <w:rPr>
          <w:rFonts w:ascii="Arial" w:cs="Arial" w:eastAsia="Arial" w:hAnsi="Arial"/>
          <w:sz w:val="14"/>
          <w:szCs w:val="14"/>
          <w:color w:val="auto"/>
        </w:rPr>
        <w:t>2</w:t>
      </w:r>
      <w:r>
        <w:rPr>
          <w:rFonts w:ascii="Arial" w:cs="Arial" w:eastAsia="Arial" w:hAnsi="Arial"/>
          <w:sz w:val="17"/>
          <w:szCs w:val="17"/>
          <w:color w:val="auto"/>
        </w:rPr>
        <w:t>, or recognized as eligible counterparties in accordance with Article 24 of Directive 2004/39/EC unless they have requested that they be treated as non-professional clients. Investment firms and credit institutions shall communicate their classification on request to the issuer without prejudice to the relevant legislation on data protection. Investment firms authorized to continue considering existing professional clients as such in accordance with Article 71(6) of Directive 2004/39/EC shall be authorized to treat those clients as qualified investors under this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200" w:hanging="452"/>
        <w:spacing w:after="0" w:line="312" w:lineRule="auto"/>
        <w:tabs>
          <w:tab w:leader="none" w:pos="122" w:val="left"/>
        </w:tabs>
        <w:numPr>
          <w:ilvl w:val="0"/>
          <w:numId w:val="434"/>
        </w:numPr>
        <w:rPr>
          <w:rFonts w:ascii="Arial" w:cs="Arial" w:eastAsia="Arial" w:hAnsi="Arial"/>
          <w:sz w:val="14"/>
          <w:szCs w:val="14"/>
          <w:color w:val="auto"/>
        </w:rPr>
      </w:pPr>
      <w:r>
        <w:rPr>
          <w:rFonts w:ascii="Arial" w:cs="Arial" w:eastAsia="Arial" w:hAnsi="Arial"/>
          <w:sz w:val="16"/>
          <w:szCs w:val="16"/>
          <w:color w:val="auto"/>
        </w:rPr>
        <w:t>(1) Entities which are required to be authorised or regulated to operate in the financial markets. The list below should be understood as including all authorised entities carrying out the characteristic activities of the entities mentioned: entities authorised by a Member State under a Directive, entities authorised or regulated by a Member State without reference to a Directive, and entities authorised or regulated by a non-Member State:</w:t>
      </w:r>
    </w:p>
    <w:p>
      <w:pPr>
        <w:spacing w:after="0" w:line="52" w:lineRule="exact"/>
        <w:rPr>
          <w:rFonts w:ascii="Arial" w:cs="Arial" w:eastAsia="Arial" w:hAnsi="Arial"/>
          <w:sz w:val="14"/>
          <w:szCs w:val="14"/>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Credit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Investment firms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Other authorised or regulated financial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Collective investment schemes and management companies of such schemes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Pension funds and management companies of such funds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Commodity and commodity derivatives dealers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Locals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Other institutional investors</w:t>
      </w:r>
    </w:p>
    <w:p>
      <w:pPr>
        <w:spacing w:after="0" w:line="131" w:lineRule="exact"/>
        <w:rPr>
          <w:sz w:val="20"/>
          <w:szCs w:val="20"/>
          <w:color w:val="auto"/>
        </w:rPr>
      </w:pPr>
    </w:p>
    <w:p>
      <w:pPr>
        <w:ind w:left="460" w:hanging="452"/>
        <w:spacing w:after="0"/>
        <w:tabs>
          <w:tab w:leader="none" w:pos="460" w:val="left"/>
        </w:tabs>
        <w:numPr>
          <w:ilvl w:val="0"/>
          <w:numId w:val="435"/>
        </w:numPr>
        <w:rPr>
          <w:rFonts w:ascii="Arial" w:cs="Arial" w:eastAsia="Arial" w:hAnsi="Arial"/>
          <w:sz w:val="15"/>
          <w:szCs w:val="15"/>
          <w:color w:val="auto"/>
        </w:rPr>
      </w:pPr>
      <w:r>
        <w:rPr>
          <w:rFonts w:ascii="Arial" w:cs="Arial" w:eastAsia="Arial" w:hAnsi="Arial"/>
          <w:sz w:val="18"/>
          <w:szCs w:val="18"/>
          <w:color w:val="auto"/>
        </w:rPr>
        <w:t>Large undertakings meeting two of the following size requirements on a company basis:</w:t>
      </w:r>
    </w:p>
    <w:p>
      <w:pPr>
        <w:spacing w:after="0" w:line="130" w:lineRule="exact"/>
        <w:rPr>
          <w:rFonts w:ascii="Arial" w:cs="Arial" w:eastAsia="Arial" w:hAnsi="Arial"/>
          <w:sz w:val="15"/>
          <w:szCs w:val="15"/>
          <w:color w:val="auto"/>
        </w:rPr>
      </w:pPr>
    </w:p>
    <w:p>
      <w:pPr>
        <w:ind w:left="900" w:hanging="325"/>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balance sheet total: EUR 2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net turnover: EUR 4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own funds: EUR 2 000 000.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35"/>
        </w:numPr>
        <w:rPr>
          <w:rFonts w:ascii="Arial" w:cs="Arial" w:eastAsia="Arial" w:hAnsi="Arial"/>
          <w:sz w:val="15"/>
          <w:szCs w:val="15"/>
          <w:color w:val="auto"/>
        </w:rPr>
      </w:pPr>
      <w:r>
        <w:rPr>
          <w:rFonts w:ascii="Arial" w:cs="Arial" w:eastAsia="Arial" w:hAnsi="Arial"/>
          <w:sz w:val="18"/>
          <w:szCs w:val="18"/>
          <w:color w:val="auto"/>
        </w:rPr>
        <w:t>National and regional governments, public bodies that manage public debt, Central Banks, international and supranational institutions such as the World Bank, the IMF, the ECB, the EIB and other similar international organisations.</w:t>
      </w:r>
    </w:p>
    <w:p>
      <w:pPr>
        <w:spacing w:after="0" w:line="75" w:lineRule="exact"/>
        <w:rPr>
          <w:rFonts w:ascii="Arial" w:cs="Arial" w:eastAsia="Arial" w:hAnsi="Arial"/>
          <w:sz w:val="15"/>
          <w:szCs w:val="15"/>
          <w:color w:val="auto"/>
        </w:rPr>
      </w:pPr>
    </w:p>
    <w:p>
      <w:pPr>
        <w:ind w:left="460" w:right="100" w:hanging="452"/>
        <w:spacing w:after="0" w:line="277" w:lineRule="auto"/>
        <w:tabs>
          <w:tab w:leader="none" w:pos="460" w:val="left"/>
        </w:tabs>
        <w:numPr>
          <w:ilvl w:val="0"/>
          <w:numId w:val="435"/>
        </w:numPr>
        <w:rPr>
          <w:rFonts w:ascii="Arial" w:cs="Arial" w:eastAsia="Arial" w:hAnsi="Arial"/>
          <w:sz w:val="15"/>
          <w:szCs w:val="15"/>
          <w:color w:val="auto"/>
        </w:rPr>
      </w:pPr>
      <w:r>
        <w:rPr>
          <w:rFonts w:ascii="Arial" w:cs="Arial" w:eastAsia="Arial" w:hAnsi="Arial"/>
          <w:sz w:val="18"/>
          <w:szCs w:val="18"/>
          <w:color w:val="auto"/>
        </w:rPr>
        <w:t>Other institutional investors whose main activity is to invest in financial instruments, including entities dedicated to the securitisation of assets or other financing transactions.</w:t>
      </w:r>
    </w:p>
    <w:p>
      <w:pPr>
        <w:spacing w:after="0" w:line="76" w:lineRule="exact"/>
        <w:rPr>
          <w:sz w:val="20"/>
          <w:szCs w:val="20"/>
          <w:color w:val="auto"/>
        </w:rPr>
      </w:pPr>
    </w:p>
    <w:p>
      <w:pPr>
        <w:ind w:left="460" w:right="20" w:hanging="452"/>
        <w:spacing w:after="0" w:line="289" w:lineRule="auto"/>
        <w:tabs>
          <w:tab w:leader="none" w:pos="460" w:val="left"/>
        </w:tabs>
        <w:numPr>
          <w:ilvl w:val="0"/>
          <w:numId w:val="436"/>
        </w:numPr>
        <w:rPr>
          <w:rFonts w:ascii="Arial" w:cs="Arial" w:eastAsia="Arial" w:hAnsi="Arial"/>
          <w:sz w:val="14"/>
          <w:szCs w:val="14"/>
          <w:color w:val="auto"/>
        </w:rPr>
      </w:pPr>
      <w:r>
        <w:rPr>
          <w:rFonts w:ascii="Arial" w:cs="Arial" w:eastAsia="Arial" w:hAnsi="Arial"/>
          <w:sz w:val="16"/>
          <w:szCs w:val="16"/>
          <w:color w:val="auto"/>
        </w:rPr>
        <w:t>Clients other than those mentioned in section I, including public sector bodies and private individual investors, may also be allowed to waive some of the protections afforded by the conduct of business rules. Investment firms should therefore be allowed to treat any of the above clients as professionals provided the relevant criteria and procedure mentioned below are fulfilled. These clients should not, however, be presumed to possess market knowledge and experience comparable to that of the categories listed in section I. Any such waiver of the protection afforded by the standard conduct of business regime shall be considered valid only if an adequate assessment of the expertise, experience and knowledge of the client, undertaken by the investment firm, gives reasonable assurance, in light of the nature of the transactions or services envisaged, that the client is capable of making his own investment decisions and understanding the risks involved. The fitness test applied to managers and directors of entities licensed under Directives in the financial field could be regarded as an example of the assessment of expertise and knowledge. In the case of small entities, the person subject to the above assessment should be the person authorised to carry out transactions on behalf of the entity.</w:t>
      </w:r>
    </w:p>
    <w:p>
      <w:pPr>
        <w:spacing w:after="0" w:line="5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In the course of the above assessment, as a minimum, two of the following criteria should be satisfied:</w:t>
      </w:r>
    </w:p>
    <w:p>
      <w:pPr>
        <w:spacing w:after="0" w:line="130" w:lineRule="exact"/>
        <w:rPr>
          <w:rFonts w:ascii="Arial" w:cs="Arial" w:eastAsia="Arial" w:hAnsi="Arial"/>
          <w:sz w:val="14"/>
          <w:szCs w:val="14"/>
          <w:color w:val="auto"/>
        </w:rPr>
      </w:pPr>
    </w:p>
    <w:p>
      <w:pPr>
        <w:ind w:left="1460" w:right="580" w:hanging="547"/>
        <w:spacing w:after="0" w:line="277" w:lineRule="auto"/>
        <w:tabs>
          <w:tab w:leader="none" w:pos="14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client has carried out transactions, in significant size, on the relevant market at an average frequency of 10 per quarter over the previous four quarters,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36"/>
        </w:numPr>
        <w:rPr>
          <w:rFonts w:ascii="Arial" w:cs="Arial" w:eastAsia="Arial" w:hAnsi="Arial"/>
          <w:sz w:val="16"/>
          <w:szCs w:val="16"/>
          <w:color w:val="auto"/>
        </w:rPr>
      </w:pPr>
      <w:r>
        <w:rPr>
          <w:rFonts w:ascii="Arial" w:cs="Arial" w:eastAsia="Arial" w:hAnsi="Arial"/>
          <w:sz w:val="16"/>
          <w:szCs w:val="16"/>
          <w:color w:val="auto"/>
        </w:rPr>
        <w:t>the size of the client’s financial instrument portfolio, defined as including cash deposits and financial instruments exceeds EUR 500 000,</w:t>
      </w:r>
    </w:p>
    <w:p>
      <w:pPr>
        <w:spacing w:after="0" w:line="153" w:lineRule="exact"/>
        <w:rPr>
          <w:rFonts w:ascii="Arial" w:cs="Arial" w:eastAsia="Arial" w:hAnsi="Arial"/>
          <w:sz w:val="16"/>
          <w:szCs w:val="16"/>
          <w:color w:val="auto"/>
        </w:rPr>
      </w:pPr>
    </w:p>
    <w:p>
      <w:pPr>
        <w:ind w:left="1460" w:right="360" w:hanging="547"/>
        <w:spacing w:after="0" w:line="277" w:lineRule="auto"/>
        <w:tabs>
          <w:tab w:leader="none" w:pos="14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client works or has worked in the financial sector for at least one year in a professional position, which requires knowledge of the transactions or services envisaged.</w:t>
      </w:r>
    </w:p>
    <w:p>
      <w:pPr>
        <w:sectPr>
          <w:pgSz w:w="11900" w:h="16838" w:orient="portrait"/>
          <w:cols w:equalWidth="0" w:num="1">
            <w:col w:w="11420"/>
          </w:cols>
          <w:pgMar w:left="240" w:top="273" w:right="23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5.3(a)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for fulfilled conditions precedent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V-Sciences Investments Pte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 regarding Closing and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reference to the Subscription Agreement dated 16 October 2015 (the “Subscription Agreement”) concluded by V-Sciences Investments Pte Ltd. and AC Immune SA (together the “Parties”), the undersigned AC Immune SA hereby confirms:</w:t>
      </w:r>
    </w:p>
    <w:p>
      <w:pPr>
        <w:spacing w:after="0" w:line="76" w:lineRule="exact"/>
        <w:rPr>
          <w:sz w:val="20"/>
          <w:szCs w:val="20"/>
          <w:color w:val="auto"/>
        </w:rPr>
      </w:pPr>
    </w:p>
    <w:p>
      <w:pPr>
        <w:ind w:left="460" w:right="200" w:hanging="452"/>
        <w:spacing w:after="0" w:line="308" w:lineRule="auto"/>
        <w:tabs>
          <w:tab w:leader="none" w:pos="46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in Section 7.1 are true and correct in all material respects as of the Closing (except that representations and warranties qualified by materiality or a Material Adverse Effect shall be true and correct in all respects).</w:t>
      </w:r>
    </w:p>
    <w:p>
      <w:pPr>
        <w:spacing w:after="0" w:line="51"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Company has performed and complied with all covenants, agreements, obligations and conditions contained in the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460" w:right="580" w:hanging="452"/>
        <w:spacing w:after="0" w:line="308" w:lineRule="auto"/>
        <w:tabs>
          <w:tab w:leader="none" w:pos="46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All authorizations, approvals or permits, if any, of any governmental authority or regulatory body that are required in connection with the lawful issuance and sale of the Shares pursuant to the Subscription Agreement shall be obtained and effective as of such Closing.</w:t>
      </w:r>
    </w:p>
    <w:p>
      <w:pPr>
        <w:spacing w:after="0" w:line="51" w:lineRule="exact"/>
        <w:rPr>
          <w:rFonts w:ascii="Arial" w:cs="Arial" w:eastAsia="Arial" w:hAnsi="Arial"/>
          <w:sz w:val="17"/>
          <w:szCs w:val="17"/>
          <w:color w:val="auto"/>
        </w:rPr>
      </w:pPr>
    </w:p>
    <w:p>
      <w:pPr>
        <w:ind w:left="460" w:right="280" w:hanging="452"/>
        <w:spacing w:after="0" w:line="264" w:lineRule="auto"/>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Company, V-Sciences, any other Investor and the other shareholders of the Company representing 85% of all outstanding Shares prior to the Closing of the Series E Financing Round have executed and delivered the Shareholders’ Agreement Amendment (or a joinder agreement thereto), in substantially the form of </w:t>
      </w:r>
      <w:r>
        <w:rPr>
          <w:rFonts w:ascii="Arial" w:cs="Arial" w:eastAsia="Arial" w:hAnsi="Arial"/>
          <w:sz w:val="18"/>
          <w:szCs w:val="18"/>
          <w:b w:val="1"/>
          <w:bCs w:val="1"/>
          <w:color w:val="auto"/>
        </w:rPr>
        <w:t>Annex 0</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360" w:hanging="452"/>
        <w:spacing w:after="0" w:line="264" w:lineRule="auto"/>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Company, V-Sciences, any other Investor requesting so and the other shareholders of the Company named as parties thereto have executed and delivered the Registration Rights Agreement (or a joinder agreement thereto), in substantially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V-Sciences and any other Investor requesting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of the Subscription Agreement.</w:t>
      </w:r>
    </w:p>
    <w:p>
      <w:pPr>
        <w:sectPr>
          <w:pgSz w:w="11900" w:h="16838" w:orient="portrait"/>
          <w:cols w:equalWidth="0" w:num="1">
            <w:col w:w="11420"/>
          </w:cols>
          <w:pgMar w:left="240" w:top="273" w:right="23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line="302" w:lineRule="auto"/>
        <w:tabs>
          <w:tab w:leader="none" w:pos="46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The Secretary of the Company has delivered to V-Sciences and any other Investor requesting so a certificate, dated as of the date of such Closing, certifying (i)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of the Subscription Agreement as to all items except the share capital and the numbers of Series E Preferred Shares.</w:t>
      </w:r>
    </w:p>
    <w:p>
      <w:pPr>
        <w:spacing w:after="0" w:line="59" w:lineRule="exact"/>
        <w:rPr>
          <w:rFonts w:ascii="Arial" w:cs="Arial" w:eastAsia="Arial" w:hAnsi="Arial"/>
          <w:sz w:val="16"/>
          <w:szCs w:val="16"/>
          <w:color w:val="auto"/>
        </w:rPr>
      </w:pPr>
    </w:p>
    <w:p>
      <w:pPr>
        <w:ind w:left="460" w:right="220" w:hanging="452"/>
        <w:spacing w:after="0" w:line="264" w:lineRule="auto"/>
        <w:tabs>
          <w:tab w:leader="none" w:pos="4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V-Sciences and the Investors shall have received all such counterpart original and certified or other copies of such documents as reasonably requested.</w:t>
      </w:r>
    </w:p>
    <w:p>
      <w:pPr>
        <w:spacing w:after="0" w:line="8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confirms that the following documents are present:</w:t>
      </w:r>
    </w:p>
    <w:p>
      <w:pPr>
        <w:spacing w:after="0" w:line="131" w:lineRule="exact"/>
        <w:rPr>
          <w:sz w:val="20"/>
          <w:szCs w:val="20"/>
          <w:color w:val="auto"/>
        </w:rPr>
      </w:pPr>
    </w:p>
    <w:p>
      <w:pPr>
        <w:ind w:left="460" w:right="80" w:hanging="452"/>
        <w:spacing w:after="0" w:line="264" w:lineRule="auto"/>
        <w:tabs>
          <w:tab w:leader="none" w:pos="4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an application to the Register of Commerce regarding: (1) the increase of the share capital to reflect the Series E Financing Round, (2) the issuance of Series E Preferred Shares, (3) the adoption of the Revised Articles of Association substantially in the form of </w:t>
      </w:r>
      <w:r>
        <w:rPr>
          <w:rFonts w:ascii="Arial" w:cs="Arial" w:eastAsia="Arial" w:hAnsi="Arial"/>
          <w:sz w:val="18"/>
          <w:szCs w:val="18"/>
          <w:b w:val="1"/>
          <w:bCs w:val="1"/>
          <w:color w:val="auto"/>
        </w:rPr>
        <w:t>Annex 3.3</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USD [●] has been paid in cash and fully credited to the Blocked Capital Account; and]</w:t>
      </w:r>
    </w:p>
    <w:p>
      <w:pPr>
        <w:spacing w:after="0" w:line="75"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circular resolutions or minutes evidencing the Board resolution regarding registration of the Investor as owners with voting rights of the relevant number of Series E Preferred Shares subscribed by the Investor in the Company’s share register upon Full Consummation.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terms not defined herein shall have the meaning as defined in the Subscription Agreement.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further confirms that it accepts V-Sciences and the Investors listed in the Annex as a new shareholder and that it will upon registration of the shares amend the shareholders’ register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Finally the Company confirms to have instructed VISCHER AG to file all Closing documents with the register of commerce in the canton of Vaud.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340" w:space="720"/>
            <w:col w:w="5260"/>
          </w:cols>
          <w:pgMar w:left="240" w:top="274" w:right="33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2">
            <w:col w:w="5340" w:space="720"/>
            <w:col w:w="5260"/>
          </w:cols>
          <w:pgMar w:left="240" w:top="274" w:right="339" w:bottom="1440" w:gutter="0" w:footer="0" w:header="0"/>
          <w:type w:val="continuous"/>
        </w:sectPr>
      </w:pPr>
    </w:p>
    <w:bookmarkStart w:id="590" w:name="page591"/>
    <w:bookmarkEnd w:id="5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to Certificate for fulfilled conditions precedents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Adhering Investors accepted by the Company:</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64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2"/>
              </w:rPr>
              <w:t>Subscription Amount</w:t>
            </w:r>
          </w:p>
        </w:tc>
        <w:tc>
          <w:tcPr>
            <w:tcW w:w="2360" w:type="dxa"/>
            <w:vAlign w:val="bottom"/>
            <w:gridSpan w:val="2"/>
          </w:tcPr>
          <w:p>
            <w:pPr>
              <w:jc w:val="center"/>
              <w:ind w:left="1048"/>
              <w:spacing w:after="0"/>
              <w:rPr>
                <w:sz w:val="20"/>
                <w:szCs w:val="20"/>
                <w:color w:val="auto"/>
              </w:rPr>
            </w:pPr>
            <w:r>
              <w:rPr>
                <w:rFonts w:ascii="Arial" w:cs="Arial" w:eastAsia="Arial" w:hAnsi="Arial"/>
                <w:sz w:val="14"/>
                <w:szCs w:val="14"/>
                <w:b w:val="1"/>
                <w:bCs w:val="1"/>
                <w:color w:val="auto"/>
                <w:w w:val="92"/>
              </w:rPr>
              <w:t>Number of Series E</w:t>
            </w:r>
          </w:p>
        </w:tc>
        <w:tc>
          <w:tcPr>
            <w:tcW w:w="0" w:type="dxa"/>
            <w:vAlign w:val="bottom"/>
          </w:tcPr>
          <w:p>
            <w:pPr>
              <w:spacing w:after="0"/>
              <w:rPr>
                <w:sz w:val="1"/>
                <w:szCs w:val="1"/>
                <w:color w:val="auto"/>
              </w:rPr>
            </w:pPr>
          </w:p>
        </w:tc>
      </w:tr>
      <w:tr>
        <w:trPr>
          <w:trHeight w:val="165"/>
        </w:trPr>
        <w:tc>
          <w:tcPr>
            <w:tcW w:w="2680" w:type="dxa"/>
            <w:vAlign w:val="bottom"/>
            <w:gridSpan w:val="2"/>
            <w:vMerge w:val="continue"/>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Company</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hereby represents and warrants to the Investor that the following representations are true and complete as of the date hereof, except as otherwise indicated.</w:t>
      </w:r>
    </w:p>
    <w:p>
      <w:pPr>
        <w:spacing w:after="0" w:line="319" w:lineRule="exact"/>
        <w:rPr>
          <w:sz w:val="20"/>
          <w:szCs w:val="20"/>
          <w:color w:val="auto"/>
        </w:rPr>
      </w:pPr>
    </w:p>
    <w:p>
      <w:pPr>
        <w:ind w:left="460" w:hanging="452"/>
        <w:spacing w:after="0"/>
        <w:tabs>
          <w:tab w:leader="none" w:pos="4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Incorporation and Authority</w:t>
      </w:r>
    </w:p>
    <w:p>
      <w:pPr>
        <w:spacing w:after="0" w:line="117" w:lineRule="exact"/>
        <w:rPr>
          <w:rFonts w:ascii="Arial" w:cs="Arial" w:eastAsia="Arial" w:hAnsi="Arial"/>
          <w:sz w:val="18"/>
          <w:szCs w:val="18"/>
          <w:color w:val="auto"/>
        </w:rPr>
      </w:pPr>
    </w:p>
    <w:p>
      <w:pPr>
        <w:ind w:left="460" w:right="16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been duly incorporated and is existing under the laws of Switzerland, with power and authority (corporate and other) to own its properties and conduct its business as described in the disclosure documents (collectively, the “</w:t>
      </w:r>
      <w:r>
        <w:rPr>
          <w:rFonts w:ascii="Arial" w:cs="Arial" w:eastAsia="Arial" w:hAnsi="Arial"/>
          <w:sz w:val="18"/>
          <w:szCs w:val="18"/>
          <w:b w:val="1"/>
          <w:bCs w:val="1"/>
          <w:color w:val="auto"/>
        </w:rPr>
        <w:t>Disclosure Documents</w:t>
      </w:r>
      <w:r>
        <w:rPr>
          <w:rFonts w:ascii="Arial" w:cs="Arial" w:eastAsia="Arial" w:hAnsi="Arial"/>
          <w:sz w:val="18"/>
          <w:szCs w:val="18"/>
          <w:color w:val="auto"/>
        </w:rPr>
        <w:t>”) that are set forth in folder 16 of the data room prepared by the Company and made available to such Investor (the “</w:t>
      </w:r>
      <w:r>
        <w:rPr>
          <w:rFonts w:ascii="Arial" w:cs="Arial" w:eastAsia="Arial" w:hAnsi="Arial"/>
          <w:sz w:val="18"/>
          <w:szCs w:val="18"/>
          <w:b w:val="1"/>
          <w:bCs w:val="1"/>
          <w:color w:val="auto"/>
        </w:rPr>
        <w:t>Dataroom</w:t>
      </w:r>
      <w:r>
        <w:rPr>
          <w:rFonts w:ascii="Arial" w:cs="Arial" w:eastAsia="Arial" w:hAnsi="Arial"/>
          <w:sz w:val="18"/>
          <w:szCs w:val="18"/>
          <w:color w:val="auto"/>
        </w:rPr>
        <w:t>”).</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As at the date of this Subscription Agreement the Company has an issued statutory share capital in the nominal amount of CHF 856’410.00 divided into 34’914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CHF 90’735 corresponding to up to 18’147 Common Shares for issuance to officers, directors, employees and consultants of the Company pursuant to equity incentive plans. The Company has made available to each Investor complete and accurate copies of the equity incentive plans forms of agreements used thereunder. The Company has no treasury shares.</w:t>
      </w:r>
    </w:p>
    <w:p>
      <w:pPr>
        <w:spacing w:after="0" w:line="70"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Prior and after completion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right="80"/>
        <w:spacing w:after="0" w:line="288" w:lineRule="auto"/>
        <w:rPr>
          <w:rFonts w:ascii="Arial" w:cs="Arial" w:eastAsia="Arial" w:hAnsi="Arial"/>
          <w:sz w:val="18"/>
          <w:szCs w:val="18"/>
          <w:color w:val="auto"/>
        </w:rPr>
      </w:pPr>
      <w:r>
        <w:rPr>
          <w:rFonts w:ascii="Arial" w:cs="Arial" w:eastAsia="Arial" w:hAnsi="Arial"/>
          <w:sz w:val="16"/>
          <w:szCs w:val="16"/>
          <w:color w:val="auto"/>
        </w:rPr>
        <w:t>All corporate action required to be taken by the Company’s Board of Directors and shareholders in order to authorize the Company to enter into the Subscription Agreement and the other Transaction Documents, and to issue the Shares at the Closing has been taken or will be taken prior to such Closing. All action on the part of the officers of the Company necessary for the execution and delivery of the Subscription Agreement and the other Transaction Documents, the performance of all obligations of the Company under the Subscription Agreement and the other Transaction Documents to be performed as of the Closing, and the issuance and delivery of the Shares has been taken or will be taken prior to Closing. The Subscription Agreement and the other Transaction Documents,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ectPr>
          <w:pgSz w:w="11900" w:h="16838" w:orient="portrait"/>
          <w:cols w:equalWidth="0" w:num="1">
            <w:col w:w="11420"/>
          </w:cols>
          <w:pgMar w:left="240" w:top="273" w:right="2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Valid Issuance of Shares</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Shares, when issued, sold and delivered in accordance with the terms and for the consideration set forth in this Subscription Agreement, will be validly issued, fully paid and non-assessable and free of restrictions on transfer other than restrictions on transfer under the Shareholders’ Agreement, applicable U.S. state and federal and non-U.S. securities laws and liens or encumbrances created by or imposed by the Investor. Assuming the accuracy of the representations of the Investor in Section 7.2 of this Subscription Agreement, the Shares will be issued in compliance with all applicable U.S. federal and U.S. state securities laws.</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No Subsidiary</w:t>
      </w:r>
    </w:p>
    <w:p>
      <w:pPr>
        <w:spacing w:after="0" w:line="117" w:lineRule="exact"/>
        <w:rPr>
          <w:rFonts w:ascii="Arial" w:cs="Arial" w:eastAsia="Arial" w:hAnsi="Arial"/>
          <w:sz w:val="18"/>
          <w:szCs w:val="18"/>
          <w:color w:val="auto"/>
        </w:rPr>
      </w:pPr>
    </w:p>
    <w:p>
      <w:pPr>
        <w:ind w:left="46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Company does not currently own or control, directly or indirectly, any interest in any other corporation, partnership, trust, joint venture, limited liability company, association, or other business entity, and the Company is not a participant in any joint venture, partnership or similar arrangement, in each case except as disclosed in the Disclosure Documents.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Absence of Further Requirements</w:t>
      </w:r>
    </w:p>
    <w:p>
      <w:pPr>
        <w:spacing w:after="0" w:line="117" w:lineRule="exact"/>
        <w:rPr>
          <w:rFonts w:ascii="Arial" w:cs="Arial" w:eastAsia="Arial" w:hAnsi="Arial"/>
          <w:sz w:val="18"/>
          <w:szCs w:val="18"/>
          <w:color w:val="auto"/>
        </w:rPr>
      </w:pPr>
    </w:p>
    <w:p>
      <w:pPr>
        <w:jc w:val="both"/>
        <w:ind w:left="460" w:right="60"/>
        <w:spacing w:after="0" w:line="288" w:lineRule="auto"/>
        <w:rPr>
          <w:rFonts w:ascii="Arial" w:cs="Arial" w:eastAsia="Arial" w:hAnsi="Arial"/>
          <w:sz w:val="18"/>
          <w:szCs w:val="18"/>
          <w:color w:val="auto"/>
        </w:rPr>
      </w:pPr>
      <w:r>
        <w:rPr>
          <w:rFonts w:ascii="Arial" w:cs="Arial" w:eastAsia="Arial" w:hAnsi="Arial"/>
          <w:sz w:val="16"/>
          <w:szCs w:val="16"/>
          <w:color w:val="auto"/>
        </w:rPr>
        <w:t>Assuming the accuracy of the representations made by the Investor in Section 7.2 of this Subscription Agreement, no consent, approval, authorization, or order of, or filing or registration with, any person (including any governmental agency or body or any court) is required for the consummation of the Subscriptions contemplated by this Subscription Agreement in connection with the offering, issuance and sale of the Shares by the Company, except</w:t>
      </w:r>
    </w:p>
    <w:p>
      <w:pPr>
        <w:ind w:left="460" w:right="360"/>
        <w:spacing w:after="0" w:line="261" w:lineRule="auto"/>
        <w:rPr>
          <w:rFonts w:ascii="Arial" w:cs="Arial" w:eastAsia="Arial" w:hAnsi="Arial"/>
          <w:sz w:val="18"/>
          <w:szCs w:val="18"/>
          <w:color w:val="auto"/>
        </w:rPr>
      </w:pPr>
      <w:r>
        <w:rPr>
          <w:rFonts w:ascii="Arial" w:cs="Arial" w:eastAsia="Arial" w:hAnsi="Arial"/>
          <w:sz w:val="18"/>
          <w:szCs w:val="18"/>
          <w:color w:val="auto"/>
        </w:rPr>
        <w:t>(i) such as have been obtained or made or will be made on or prior to the Closing or (ii) such as may be required under applicable state or non-U.S. securities laws.</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Absence of Defaults and Conflicts Resulting from Subscriptions</w:t>
      </w:r>
    </w:p>
    <w:p>
      <w:pPr>
        <w:spacing w:after="0" w:line="117" w:lineRule="exact"/>
        <w:rPr>
          <w:rFonts w:ascii="Arial" w:cs="Arial" w:eastAsia="Arial" w:hAnsi="Arial"/>
          <w:sz w:val="18"/>
          <w:szCs w:val="18"/>
          <w:color w:val="auto"/>
        </w:rPr>
      </w:pPr>
    </w:p>
    <w:p>
      <w:pPr>
        <w:ind w:left="460"/>
        <w:spacing w:after="0" w:line="289" w:lineRule="auto"/>
        <w:rPr>
          <w:rFonts w:ascii="Arial" w:cs="Arial" w:eastAsia="Arial" w:hAnsi="Arial"/>
          <w:sz w:val="18"/>
          <w:szCs w:val="18"/>
          <w:color w:val="auto"/>
        </w:rPr>
      </w:pPr>
      <w:r>
        <w:rPr>
          <w:rFonts w:ascii="Arial" w:cs="Arial" w:eastAsia="Arial" w:hAnsi="Arial"/>
          <w:sz w:val="16"/>
          <w:szCs w:val="16"/>
          <w:color w:val="auto"/>
        </w:rPr>
        <w:t>The execution, delivery and performance of this Subscription Agreement, and the issuance and sale of the Shares,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ectPr>
          <w:pgSz w:w="11900" w:h="16838" w:orient="portrait"/>
          <w:cols w:equalWidth="0" w:num="1">
            <w:col w:w="11420"/>
          </w:cols>
          <w:pgMar w:left="240" w:top="274" w:right="23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Except as disclosed in the Disclosure Documents and the document called “Crenezumab Patent Interference Proceeding” that is set forth in folder 10 of the Dataroom,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reasonably be expected to have a Material Adverse Effect, or would reasonably be expected to affect the ability of the Company to perform its obligations under this Subscription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7"/>
          <w:szCs w:val="17"/>
          <w:color w:val="auto"/>
        </w:rPr>
        <w:t>Except as disclosed in the Disclosure Documents and the document called “Crenezumab Patent Interference Proceeding” that is set forth in folder 10 of the Dataroom and as would not, individually or in the aggregate, reasonably be expected to have a Material Adverse Effect, (i) the Company owns all trademarks, trade names, patent rights, copyrights, domain names, trade secrets, inventions, know-how and other intellectual property and similar proprietary rights, including registrations or grant and applications thereof for registration or grant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disclosed in the Disclosed Information to such Investor; (ii) there is no pending or, to the knowledge of the Company, threatened action, suit, proceeding or claim by any third party against the Company (A) challenging the Company’s rights in, or the validity, enforceability or scope of, any of the Intellectual Property Rights owned by the Company, or (B) alleging that any activity by or on behalf of the Company infringes, misappropriates or otherwise violates any Intellectual Property Rights of such third party; (iii) there are no outstanding options, licenses or agreements relating to the Intellectual Property Rights owned by the Company, nor is the Company bound by or a party to any options, licenses or agreements of any kind with respect to the Intellectual Property Rights of any other person or entity other than such licenses or agreements arising from the purchase of “off the shelf” or standard products; (iv) none of the Intellectual Property Rights owned by the Company is subject to any outstanding judgment, decree, order, writ, award, injunction or determination of an arbitrator or court or other governmental authority affecting the rights of the Company with respect thereto; and (v) to the knowledge of the Company, the Company’s business as currently conducted does not violate any Intellectual Property Rights of any third party.</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Absence of Existing Defaults and Conflicts</w:t>
      </w:r>
    </w:p>
    <w:p>
      <w:pPr>
        <w:spacing w:after="0" w:line="117"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The Company is not in violation of its articles of association or similar organizational documents or in default (or with the giving of notice or lapse of time would not be in default) under any existing obligation, agreement, covenant or condition contained in any indenture, loan agreement, mortgage, lease or other agreement or instrument to which it is a party or by which it is bound or to which any of its properties is subject, except such defaults that would not, individually or in the aggregate, reasonably be expected to result in a Material Adverse Effect.</w:t>
      </w:r>
    </w:p>
    <w:p>
      <w:pPr>
        <w:sectPr>
          <w:pgSz w:w="11900" w:h="16838" w:orient="portrait"/>
          <w:cols w:equalWidth="0" w:num="1">
            <w:col w:w="11400"/>
          </w:cols>
          <w:pgMar w:left="240" w:top="273" w:right="25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17" w:lineRule="exact"/>
        <w:rPr>
          <w:rFonts w:ascii="Arial" w:cs="Arial" w:eastAsia="Arial" w:hAnsi="Arial"/>
          <w:sz w:val="18"/>
          <w:szCs w:val="18"/>
          <w:color w:val="auto"/>
        </w:rPr>
      </w:pPr>
    </w:p>
    <w:p>
      <w:pPr>
        <w:ind w:left="460" w:right="160"/>
        <w:spacing w:after="0" w:line="302" w:lineRule="auto"/>
        <w:rPr>
          <w:rFonts w:ascii="Arial" w:cs="Arial" w:eastAsia="Arial" w:hAnsi="Arial"/>
          <w:sz w:val="18"/>
          <w:szCs w:val="18"/>
          <w:color w:val="auto"/>
        </w:rPr>
      </w:pPr>
      <w:r>
        <w:rPr>
          <w:rFonts w:ascii="Arial" w:cs="Arial" w:eastAsia="Arial" w:hAnsi="Arial"/>
          <w:sz w:val="16"/>
          <w:szCs w:val="16"/>
          <w:color w:val="auto"/>
        </w:rPr>
        <w:t>Except as provided in the Registration Rights Agreement,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Title to Property</w:t>
      </w:r>
    </w:p>
    <w:p>
      <w:pPr>
        <w:spacing w:after="0" w:line="117"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own any real property. The Company has good and marketable title to all other properties and assets owned by it that are necessary and material to its business, in each case free from liens, charges, encumbrances and defects that would reasonably be expected to have a Material Adverse Effect, and the Company holds any leased real or personal property under valid and enforceable leases with no terms or provisions that would reasonably be expected to have a Material Adverse Effect.</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460" w:right="60"/>
        <w:spacing w:after="0" w:line="297" w:lineRule="auto"/>
        <w:rPr>
          <w:rFonts w:ascii="Arial" w:cs="Arial" w:eastAsia="Arial" w:hAnsi="Arial"/>
          <w:sz w:val="18"/>
          <w:szCs w:val="18"/>
          <w:color w:val="auto"/>
        </w:rPr>
      </w:pPr>
      <w:r>
        <w:rPr>
          <w:rFonts w:ascii="Arial" w:cs="Arial" w:eastAsia="Arial" w:hAnsi="Arial"/>
          <w:sz w:val="16"/>
          <w:szCs w:val="16"/>
          <w:color w:val="auto"/>
        </w:rPr>
        <w:t>The Company has delivered to the Investor its unaudited interim condensed financial statements as at, and for the six months ended, June 30, 2015 and June 30, 2014, and its audited financial statements as at, and for the fiscal years ended, December 31, 2014 and December 31, 2013 (collectively,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as issued by the International Accounting Standards Board applied on a consistent basis.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 Material Adverse Event in Business</w:t>
      </w:r>
    </w:p>
    <w:p>
      <w:pPr>
        <w:spacing w:after="0" w:line="117"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Except as disclosed in the Disclosure Documents, since the end of the period covered by the Financial Statements, (i) there has been no change, nor any development or event involving a prospective change, in the condition (financial or otherwise), results of operations, business or properties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11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that would reasonably be expected to have a Material Adverse Effect.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The preclinical and clinical studies conducted by the Company, and to the knowledge of the Company, the preclinical and clinical studies conducted on behalf of or sponsored by the Company, that are described in, or the results of which were referred to in, the</w:t>
      </w:r>
    </w:p>
    <w:p>
      <w:pPr>
        <w:sectPr>
          <w:pgSz w:w="11900" w:h="16838" w:orient="portrait"/>
          <w:cols w:equalWidth="0" w:num="1">
            <w:col w:w="11400"/>
          </w:cols>
          <w:pgMar w:left="240" w:top="273" w:right="259" w:bottom="1440" w:gutter="0" w:footer="0" w:header="0"/>
        </w:sectPr>
      </w:pPr>
    </w:p>
    <w:bookmarkStart w:id="595" w:name="page596"/>
    <w:bookmarkEnd w:id="5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Disclosure Documents were and, if still pending, are being conducted in all material respects in accordance with protocols, procedures and controls filed with the appropriate regulatory authorities for each such test or trial, as the case may be, and with standard medical and scientific research procedures, except in each case where failure to so conduct would not reasonably be expected to have a Material Adverse Effect; each description of the results of such studies contained in the Disclosure Documents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Disclosure Documents; the Company has not received any notices or other correspondence from the from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or any committee thereof or from any other U.S. or foreign government or drug or medical device regulatory agency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modification of any clinical trials that are described or referred to in the materials made available to such Investor, other than ordinary course communications with respect to modifications in connection with the design and implementation of such trials; and the Company has operated and currently is in compliance in all respects with all applicable rules, regulations and policies of the Regulatory Agencies except as would not reasonably be expected to have a Material Adverse Effect.</w:t>
      </w:r>
    </w:p>
    <w:p>
      <w:pPr>
        <w:spacing w:after="0" w:line="329" w:lineRule="exact"/>
        <w:rPr>
          <w:sz w:val="20"/>
          <w:szCs w:val="20"/>
          <w:color w:val="auto"/>
        </w:rPr>
      </w:pPr>
    </w:p>
    <w:p>
      <w:pPr>
        <w:ind w:left="460" w:hanging="452"/>
        <w:spacing w:after="0"/>
        <w:tabs>
          <w:tab w:leader="none" w:pos="4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Payments of Taxes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as disclosed in the Disclosure Documents, the Company warrants that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all notices, reports, accounts, computations, statements, assessments, registrations and any other necessary information which the Company was legally obliged to submit to any Tax Authority for the purposes of Taxation, have been filed by the Company within applicable time limits and were accurate and complete;</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all Taxes (whether of Switzerland or elsewhere), for which the Company has been liable or is liable to account for, have been duly and timely paid;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Company has, in accordance with applicable time limits, maintained all records in relation to Taxes as required by law and such records are sufficient to enable the Company to accurately calculate its Tax liability;</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Company has complied within applicable time limits with all notices lawfully served on it and any other requirements lawfully imposed on it by any Tax Authority;</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with respect to Taxes, the Company has not paid, within the time period starting on the date of its incorporation and ending on the date of this Subscription Agreement, and will not become liable to pay, any material penalty, fine, surcharge or interest charged;</w:t>
      </w:r>
    </w:p>
    <w:p>
      <w:pPr>
        <w:spacing w:after="0" w:line="51" w:lineRule="exact"/>
        <w:rPr>
          <w:rFonts w:ascii="Arial" w:cs="Arial" w:eastAsia="Arial" w:hAnsi="Arial"/>
          <w:sz w:val="17"/>
          <w:szCs w:val="17"/>
          <w:color w:val="auto"/>
        </w:rPr>
      </w:pPr>
    </w:p>
    <w:p>
      <w:pPr>
        <w:ind w:left="900" w:hanging="446"/>
        <w:spacing w:after="0" w:line="286" w:lineRule="auto"/>
        <w:tabs>
          <w:tab w:leader="none" w:pos="90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the Company is not involved in any dispute with or investigation by any Tax Authority and has not, within the past 12 months, been subject to any visit, audit, investigation, discovery or access order by any Tax Authority and is not aware of any circumstances existing which make it likely that a visit, audit, investigation, discovery or access order with respect to Taxes will be made in the next 12 months; and</w:t>
      </w:r>
    </w:p>
    <w:p>
      <w:pPr>
        <w:spacing w:after="0" w:line="70"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in the Financial Statements the Company has made full provision or reserve for any period ended on or before the relevant accounts date for all Taxation assessed or liable to be assessed on it;</w:t>
      </w:r>
    </w:p>
    <w:p>
      <w:pPr>
        <w:sectPr>
          <w:pgSz w:w="11900" w:h="16838" w:orient="portrait"/>
          <w:cols w:equalWidth="0" w:num="1">
            <w:col w:w="11400"/>
          </w:cols>
          <w:pgMar w:left="240" w:top="274" w:right="25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except for any such Taxes, assessments, fines or penalties currently being contested in good faith or as would not, individually or in the aggregate, reasonably be expected to have a Material Adverse Effect.</w:t>
      </w:r>
    </w:p>
    <w:p>
      <w:pPr>
        <w:spacing w:after="0" w:line="319" w:lineRule="exact"/>
        <w:rPr>
          <w:sz w:val="20"/>
          <w:szCs w:val="20"/>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460" w:right="40"/>
        <w:spacing w:after="0" w:line="270" w:lineRule="auto"/>
        <w:rPr>
          <w:rFonts w:ascii="Arial" w:cs="Arial" w:eastAsia="Arial" w:hAnsi="Arial"/>
          <w:sz w:val="18"/>
          <w:szCs w:val="18"/>
          <w:color w:val="auto"/>
        </w:rPr>
      </w:pPr>
      <w:r>
        <w:rPr>
          <w:rFonts w:ascii="Arial" w:cs="Arial" w:eastAsia="Arial" w:hAnsi="Arial"/>
          <w:sz w:val="17"/>
          <w:szCs w:val="17"/>
          <w:color w:val="auto"/>
        </w:rPr>
        <w:t>The Company is insured by insurers with appropriately rated claims paying abilities against such losses and risks and in such amounts as the Company reasonably considers adequate for the businesses in which it is engaged; all material policies of insurance and fidelity or surety bonds insuring the Company or its business, asset, employees, officers and directors are in full force and effect; to the Company’s knowledge,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the Company reasonably believes may be necessary to continue its business at a cost that would not reasonably be expected to have a Material Adverse Effect, except as set forth in or contemplated in the Disclosure Documents.</w:t>
      </w:r>
    </w:p>
    <w:p>
      <w:pPr>
        <w:spacing w:after="0" w:line="330" w:lineRule="exact"/>
        <w:rPr>
          <w:rFonts w:ascii="Arial" w:cs="Arial" w:eastAsia="Arial" w:hAnsi="Arial"/>
          <w:sz w:val="18"/>
          <w:szCs w:val="18"/>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Social Security and Pensions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Except as would not, individually or in the aggregate, reasonably be expected to have a Material Adverse Effect, the Company warrants that</w:t>
      </w:r>
    </w:p>
    <w:p>
      <w:pPr>
        <w:spacing w:after="0" w:line="14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all benefit plans for any period ending before Closing have been fully paid, or, as regards employees of the Company, provided for in the relevant financial statements;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all contributions required to be made under the terms of any such benefit plans until the Closing have been timely made or provided for in the relevant financial statements;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on the basis of and compared to the funding requirements of applicable law, none of the benefit plans has any accumulated funding deficiency;</w:t>
      </w:r>
    </w:p>
    <w:p>
      <w:pPr>
        <w:spacing w:after="0" w:line="140"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except for any such contributions, assessments, fines or penalties currently being contested in good faith or as would not, individually or in the aggregate, reasonably be expected to have a Material Adverse Effect.</w:t>
      </w:r>
    </w:p>
    <w:p>
      <w:pPr>
        <w:sectPr>
          <w:pgSz w:w="11900" w:h="16838" w:orient="portrait"/>
          <w:cols w:equalWidth="0" w:num="1">
            <w:col w:w="11380"/>
          </w:cols>
          <w:pgMar w:left="240" w:top="274" w:right="279" w:bottom="1440" w:gutter="0" w:footer="0" w:header="0"/>
        </w:sectPr>
      </w:pPr>
    </w:p>
    <w:bookmarkStart w:id="597" w:name="page598"/>
    <w:bookmarkEnd w:id="5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Possession of Permits</w:t>
      </w:r>
    </w:p>
    <w:p>
      <w:pPr>
        <w:spacing w:after="0" w:line="117" w:lineRule="exact"/>
        <w:rPr>
          <w:rFonts w:ascii="Arial" w:cs="Arial" w:eastAsia="Arial" w:hAnsi="Arial"/>
          <w:sz w:val="18"/>
          <w:szCs w:val="18"/>
          <w:color w:val="auto"/>
        </w:rPr>
      </w:pPr>
    </w:p>
    <w:p>
      <w:pPr>
        <w:ind w:left="460" w:right="60"/>
        <w:spacing w:after="0" w:line="302" w:lineRule="auto"/>
        <w:rPr>
          <w:rFonts w:ascii="Arial" w:cs="Arial" w:eastAsia="Arial" w:hAnsi="Arial"/>
          <w:sz w:val="18"/>
          <w:szCs w:val="18"/>
          <w:color w:val="auto"/>
        </w:rPr>
      </w:pPr>
      <w:r>
        <w:rPr>
          <w:rFonts w:ascii="Arial" w:cs="Arial" w:eastAsia="Arial" w:hAnsi="Arial"/>
          <w:sz w:val="16"/>
          <w:szCs w:val="16"/>
          <w:color w:val="auto"/>
        </w:rPr>
        <w:t>The Company possesses, and is in compliance with the terms of, all adequate certificates, authorizations, franchises, licenses and permits, including, without limitation from the FDA and equivalent foreign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necessary or material to the conduct of the business now or proposed to be conducted by it and has not received any notice of proceedings relating to the revocation or modification of any Permits that, if determined adversely to the Company, would individually or in the aggregate reasonably be expected to have a Material Adverse Effect.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Environmental Laws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The Company (i) does not own or operate any real property contaminated with any substance that is subject to any Environmental Laws, (ii) is not liable for any off-site disposal or contamination pursuant to any Environmental Laws, and (iii) is not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Foreign Corrupt Practices Act</w:t>
      </w:r>
    </w:p>
    <w:p>
      <w:pPr>
        <w:spacing w:after="0" w:line="117"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6"/>
          <w:szCs w:val="16"/>
          <w:color w:val="auto"/>
        </w:rPr>
        <w:t>The Company (including, to the knowledge of the Company, its employees, officers or directors), has not taken or failed to take any action that would cause it to be in violation of the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and (C) making of any bribe, unlawful rebate, payoff, influence payment, kickback or other unlawful payment of any nature. For purposes of this Subscription Agreement, (i) an “</w:t>
      </w:r>
      <w:r>
        <w:rPr>
          <w:rFonts w:ascii="Arial" w:cs="Arial" w:eastAsia="Arial" w:hAnsi="Arial"/>
          <w:sz w:val="16"/>
          <w:szCs w:val="16"/>
          <w:b w:val="1"/>
          <w:bCs w:val="1"/>
          <w:color w:val="auto"/>
        </w:rPr>
        <w:t>Official</w:t>
      </w:r>
      <w:r>
        <w:rPr>
          <w:rFonts w:ascii="Arial" w:cs="Arial" w:eastAsia="Arial" w:hAnsi="Arial"/>
          <w:sz w:val="16"/>
          <w:szCs w:val="16"/>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 The Company has in place adequate controls and systems designed to</w:t>
      </w:r>
    </w:p>
    <w:p>
      <w:pPr>
        <w:sectPr>
          <w:pgSz w:w="11900" w:h="16838" w:orient="portrait"/>
          <w:cols w:equalWidth="0" w:num="1">
            <w:col w:w="11360"/>
          </w:cols>
          <w:pgMar w:left="240" w:top="273" w:right="299" w:bottom="1440" w:gutter="0" w:footer="0" w:header="0"/>
        </w:sectPr>
      </w:pPr>
    </w:p>
    <w:bookmarkStart w:id="598" w:name="page599"/>
    <w:bookmarkEnd w:id="5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321" w:lineRule="exact"/>
        <w:rPr>
          <w:sz w:val="20"/>
          <w:szCs w:val="20"/>
          <w:color w:val="auto"/>
        </w:rPr>
      </w:pPr>
    </w:p>
    <w:p>
      <w:pPr>
        <w:ind w:left="460" w:hanging="452"/>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OFAC</w:t>
      </w:r>
    </w:p>
    <w:p>
      <w:pPr>
        <w:spacing w:after="0" w:line="117"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Neither the Company nor to the Company’s knowledge any director, officer, affiliate, employee, agent or other person 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Capital Loss</w:t>
      </w:r>
    </w:p>
    <w:p>
      <w:pPr>
        <w:spacing w:after="0" w:line="117"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The Company is not overindebted within the meaning of article 725 para 2 CO. The Company is not suffering from capital loss within the meaning of article 725 para 1 CO assuming that only share premium in excess of 50% of the nominal share capital is included in the calculation of such capital loss.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Investment Company Act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defined in the United States Investment Company Act of 1940, as amended.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Disclosure</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has made available to such Investor all the information reasonably available to the Company that the Investor has requested for deciding whether to acquire the Shares. No representation or warranty of the Company contained in this Subscription Agreement, and no certificate furnished or to be furnished to the Investor at the Closing, contains any untrue statement of a material fact or, to the Company’s knowledge, omits to state a material fact necessary in order to make the statements contained herein or therein, in the light of the circumstances under which they were made, not misleading.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3" w:right="259" w:bottom="1440" w:gutter="0" w:footer="0" w:header="0"/>
        </w:sectPr>
      </w:pPr>
    </w:p>
    <w:bookmarkStart w:id="599" w:name="page600"/>
    <w:bookmarkEnd w:id="5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Investor hereby represents and warrants to the Company, severally and not jointly, that:</w:t>
      </w:r>
    </w:p>
    <w:p>
      <w:pPr>
        <w:spacing w:after="0" w:line="374" w:lineRule="exact"/>
        <w:rPr>
          <w:sz w:val="20"/>
          <w:szCs w:val="20"/>
          <w:color w:val="auto"/>
        </w:rPr>
      </w:pPr>
    </w:p>
    <w:p>
      <w:pPr>
        <w:ind w:left="460" w:hanging="452"/>
        <w:spacing w:after="0"/>
        <w:tabs>
          <w:tab w:leader="none" w:pos="4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Such Investor has full power and authority to enter into the Subscription Agreement and the other Transaction Documents. The Subscription Agreement and the other Transaction Documents to which such Investor is a party, when executed and delivered by such Investor, will constitute valid and legally binding obligations of such Investor, enforceable in accordance with their terms, except (a)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(b) to the extent the indemnification provisions contained in the Registration Rights Agreement may be limited by applicable federal or state securities laws.</w:t>
      </w:r>
    </w:p>
    <w:p>
      <w:pPr>
        <w:spacing w:after="0" w:line="327" w:lineRule="exact"/>
        <w:rPr>
          <w:rFonts w:ascii="Arial" w:cs="Arial" w:eastAsia="Arial" w:hAnsi="Arial"/>
          <w:sz w:val="18"/>
          <w:szCs w:val="18"/>
          <w:color w:val="auto"/>
        </w:rPr>
      </w:pPr>
    </w:p>
    <w:p>
      <w:pPr>
        <w:ind w:left="460" w:hanging="452"/>
        <w:spacing w:after="0"/>
        <w:tabs>
          <w:tab w:leader="none" w:pos="4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Purchase Entirely for Own Account</w:t>
      </w:r>
    </w:p>
    <w:p>
      <w:pPr>
        <w:spacing w:after="0" w:line="117" w:lineRule="exact"/>
        <w:rPr>
          <w:rFonts w:ascii="Arial" w:cs="Arial" w:eastAsia="Arial" w:hAnsi="Arial"/>
          <w:sz w:val="18"/>
          <w:szCs w:val="18"/>
          <w:color w:val="auto"/>
        </w:rPr>
      </w:pPr>
    </w:p>
    <w:p>
      <w:pPr>
        <w:ind w:left="460" w:right="100"/>
        <w:spacing w:after="0" w:line="297" w:lineRule="auto"/>
        <w:rPr>
          <w:rFonts w:ascii="Arial" w:cs="Arial" w:eastAsia="Arial" w:hAnsi="Arial"/>
          <w:sz w:val="18"/>
          <w:szCs w:val="18"/>
          <w:color w:val="auto"/>
        </w:rPr>
      </w:pPr>
      <w:r>
        <w:rPr>
          <w:rFonts w:ascii="Arial" w:cs="Arial" w:eastAsia="Arial" w:hAnsi="Arial"/>
          <w:sz w:val="16"/>
          <w:szCs w:val="16"/>
          <w:color w:val="auto"/>
        </w:rPr>
        <w:t>This Subscription Agreement is made with such Investor in reliance upon its representation to the Company that the Shares to be acquired by such Investor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Such Investor does not presently have any contract, undertaking, agreement or arrangement with any person to sell, transfer or grant participations to such person or to any third person, with respect to any of the Shares. Such Investor has not been formed for the specific purpose of acquiring the Shares.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Disclosure of Information</w:t>
      </w:r>
    </w:p>
    <w:p>
      <w:pPr>
        <w:spacing w:after="0" w:line="117"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Such Investor has had an opportunity to discuss the Company’s business, management, financial affairs and the terms and conditions of the offering of the Shares with the Company’s management and has had an opportunity to review the Company’s facilities and the Dataroom. The foregoing, however, does not limit or modify the representations and warranties of the Company in Section 7 of this Subscription Agreement or the right of such Investor to rely thereon.</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Restricted Securities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Such Investor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such Investor’s representations as expressed herein. Such Investor (either alone or together with its advisors) has sufficient knowledge and experience in financial and business matters so as to be capable of evaluating the merits and risks of its investment in the Shares and is capable of bearing the economic risks of such investment. Such Investor understands that the Shares are “restricted securities” under applicable U.S. federal and state securities laws</w:t>
      </w:r>
    </w:p>
    <w:p>
      <w:pPr>
        <w:sectPr>
          <w:pgSz w:w="11900" w:h="16838" w:orient="portrait"/>
          <w:cols w:equalWidth="0" w:num="1">
            <w:col w:w="11420"/>
          </w:cols>
          <w:pgMar w:left="240" w:top="274" w:right="239" w:bottom="1440" w:gutter="0" w:footer="0" w:header="0"/>
        </w:sectPr>
      </w:pPr>
    </w:p>
    <w:bookmarkStart w:id="600" w:name="page601"/>
    <w:bookmarkEnd w:id="6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and that, pursuant to these laws, such Investor must hold the Shares indefinitely unless they are registered with the Securities and Exchange Commission and qualified by state authorities, or an exemption from such registration and qualification requirements is available. Such Investor acknowledges that the Company has no obligation to register or qualify the Shares, or the Common Stock into which it may be converted, for resale except as set forth in the Registration Rights Agreement. Such Investor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such Investor’s control, and which the Company is under no obligation and may not be able to satisfy.</w:t>
      </w:r>
    </w:p>
    <w:p>
      <w:pPr>
        <w:spacing w:after="0" w:line="338" w:lineRule="exact"/>
        <w:rPr>
          <w:sz w:val="20"/>
          <w:szCs w:val="20"/>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No Public Market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no public market now exists for the Shares, and that the Company has made no assurances that a public market will ever exist for the Shares.</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Legends</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the Shares and any securities issued in respect of or exchange for the Shares, may be notated with one or all of the following legends:</w:t>
      </w:r>
    </w:p>
    <w:p>
      <w:pPr>
        <w:spacing w:after="0" w:line="75" w:lineRule="exact"/>
        <w:rPr>
          <w:rFonts w:ascii="Arial" w:cs="Arial" w:eastAsia="Arial" w:hAnsi="Arial"/>
          <w:sz w:val="18"/>
          <w:szCs w:val="18"/>
          <w:color w:val="auto"/>
        </w:rPr>
      </w:pPr>
    </w:p>
    <w:p>
      <w:pPr>
        <w:ind w:left="900" w:right="20" w:hanging="446"/>
        <w:spacing w:after="0" w:line="257" w:lineRule="auto"/>
        <w:tabs>
          <w:tab w:leader="none" w:pos="9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SHARES REPRESENTED HEREBY HAVE NOT BEEN REGISTERED UNDER THE UNITED STATES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UNITED STATES SECURITIES ACT OF 1933.”</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Documents.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Any legend required by the securities laws of any state to the extent such laws are applicable to the Shares represented by the certificate, instrument, or book entry so legended.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Accredited Investor or non-U.S. Person</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is either (i) an accredited investor as defined in Rule 501(a) of Regulation D promulgated under the Securities Act or (ii) not a U.S. Person within the meaning of Regulation S promulgated under the Securities Act.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117" w:lineRule="exact"/>
        <w:rPr>
          <w:rFonts w:ascii="Arial" w:cs="Arial" w:eastAsia="Arial" w:hAnsi="Arial"/>
          <w:sz w:val="18"/>
          <w:szCs w:val="18"/>
          <w:color w:val="auto"/>
        </w:rPr>
      </w:pPr>
    </w:p>
    <w:p>
      <w:pPr>
        <w:ind w:left="460" w:right="240"/>
        <w:spacing w:after="0" w:line="276" w:lineRule="auto"/>
        <w:rPr>
          <w:rFonts w:ascii="Arial" w:cs="Arial" w:eastAsia="Arial" w:hAnsi="Arial"/>
          <w:sz w:val="18"/>
          <w:szCs w:val="18"/>
          <w:color w:val="auto"/>
        </w:rPr>
      </w:pPr>
      <w:r>
        <w:rPr>
          <w:rFonts w:ascii="Arial" w:cs="Arial" w:eastAsia="Arial" w:hAnsi="Arial"/>
          <w:sz w:val="17"/>
          <w:szCs w:val="17"/>
          <w:color w:val="auto"/>
        </w:rPr>
        <w:t>If such Investor is not a United States person (as defined by Section 7701(a)(30) of the United States Internal Revenue Code of 1986, as amended), such Investor hereby represents that it has satisfied itself as to the full observance of the laws of its jurisdiction in connection with any invitation to subscribe for the Shares or any use of this Subscription Agreement, 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w:t>
      </w:r>
    </w:p>
    <w:p>
      <w:pPr>
        <w:sectPr>
          <w:pgSz w:w="11900" w:h="16838" w:orient="portrait"/>
          <w:cols w:equalWidth="0" w:num="1">
            <w:col w:w="11400"/>
          </w:cols>
          <w:pgMar w:left="240" w:top="274" w:right="259" w:bottom="1440" w:gutter="0" w:footer="0" w:header="0"/>
        </w:sectPr>
      </w:pPr>
    </w:p>
    <w:bookmarkStart w:id="601" w:name="page602"/>
    <w:bookmarkEnd w:id="6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purchase, holding, redemption, sale, or transfer of the Shares. Such Investor’s subscription and payment for and continued beneficial ownership of the Shares will not violate any applicable securities or other laws of such Investor’s jurisdiction.</w:t>
      </w:r>
    </w:p>
    <w:p>
      <w:pPr>
        <w:spacing w:after="0" w:line="319" w:lineRule="exact"/>
        <w:rPr>
          <w:sz w:val="20"/>
          <w:szCs w:val="20"/>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No General Solicitation</w:t>
      </w:r>
    </w:p>
    <w:p>
      <w:pPr>
        <w:spacing w:after="0" w:line="117"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Neither such Investor, nor any of its officers, directors, employees, agents, shareholders or partners has either directly or indirectly, including, through a broker or finder (a) engaged in any general solicitation, or (b) published any advertisement in connection with the offer and sale of the Shares.</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Residence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Such Investor’s principal place of business is at its address set forth on the first page of this Subscription Agreement or in the Adherence Declaration.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27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1745E4"/>
    <w:multiLevelType w:val="hybridMultilevel"/>
    <w:lvl w:ilvl="0">
      <w:lvlJc w:val="left"/>
      <w:lvlText w:val="(%1)"/>
      <w:numFmt w:val="decimal"/>
      <w:start w:val="1"/>
    </w:lvl>
  </w:abstractNum>
  <w:abstractNum w:abstractNumId="1">
    <w:nsid w:val="1DDBC66"/>
    <w:multiLevelType w:val="hybridMultilevel"/>
    <w:lvl w:ilvl="0">
      <w:lvlJc w:val="left"/>
      <w:lvlText w:val="(%1)"/>
      <w:numFmt w:val="decimal"/>
      <w:start w:val="1"/>
    </w:lvl>
  </w:abstractNum>
  <w:abstractNum w:abstractNumId="2">
    <w:nsid w:val="30AADFDA"/>
    <w:multiLevelType w:val="hybridMultilevel"/>
    <w:lvl w:ilvl="0">
      <w:lvlJc w:val="left"/>
      <w:lvlText w:val="•"/>
      <w:numFmt w:val="bullet"/>
      <w:start w:val="1"/>
    </w:lvl>
    <w:lvl w:ilvl="1">
      <w:lvlJc w:val="left"/>
      <w:lvlText w:val="•"/>
      <w:numFmt w:val="bullet"/>
      <w:start w:val="1"/>
    </w:lvl>
  </w:abstractNum>
  <w:abstractNum w:abstractNumId="3">
    <w:nsid w:val="30EADA61"/>
    <w:multiLevelType w:val="hybridMultilevel"/>
    <w:lvl w:ilvl="0">
      <w:lvlJc w:val="left"/>
      <w:lvlText w:val="•"/>
      <w:numFmt w:val="bullet"/>
      <w:start w:val="1"/>
    </w:lvl>
    <w:lvl w:ilvl="1">
      <w:lvlJc w:val="left"/>
      <w:lvlText w:val="•"/>
      <w:numFmt w:val="bullet"/>
      <w:start w:val="1"/>
    </w:lvl>
  </w:abstractNum>
  <w:abstractNum w:abstractNumId="4">
    <w:nsid w:val="27179C0B"/>
    <w:multiLevelType w:val="hybridMultilevel"/>
    <w:lvl w:ilvl="0">
      <w:lvlJc w:val="left"/>
      <w:lvlText w:val="•"/>
      <w:numFmt w:val="bullet"/>
      <w:start w:val="1"/>
    </w:lvl>
  </w:abstractNum>
  <w:abstractNum w:abstractNumId="5">
    <w:nsid w:val="5E636063"/>
    <w:multiLevelType w:val="hybridMultilevel"/>
    <w:lvl w:ilvl="0">
      <w:lvlJc w:val="left"/>
      <w:lvlText w:val="•"/>
      <w:numFmt w:val="bullet"/>
      <w:start w:val="1"/>
    </w:lvl>
  </w:abstractNum>
  <w:abstractNum w:abstractNumId="6">
    <w:nsid w:val="215641AF"/>
    <w:multiLevelType w:val="hybridMultilevel"/>
    <w:lvl w:ilvl="0">
      <w:lvlJc w:val="left"/>
      <w:lvlText w:val="•"/>
      <w:numFmt w:val="bullet"/>
      <w:start w:val="1"/>
    </w:lvl>
  </w:abstractNum>
  <w:abstractNum w:abstractNumId="7">
    <w:nsid w:val="53280662"/>
    <w:multiLevelType w:val="hybridMultilevel"/>
    <w:lvl w:ilvl="0">
      <w:lvlJc w:val="left"/>
      <w:lvlText w:val="•"/>
      <w:numFmt w:val="bullet"/>
      <w:start w:val="1"/>
    </w:lvl>
  </w:abstractNum>
  <w:abstractNum w:abstractNumId="8">
    <w:nsid w:val="46B24DBC"/>
    <w:multiLevelType w:val="hybridMultilevel"/>
    <w:lvl w:ilvl="0">
      <w:lvlJc w:val="left"/>
      <w:lvlText w:val="•"/>
      <w:numFmt w:val="bullet"/>
      <w:start w:val="1"/>
    </w:lvl>
  </w:abstractNum>
  <w:abstractNum w:abstractNumId="9">
    <w:nsid w:val="75B52783"/>
    <w:multiLevelType w:val="hybridMultilevel"/>
    <w:lvl w:ilvl="0">
      <w:lvlJc w:val="left"/>
      <w:lvlText w:val="•"/>
      <w:numFmt w:val="bullet"/>
      <w:start w:val="1"/>
    </w:lvl>
  </w:abstractNum>
  <w:abstractNum w:abstractNumId="10">
    <w:nsid w:val="57CE66B4"/>
    <w:multiLevelType w:val="hybridMultilevel"/>
    <w:lvl w:ilvl="0">
      <w:lvlJc w:val="left"/>
      <w:lvlText w:val="(%1)"/>
      <w:numFmt w:val="lowerRoman"/>
      <w:start w:val="1"/>
    </w:lvl>
  </w:abstractNum>
  <w:abstractNum w:abstractNumId="11">
    <w:nsid w:val="67A70B69"/>
    <w:multiLevelType w:val="hybridMultilevel"/>
    <w:lvl w:ilvl="0">
      <w:lvlJc w:val="left"/>
      <w:lvlText w:val="(%1)"/>
      <w:numFmt w:val="lowerRoman"/>
      <w:start w:val="3"/>
    </w:lvl>
  </w:abstractNum>
  <w:abstractNum w:abstractNumId="12">
    <w:nsid w:val="5953172F"/>
    <w:multiLevelType w:val="hybridMultilevel"/>
    <w:lvl w:ilvl="0">
      <w:lvlJc w:val="left"/>
      <w:lvlText w:val="•"/>
      <w:numFmt w:val="bullet"/>
      <w:start w:val="1"/>
    </w:lvl>
  </w:abstractNum>
  <w:abstractNum w:abstractNumId="13">
    <w:nsid w:val="27EDFE3A"/>
    <w:multiLevelType w:val="hybridMultilevel"/>
    <w:lvl w:ilvl="0">
      <w:lvlJc w:val="left"/>
      <w:lvlText w:val="•"/>
      <w:numFmt w:val="bullet"/>
      <w:start w:val="1"/>
    </w:lvl>
  </w:abstractNum>
  <w:abstractNum w:abstractNumId="14">
    <w:nsid w:val="52AC7DFF"/>
    <w:multiLevelType w:val="hybridMultilevel"/>
    <w:lvl w:ilvl="0">
      <w:lvlJc w:val="left"/>
      <w:lvlText w:val="(%1)"/>
      <w:numFmt w:val="decimal"/>
      <w:start w:val="1"/>
    </w:lvl>
  </w:abstractNum>
  <w:abstractNum w:abstractNumId="15">
    <w:nsid w:val="C4C3AF"/>
    <w:multiLevelType w:val="hybridMultilevel"/>
    <w:lvl w:ilvl="0">
      <w:lvlJc w:val="left"/>
      <w:lvlText w:val="(%1)"/>
      <w:numFmt w:val="decimal"/>
      <w:start w:val="1"/>
    </w:lvl>
  </w:abstractNum>
  <w:abstractNum w:abstractNumId="16">
    <w:nsid w:val="44380727"/>
    <w:multiLevelType w:val="hybridMultilevel"/>
    <w:lvl w:ilvl="0">
      <w:lvlJc w:val="left"/>
      <w:lvlText w:val="•"/>
      <w:numFmt w:val="bullet"/>
      <w:start w:val="1"/>
    </w:lvl>
  </w:abstractNum>
  <w:abstractNum w:abstractNumId="17">
    <w:nsid w:val="6C053B16"/>
    <w:multiLevelType w:val="hybridMultilevel"/>
    <w:lvl w:ilvl="0">
      <w:lvlJc w:val="left"/>
      <w:lvlText w:val="•"/>
      <w:numFmt w:val="bullet"/>
      <w:start w:val="1"/>
    </w:lvl>
  </w:abstractNum>
  <w:abstractNum w:abstractNumId="18">
    <w:nsid w:val="4F294393"/>
    <w:multiLevelType w:val="hybridMultilevel"/>
    <w:lvl w:ilvl="0">
      <w:lvlJc w:val="left"/>
      <w:lvlText w:val="•"/>
      <w:numFmt w:val="bullet"/>
      <w:start w:val="1"/>
    </w:lvl>
  </w:abstractNum>
  <w:abstractNum w:abstractNumId="19">
    <w:nsid w:val="5243BFAC"/>
    <w:multiLevelType w:val="hybridMultilevel"/>
    <w:lvl w:ilvl="0">
      <w:lvlJc w:val="left"/>
      <w:lvlText w:val="•"/>
      <w:numFmt w:val="bullet"/>
      <w:start w:val="1"/>
    </w:lvl>
  </w:abstractNum>
  <w:abstractNum w:abstractNumId="20">
    <w:nsid w:val="425EB207"/>
    <w:multiLevelType w:val="hybridMultilevel"/>
    <w:lvl w:ilvl="0">
      <w:lvlJc w:val="left"/>
      <w:lvlText w:val="•"/>
      <w:numFmt w:val="bullet"/>
      <w:start w:val="1"/>
    </w:lvl>
  </w:abstractNum>
  <w:abstractNum w:abstractNumId="21">
    <w:nsid w:val="334A6F1F"/>
    <w:multiLevelType w:val="hybridMultilevel"/>
    <w:lvl w:ilvl="0">
      <w:lvlJc w:val="left"/>
      <w:lvlText w:val="•"/>
      <w:numFmt w:val="bullet"/>
      <w:start w:val="1"/>
    </w:lvl>
  </w:abstractNum>
  <w:abstractNum w:abstractNumId="22">
    <w:nsid w:val="2E5B12B8"/>
    <w:multiLevelType w:val="hybridMultilevel"/>
    <w:lvl w:ilvl="0">
      <w:lvlJc w:val="left"/>
      <w:lvlText w:val="•"/>
      <w:numFmt w:val="bullet"/>
      <w:start w:val="1"/>
    </w:lvl>
  </w:abstractNum>
  <w:abstractNum w:abstractNumId="23">
    <w:nsid w:val="5C03D76D"/>
    <w:multiLevelType w:val="hybridMultilevel"/>
    <w:lvl w:ilvl="0">
      <w:lvlJc w:val="left"/>
      <w:lvlText w:val="•"/>
      <w:numFmt w:val="bullet"/>
      <w:start w:val="1"/>
    </w:lvl>
  </w:abstractNum>
  <w:abstractNum w:abstractNumId="24">
    <w:nsid w:val="66A48D11"/>
    <w:multiLevelType w:val="hybridMultilevel"/>
    <w:lvl w:ilvl="0">
      <w:lvlJc w:val="left"/>
      <w:lvlText w:val="•"/>
      <w:numFmt w:val="bullet"/>
      <w:start w:val="1"/>
    </w:lvl>
  </w:abstractNum>
  <w:abstractNum w:abstractNumId="25">
    <w:nsid w:val="56C28E34"/>
    <w:multiLevelType w:val="hybridMultilevel"/>
    <w:lvl w:ilvl="0">
      <w:lvlJc w:val="left"/>
      <w:lvlText w:val="•"/>
      <w:numFmt w:val="bullet"/>
      <w:start w:val="1"/>
    </w:lvl>
  </w:abstractNum>
  <w:abstractNum w:abstractNumId="26">
    <w:nsid w:val="13916F2D"/>
    <w:multiLevelType w:val="hybridMultilevel"/>
    <w:lvl w:ilvl="0">
      <w:lvlJc w:val="left"/>
      <w:lvlText w:val="•"/>
      <w:numFmt w:val="bullet"/>
      <w:start w:val="1"/>
    </w:lvl>
  </w:abstractNum>
  <w:abstractNum w:abstractNumId="27">
    <w:nsid w:val="435D38D"/>
    <w:multiLevelType w:val="hybridMultilevel"/>
    <w:lvl w:ilvl="0">
      <w:lvlJc w:val="left"/>
      <w:lvlText w:val="•"/>
      <w:numFmt w:val="bullet"/>
      <w:start w:val="1"/>
    </w:lvl>
  </w:abstractNum>
  <w:abstractNum w:abstractNumId="28">
    <w:nsid w:val="822C0EF"/>
    <w:multiLevelType w:val="hybridMultilevel"/>
    <w:lvl w:ilvl="0">
      <w:lvlJc w:val="left"/>
      <w:lvlText w:val="•"/>
      <w:numFmt w:val="bullet"/>
      <w:start w:val="1"/>
    </w:lvl>
  </w:abstractNum>
  <w:abstractNum w:abstractNumId="29">
    <w:nsid w:val="57C5BB4F"/>
    <w:multiLevelType w:val="hybridMultilevel"/>
    <w:lvl w:ilvl="0">
      <w:lvlJc w:val="left"/>
      <w:lvlText w:val="•"/>
      <w:numFmt w:val="bullet"/>
      <w:start w:val="1"/>
    </w:lvl>
  </w:abstractNum>
  <w:abstractNum w:abstractNumId="30">
    <w:nsid w:val="1803D089"/>
    <w:multiLevelType w:val="hybridMultilevel"/>
    <w:lvl w:ilvl="0">
      <w:lvlJc w:val="left"/>
      <w:lvlText w:val="•"/>
      <w:numFmt w:val="bullet"/>
      <w:start w:val="1"/>
    </w:lvl>
  </w:abstractNum>
  <w:abstractNum w:abstractNumId="31">
    <w:nsid w:val="4F3A06D4"/>
    <w:multiLevelType w:val="hybridMultilevel"/>
    <w:lvl w:ilvl="0">
      <w:lvlJc w:val="left"/>
      <w:lvlText w:val="•"/>
      <w:numFmt w:val="bullet"/>
      <w:start w:val="1"/>
    </w:lvl>
  </w:abstractNum>
  <w:abstractNum w:abstractNumId="32">
    <w:nsid w:val="59A377B6"/>
    <w:multiLevelType w:val="hybridMultilevel"/>
    <w:lvl w:ilvl="0">
      <w:lvlJc w:val="left"/>
      <w:lvlText w:val="•"/>
      <w:numFmt w:val="bullet"/>
      <w:start w:val="1"/>
    </w:lvl>
  </w:abstractNum>
  <w:abstractNum w:abstractNumId="33">
    <w:nsid w:val="48AEB063"/>
    <w:multiLevelType w:val="hybridMultilevel"/>
    <w:lvl w:ilvl="0">
      <w:lvlJc w:val="left"/>
      <w:lvlText w:val="•"/>
      <w:numFmt w:val="bullet"/>
      <w:start w:val="1"/>
    </w:lvl>
  </w:abstractNum>
  <w:abstractNum w:abstractNumId="34">
    <w:nsid w:val="24E135"/>
    <w:multiLevelType w:val="hybridMultilevel"/>
    <w:lvl w:ilvl="0">
      <w:lvlJc w:val="left"/>
      <w:lvlText w:val="•"/>
      <w:numFmt w:val="bullet"/>
      <w:start w:val="1"/>
    </w:lvl>
  </w:abstractNum>
  <w:abstractNum w:abstractNumId="35">
    <w:nsid w:val="BB13C1"/>
    <w:multiLevelType w:val="hybridMultilevel"/>
    <w:lvl w:ilvl="0">
      <w:lvlJc w:val="left"/>
      <w:lvlText w:val="$"/>
      <w:numFmt w:val="bullet"/>
      <w:start w:val="1"/>
    </w:lvl>
  </w:abstractNum>
  <w:abstractNum w:abstractNumId="36">
    <w:nsid w:val="271210C7"/>
    <w:multiLevelType w:val="hybridMultilevel"/>
    <w:lvl w:ilvl="0">
      <w:lvlJc w:val="left"/>
      <w:lvlText w:val="•"/>
      <w:numFmt w:val="bullet"/>
      <w:start w:val="1"/>
    </w:lvl>
  </w:abstractNum>
  <w:abstractNum w:abstractNumId="37">
    <w:nsid w:val="217B22E4"/>
    <w:multiLevelType w:val="hybridMultilevel"/>
    <w:lvl w:ilvl="0">
      <w:lvlJc w:val="left"/>
      <w:lvlText w:val="(%1)"/>
      <w:numFmt w:val="lowerRoman"/>
      <w:start w:val="3"/>
    </w:lvl>
  </w:abstractNum>
  <w:abstractNum w:abstractNumId="38">
    <w:nsid w:val="53E31A24"/>
    <w:multiLevelType w:val="hybridMultilevel"/>
    <w:lvl w:ilvl="0">
      <w:lvlJc w:val="left"/>
      <w:lvlText w:val="•"/>
      <w:numFmt w:val="bullet"/>
      <w:start w:val="1"/>
    </w:lvl>
  </w:abstractNum>
  <w:abstractNum w:abstractNumId="39">
    <w:nsid w:val="6DC45E83"/>
    <w:multiLevelType w:val="hybridMultilevel"/>
    <w:lvl w:ilvl="0">
      <w:lvlJc w:val="left"/>
      <w:lvlText w:val="$"/>
      <w:numFmt w:val="bullet"/>
      <w:start w:val="1"/>
    </w:lvl>
  </w:abstractNum>
  <w:abstractNum w:abstractNumId="40">
    <w:nsid w:val="17304A67"/>
    <w:multiLevelType w:val="hybridMultilevel"/>
    <w:lvl w:ilvl="0">
      <w:lvlJc w:val="left"/>
      <w:lvlText w:val="•"/>
      <w:numFmt w:val="bullet"/>
      <w:start w:val="1"/>
    </w:lvl>
  </w:abstractNum>
  <w:abstractNum w:abstractNumId="41">
    <w:nsid w:val="2BB180D8"/>
    <w:multiLevelType w:val="hybridMultilevel"/>
    <w:lvl w:ilvl="0">
      <w:lvlJc w:val="left"/>
      <w:lvlText w:val="•"/>
      <w:numFmt w:val="bullet"/>
      <w:start w:val="1"/>
    </w:lvl>
  </w:abstractNum>
  <w:abstractNum w:abstractNumId="42">
    <w:nsid w:val="556B69ED"/>
    <w:multiLevelType w:val="hybridMultilevel"/>
    <w:lvl w:ilvl="0">
      <w:lvlJc w:val="left"/>
      <w:lvlText w:val="•"/>
      <w:numFmt w:val="bullet"/>
      <w:start w:val="1"/>
    </w:lvl>
    <w:lvl w:ilvl="1">
      <w:lvlJc w:val="left"/>
      <w:lvlText w:val="(%2)"/>
      <w:numFmt w:val="lowerRoman"/>
      <w:start w:val="1"/>
    </w:lvl>
  </w:abstractNum>
  <w:abstractNum w:abstractNumId="43">
    <w:nsid w:val="70836196"/>
    <w:multiLevelType w:val="hybridMultilevel"/>
    <w:lvl w:ilvl="0">
      <w:lvlJc w:val="left"/>
      <w:lvlText w:val="$"/>
      <w:numFmt w:val="bullet"/>
      <w:start w:val="1"/>
    </w:lvl>
  </w:abstractNum>
  <w:abstractNum w:abstractNumId="44">
    <w:nsid w:val="539F7F12"/>
    <w:multiLevelType w:val="hybridMultilevel"/>
    <w:lvl w:ilvl="0">
      <w:lvlJc w:val="left"/>
      <w:lvlText w:val="•"/>
      <w:numFmt w:val="bullet"/>
      <w:start w:val="1"/>
    </w:lvl>
  </w:abstractNum>
  <w:abstractNum w:abstractNumId="45">
    <w:nsid w:val="2817E7EC"/>
    <w:multiLevelType w:val="hybridMultilevel"/>
    <w:lvl w:ilvl="0">
      <w:lvlJc w:val="left"/>
      <w:lvlText w:val="•"/>
      <w:numFmt w:val="bullet"/>
      <w:start w:val="1"/>
    </w:lvl>
  </w:abstractNum>
  <w:abstractNum w:abstractNumId="46">
    <w:nsid w:val="71482545"/>
    <w:multiLevelType w:val="hybridMultilevel"/>
    <w:lvl w:ilvl="0">
      <w:lvlJc w:val="left"/>
      <w:lvlText w:val="(%1)"/>
      <w:numFmt w:val="decimal"/>
      <w:start w:val="1"/>
    </w:lvl>
  </w:abstractNum>
  <w:abstractNum w:abstractNumId="47">
    <w:nsid w:val="17D78639"/>
    <w:multiLevelType w:val="hybridMultilevel"/>
    <w:lvl w:ilvl="0">
      <w:lvlJc w:val="left"/>
      <w:lvlText w:val="•"/>
      <w:numFmt w:val="bullet"/>
      <w:start w:val="1"/>
    </w:lvl>
  </w:abstractNum>
  <w:abstractNum w:abstractNumId="48">
    <w:nsid w:val="141D2302"/>
    <w:multiLevelType w:val="hybridMultilevel"/>
    <w:lvl w:ilvl="0">
      <w:lvlJc w:val="left"/>
      <w:lvlText w:val="•"/>
      <w:numFmt w:val="bullet"/>
      <w:start w:val="1"/>
    </w:lvl>
  </w:abstractNum>
  <w:abstractNum w:abstractNumId="49">
    <w:nsid w:val="407168D8"/>
    <w:multiLevelType w:val="hybridMultilevel"/>
    <w:lvl w:ilvl="0">
      <w:lvlJc w:val="left"/>
      <w:lvlText w:val="(%1)"/>
      <w:numFmt w:val="lowerRoman"/>
      <w:start w:val="1"/>
    </w:lvl>
  </w:abstractNum>
  <w:abstractNum w:abstractNumId="50">
    <w:nsid w:val="6A1B45E5"/>
    <w:multiLevelType w:val="hybridMultilevel"/>
    <w:lvl w:ilvl="0">
      <w:lvlJc w:val="left"/>
      <w:lvlText w:val="(%1)"/>
      <w:numFmt w:val="decimal"/>
      <w:start w:val="1"/>
    </w:lvl>
  </w:abstractNum>
  <w:abstractNum w:abstractNumId="51">
    <w:nsid w:val="567BD50A"/>
    <w:multiLevelType w:val="hybridMultilevel"/>
    <w:lvl w:ilvl="0">
      <w:lvlJc w:val="left"/>
      <w:lvlText w:val="•"/>
      <w:numFmt w:val="bullet"/>
      <w:start w:val="1"/>
    </w:lvl>
  </w:abstractNum>
  <w:abstractNum w:abstractNumId="52">
    <w:nsid w:val="73BBD7F8"/>
    <w:multiLevelType w:val="hybridMultilevel"/>
    <w:lvl w:ilvl="0">
      <w:lvlJc w:val="left"/>
      <w:lvlText w:val="•"/>
      <w:numFmt w:val="bullet"/>
      <w:start w:val="1"/>
    </w:lvl>
  </w:abstractNum>
  <w:abstractNum w:abstractNumId="53">
    <w:nsid w:val="1876589D"/>
    <w:multiLevelType w:val="hybridMultilevel"/>
    <w:lvl w:ilvl="0">
      <w:lvlJc w:val="left"/>
      <w:lvlText w:val="•"/>
      <w:numFmt w:val="bullet"/>
      <w:start w:val="1"/>
    </w:lvl>
    <w:lvl w:ilvl="1">
      <w:lvlJc w:val="left"/>
      <w:lvlText w:val="•"/>
      <w:numFmt w:val="bullet"/>
      <w:start w:val="1"/>
    </w:lvl>
  </w:abstractNum>
  <w:abstractNum w:abstractNumId="54">
    <w:nsid w:val="327FAC77"/>
    <w:multiLevelType w:val="hybridMultilevel"/>
    <w:lvl w:ilvl="0">
      <w:lvlJc w:val="left"/>
      <w:lvlText w:val="•"/>
      <w:numFmt w:val="bullet"/>
      <w:start w:val="1"/>
    </w:lvl>
    <w:lvl w:ilvl="1">
      <w:lvlJc w:val="left"/>
      <w:lvlText w:val="•"/>
      <w:numFmt w:val="bullet"/>
      <w:start w:val="1"/>
    </w:lvl>
  </w:abstractNum>
  <w:abstractNum w:abstractNumId="55">
    <w:nsid w:val="5A606509"/>
    <w:multiLevelType w:val="hybridMultilevel"/>
    <w:lvl w:ilvl="0">
      <w:lvlJc w:val="left"/>
      <w:lvlText w:val="•"/>
      <w:numFmt w:val="bullet"/>
      <w:start w:val="1"/>
    </w:lvl>
  </w:abstractNum>
  <w:abstractNum w:abstractNumId="56">
    <w:nsid w:val="6F38E6D1"/>
    <w:multiLevelType w:val="hybridMultilevel"/>
    <w:lvl w:ilvl="0">
      <w:lvlJc w:val="left"/>
      <w:lvlText w:val="•"/>
      <w:numFmt w:val="bullet"/>
      <w:start w:val="1"/>
    </w:lvl>
  </w:abstractNum>
  <w:abstractNum w:abstractNumId="57">
    <w:nsid w:val="46111BA5"/>
    <w:multiLevelType w:val="hybridMultilevel"/>
    <w:lvl w:ilvl="0">
      <w:lvlJc w:val="left"/>
      <w:lvlText w:val="•"/>
      <w:numFmt w:val="bullet"/>
      <w:start w:val="1"/>
    </w:lvl>
  </w:abstractNum>
  <w:abstractNum w:abstractNumId="58">
    <w:nsid w:val="5E963896"/>
    <w:multiLevelType w:val="hybridMultilevel"/>
    <w:lvl w:ilvl="0">
      <w:lvlJc w:val="left"/>
      <w:lvlText w:val="•"/>
      <w:numFmt w:val="bullet"/>
      <w:start w:val="1"/>
    </w:lvl>
  </w:abstractNum>
  <w:abstractNum w:abstractNumId="59">
    <w:nsid w:val="775BA7C1"/>
    <w:multiLevelType w:val="hybridMultilevel"/>
    <w:lvl w:ilvl="0">
      <w:lvlJc w:val="left"/>
      <w:lvlText w:val="•"/>
      <w:numFmt w:val="bullet"/>
      <w:start w:val="1"/>
    </w:lvl>
    <w:lvl w:ilvl="1">
      <w:lvlJc w:val="left"/>
      <w:lvlText w:val="•"/>
      <w:numFmt w:val="bullet"/>
      <w:start w:val="1"/>
    </w:lvl>
  </w:abstractNum>
  <w:abstractNum w:abstractNumId="60">
    <w:nsid w:val="1DD6D6F4"/>
    <w:multiLevelType w:val="hybridMultilevel"/>
    <w:lvl w:ilvl="0">
      <w:lvlJc w:val="left"/>
      <w:lvlText w:val="•"/>
      <w:numFmt w:val="bullet"/>
      <w:start w:val="1"/>
    </w:lvl>
  </w:abstractNum>
  <w:abstractNum w:abstractNumId="61">
    <w:nsid w:val="769A091F"/>
    <w:multiLevelType w:val="hybridMultilevel"/>
    <w:lvl w:ilvl="0">
      <w:lvlJc w:val="left"/>
      <w:lvlText w:val="•"/>
      <w:numFmt w:val="bullet"/>
      <w:start w:val="1"/>
    </w:lvl>
  </w:abstractNum>
  <w:abstractNum w:abstractNumId="62">
    <w:nsid w:val="4695AE95"/>
    <w:multiLevelType w:val="hybridMultilevel"/>
    <w:lvl w:ilvl="0">
      <w:lvlJc w:val="left"/>
      <w:lvlText w:val="•"/>
      <w:numFmt w:val="bullet"/>
      <w:start w:val="1"/>
    </w:lvl>
  </w:abstractNum>
  <w:abstractNum w:abstractNumId="63">
    <w:nsid w:val="777A4EAA"/>
    <w:multiLevelType w:val="hybridMultilevel"/>
    <w:lvl w:ilvl="0">
      <w:lvlJc w:val="left"/>
      <w:lvlText w:val="•"/>
      <w:numFmt w:val="bullet"/>
      <w:start w:val="1"/>
    </w:lvl>
    <w:lvl w:ilvl="1">
      <w:lvlJc w:val="left"/>
      <w:lvlText w:val="•"/>
      <w:numFmt w:val="bullet"/>
      <w:start w:val="1"/>
    </w:lvl>
  </w:abstractNum>
  <w:abstractNum w:abstractNumId="64">
    <w:nsid w:val="3F48B982"/>
    <w:multiLevelType w:val="hybridMultilevel"/>
    <w:lvl w:ilvl="0">
      <w:lvlJc w:val="left"/>
      <w:lvlText w:val="•"/>
      <w:numFmt w:val="bullet"/>
      <w:start w:val="1"/>
    </w:lvl>
    <w:lvl w:ilvl="1">
      <w:lvlJc w:val="left"/>
      <w:lvlText w:val="•"/>
      <w:numFmt w:val="bullet"/>
      <w:start w:val="1"/>
    </w:lvl>
  </w:abstractNum>
  <w:abstractNum w:abstractNumId="65">
    <w:nsid w:val="46BA8FCA"/>
    <w:multiLevelType w:val="hybridMultilevel"/>
    <w:lvl w:ilvl="0">
      <w:lvlJc w:val="left"/>
      <w:lvlText w:val="•"/>
      <w:numFmt w:val="bullet"/>
      <w:start w:val="1"/>
    </w:lvl>
  </w:abstractNum>
  <w:abstractNum w:abstractNumId="66">
    <w:nsid w:val="7835626C"/>
    <w:multiLevelType w:val="hybridMultilevel"/>
    <w:lvl w:ilvl="0">
      <w:lvlJc w:val="left"/>
      <w:lvlText w:val="•"/>
      <w:numFmt w:val="bullet"/>
      <w:start w:val="1"/>
    </w:lvl>
  </w:abstractNum>
  <w:abstractNum w:abstractNumId="67">
    <w:nsid w:val="665ACA49"/>
    <w:multiLevelType w:val="hybridMultilevel"/>
    <w:lvl w:ilvl="0">
      <w:lvlJc w:val="left"/>
      <w:lvlText w:val="•"/>
      <w:numFmt w:val="bullet"/>
      <w:start w:val="1"/>
    </w:lvl>
  </w:abstractNum>
  <w:abstractNum w:abstractNumId="68">
    <w:nsid w:val="6835B2AE"/>
    <w:multiLevelType w:val="hybridMultilevel"/>
    <w:lvl w:ilvl="0">
      <w:lvlJc w:val="left"/>
      <w:lvlText w:val="•"/>
      <w:numFmt w:val="bullet"/>
      <w:start w:val="1"/>
    </w:lvl>
  </w:abstractNum>
  <w:abstractNum w:abstractNumId="69">
    <w:nsid w:val="4C187C90"/>
    <w:multiLevelType w:val="hybridMultilevel"/>
    <w:lvl w:ilvl="0">
      <w:lvlJc w:val="left"/>
      <w:lvlText w:val="•"/>
      <w:numFmt w:val="bullet"/>
      <w:start w:val="1"/>
    </w:lvl>
  </w:abstractNum>
  <w:abstractNum w:abstractNumId="70">
    <w:nsid w:val="541F28CD"/>
    <w:multiLevelType w:val="hybridMultilevel"/>
    <w:lvl w:ilvl="0">
      <w:lvlJc w:val="left"/>
      <w:lvlText w:val="•"/>
      <w:numFmt w:val="bullet"/>
      <w:start w:val="1"/>
    </w:lvl>
  </w:abstractNum>
  <w:abstractNum w:abstractNumId="71">
    <w:nsid w:val="7F65FD16"/>
    <w:multiLevelType w:val="hybridMultilevel"/>
    <w:lvl w:ilvl="0">
      <w:lvlJc w:val="left"/>
      <w:lvlText w:val="•"/>
      <w:numFmt w:val="bullet"/>
      <w:start w:val="1"/>
    </w:lvl>
  </w:abstractNum>
  <w:abstractNum w:abstractNumId="72">
    <w:nsid w:val="77C9FD68"/>
    <w:multiLevelType w:val="hybridMultilevel"/>
    <w:lvl w:ilvl="0">
      <w:lvlJc w:val="left"/>
      <w:lvlText w:val="•"/>
      <w:numFmt w:val="bullet"/>
      <w:start w:val="1"/>
    </w:lvl>
  </w:abstractNum>
  <w:abstractNum w:abstractNumId="73">
    <w:nsid w:val="298A92BA"/>
    <w:multiLevelType w:val="hybridMultilevel"/>
    <w:lvl w:ilvl="0">
      <w:lvlJc w:val="left"/>
      <w:lvlText w:val="•"/>
      <w:numFmt w:val="bullet"/>
      <w:start w:val="1"/>
    </w:lvl>
  </w:abstractNum>
  <w:abstractNum w:abstractNumId="74">
    <w:nsid w:val="6FE95EAC"/>
    <w:multiLevelType w:val="hybridMultilevel"/>
    <w:lvl w:ilvl="0">
      <w:lvlJc w:val="left"/>
      <w:lvlText w:val="•"/>
      <w:numFmt w:val="bullet"/>
      <w:start w:val="1"/>
    </w:lvl>
  </w:abstractNum>
  <w:abstractNum w:abstractNumId="75">
    <w:nsid w:val="4B697C7A"/>
    <w:multiLevelType w:val="hybridMultilevel"/>
    <w:lvl w:ilvl="0">
      <w:lvlJc w:val="left"/>
      <w:lvlText w:val="•"/>
      <w:numFmt w:val="bullet"/>
      <w:start w:val="1"/>
    </w:lvl>
  </w:abstractNum>
  <w:abstractNum w:abstractNumId="76">
    <w:nsid w:val="51A27AA6"/>
    <w:multiLevelType w:val="hybridMultilevel"/>
    <w:lvl w:ilvl="0">
      <w:lvlJc w:val="left"/>
      <w:lvlText w:val="•"/>
      <w:numFmt w:val="bullet"/>
      <w:start w:val="1"/>
    </w:lvl>
  </w:abstractNum>
  <w:abstractNum w:abstractNumId="77">
    <w:nsid w:val="613183F2"/>
    <w:multiLevelType w:val="hybridMultilevel"/>
    <w:lvl w:ilvl="0">
      <w:lvlJc w:val="left"/>
      <w:lvlText w:val="•"/>
      <w:numFmt w:val="bullet"/>
      <w:start w:val="1"/>
    </w:lvl>
  </w:abstractNum>
  <w:abstractNum w:abstractNumId="78">
    <w:nsid w:val="634102B4"/>
    <w:multiLevelType w:val="hybridMultilevel"/>
    <w:lvl w:ilvl="0">
      <w:lvlJc w:val="left"/>
      <w:lvlText w:val="•"/>
      <w:numFmt w:val="bullet"/>
      <w:start w:val="1"/>
    </w:lvl>
  </w:abstractNum>
  <w:abstractNum w:abstractNumId="79">
    <w:nsid w:val="65BF9DA8"/>
    <w:multiLevelType w:val="hybridMultilevel"/>
    <w:lvl w:ilvl="0">
      <w:lvlJc w:val="left"/>
      <w:lvlText w:val="•"/>
      <w:numFmt w:val="bullet"/>
      <w:start w:val="1"/>
    </w:lvl>
  </w:abstractNum>
  <w:abstractNum w:abstractNumId="80">
    <w:nsid w:val="21A2ECCA"/>
    <w:multiLevelType w:val="hybridMultilevel"/>
    <w:lvl w:ilvl="0">
      <w:lvlJc w:val="left"/>
      <w:lvlText w:val="•"/>
      <w:numFmt w:val="bullet"/>
      <w:start w:val="1"/>
    </w:lvl>
  </w:abstractNum>
  <w:abstractNum w:abstractNumId="81">
    <w:nsid w:val="4D5C4899"/>
    <w:multiLevelType w:val="hybridMultilevel"/>
    <w:lvl w:ilvl="0">
      <w:lvlJc w:val="left"/>
      <w:lvlText w:val="•"/>
      <w:numFmt w:val="bullet"/>
      <w:start w:val="1"/>
    </w:lvl>
  </w:abstractNum>
  <w:abstractNum w:abstractNumId="82">
    <w:nsid w:val="3C3B72B2"/>
    <w:multiLevelType w:val="hybridMultilevel"/>
    <w:lvl w:ilvl="0">
      <w:lvlJc w:val="left"/>
      <w:lvlText w:val="•"/>
      <w:numFmt w:val="bullet"/>
      <w:start w:val="1"/>
    </w:lvl>
  </w:abstractNum>
  <w:abstractNum w:abstractNumId="83">
    <w:nsid w:val="155EC4C2"/>
    <w:multiLevelType w:val="hybridMultilevel"/>
    <w:lvl w:ilvl="0">
      <w:lvlJc w:val="left"/>
      <w:lvlText w:val="•"/>
      <w:numFmt w:val="bullet"/>
      <w:start w:val="1"/>
    </w:lvl>
  </w:abstractNum>
  <w:abstractNum w:abstractNumId="84">
    <w:nsid w:val="65D2A137"/>
    <w:multiLevelType w:val="hybridMultilevel"/>
    <w:lvl w:ilvl="0">
      <w:lvlJc w:val="left"/>
      <w:lvlText w:val="•"/>
      <w:numFmt w:val="bullet"/>
      <w:start w:val="1"/>
    </w:lvl>
  </w:abstractNum>
  <w:abstractNum w:abstractNumId="85">
    <w:nsid w:val="6EBB1F2A"/>
    <w:multiLevelType w:val="hybridMultilevel"/>
    <w:lvl w:ilvl="0">
      <w:lvlJc w:val="left"/>
      <w:lvlText w:val="•"/>
      <w:numFmt w:val="bullet"/>
      <w:start w:val="1"/>
    </w:lvl>
  </w:abstractNum>
  <w:abstractNum w:abstractNumId="86">
    <w:nsid w:val="6FBF29CB"/>
    <w:multiLevelType w:val="hybridMultilevel"/>
    <w:lvl w:ilvl="0">
      <w:lvlJc w:val="left"/>
      <w:lvlText w:val="•"/>
      <w:numFmt w:val="bullet"/>
      <w:start w:val="1"/>
    </w:lvl>
  </w:abstractNum>
  <w:abstractNum w:abstractNumId="87">
    <w:nsid w:val="550B8808"/>
    <w:multiLevelType w:val="hybridMultilevel"/>
    <w:lvl w:ilvl="0">
      <w:lvlJc w:val="left"/>
      <w:lvlText w:val="•"/>
      <w:numFmt w:val="bullet"/>
      <w:start w:val="1"/>
    </w:lvl>
  </w:abstractNum>
  <w:abstractNum w:abstractNumId="88">
    <w:nsid w:val="34CC3ACF"/>
    <w:multiLevelType w:val="hybridMultilevel"/>
    <w:lvl w:ilvl="0">
      <w:lvlJc w:val="left"/>
      <w:lvlText w:val="(%1)"/>
      <w:numFmt w:val="decimal"/>
      <w:start w:val="1"/>
    </w:lvl>
  </w:abstractNum>
  <w:abstractNum w:abstractNumId="89">
    <w:nsid w:val="4E556261"/>
    <w:multiLevelType w:val="hybridMultilevel"/>
    <w:lvl w:ilvl="0">
      <w:lvlJc w:val="left"/>
      <w:lvlText w:val="•"/>
      <w:numFmt w:val="bullet"/>
      <w:start w:val="1"/>
    </w:lvl>
  </w:abstractNum>
  <w:abstractNum w:abstractNumId="90">
    <w:nsid w:val="4C672FC9"/>
    <w:multiLevelType w:val="hybridMultilevel"/>
    <w:lvl w:ilvl="0">
      <w:lvlJc w:val="left"/>
      <w:lvlText w:val="•"/>
      <w:numFmt w:val="bullet"/>
      <w:start w:val="1"/>
    </w:lvl>
  </w:abstractNum>
  <w:abstractNum w:abstractNumId="91">
    <w:nsid w:val="52A311C3"/>
    <w:multiLevelType w:val="hybridMultilevel"/>
    <w:lvl w:ilvl="0">
      <w:lvlJc w:val="left"/>
      <w:lvlText w:val="•"/>
      <w:numFmt w:val="bullet"/>
      <w:start w:val="1"/>
    </w:lvl>
  </w:abstractNum>
  <w:abstractNum w:abstractNumId="92">
    <w:nsid w:val="44EF6B80"/>
    <w:multiLevelType w:val="hybridMultilevel"/>
    <w:lvl w:ilvl="0">
      <w:lvlJc w:val="left"/>
      <w:lvlText w:val="•"/>
      <w:numFmt w:val="bullet"/>
      <w:start w:val="1"/>
    </w:lvl>
  </w:abstractNum>
  <w:abstractNum w:abstractNumId="93">
    <w:nsid w:val="12FCDE5E"/>
    <w:multiLevelType w:val="hybridMultilevel"/>
    <w:lvl w:ilvl="0">
      <w:lvlJc w:val="left"/>
      <w:lvlText w:val="•"/>
      <w:numFmt w:val="bullet"/>
      <w:start w:val="1"/>
    </w:lvl>
  </w:abstractNum>
  <w:abstractNum w:abstractNumId="94">
    <w:nsid w:val="4A1D606E"/>
    <w:multiLevelType w:val="hybridMultilevel"/>
    <w:lvl w:ilvl="0">
      <w:lvlJc w:val="left"/>
      <w:lvlText w:val="•"/>
      <w:numFmt w:val="bullet"/>
      <w:start w:val="1"/>
    </w:lvl>
  </w:abstractNum>
  <w:abstractNum w:abstractNumId="95">
    <w:nsid w:val="4382503"/>
    <w:multiLevelType w:val="hybridMultilevel"/>
    <w:lvl w:ilvl="0">
      <w:lvlJc w:val="left"/>
      <w:lvlText w:val="•"/>
      <w:numFmt w:val="bullet"/>
      <w:start w:val="1"/>
    </w:lvl>
  </w:abstractNum>
  <w:abstractNum w:abstractNumId="96">
    <w:nsid w:val="59B76E28"/>
    <w:multiLevelType w:val="hybridMultilevel"/>
    <w:lvl w:ilvl="0">
      <w:lvlJc w:val="left"/>
      <w:lvlText w:val="•"/>
      <w:numFmt w:val="bullet"/>
      <w:start w:val="1"/>
    </w:lvl>
  </w:abstractNum>
  <w:abstractNum w:abstractNumId="97">
    <w:nsid w:val="4252C2DA"/>
    <w:multiLevelType w:val="hybridMultilevel"/>
    <w:lvl w:ilvl="0">
      <w:lvlJc w:val="left"/>
      <w:lvlText w:val="•"/>
      <w:numFmt w:val="bullet"/>
      <w:start w:val="1"/>
    </w:lvl>
  </w:abstractNum>
  <w:abstractNum w:abstractNumId="98">
    <w:nsid w:val="6A92EF4C"/>
    <w:multiLevelType w:val="hybridMultilevel"/>
    <w:lvl w:ilvl="0">
      <w:lvlJc w:val="left"/>
      <w:lvlText w:val="•"/>
      <w:numFmt w:val="bullet"/>
      <w:start w:val="1"/>
    </w:lvl>
  </w:abstractNum>
  <w:abstractNum w:abstractNumId="99">
    <w:nsid w:val="41ED20D7"/>
    <w:multiLevelType w:val="hybridMultilevel"/>
    <w:lvl w:ilvl="0">
      <w:lvlJc w:val="left"/>
      <w:lvlText w:val="•"/>
      <w:numFmt w:val="bullet"/>
      <w:start w:val="1"/>
    </w:lvl>
  </w:abstractNum>
  <w:abstractNum w:abstractNumId="100">
    <w:nsid w:val="E6B3F6A"/>
    <w:multiLevelType w:val="hybridMultilevel"/>
    <w:lvl w:ilvl="0">
      <w:lvlJc w:val="left"/>
      <w:lvlText w:val="•"/>
      <w:numFmt w:val="bullet"/>
      <w:start w:val="1"/>
    </w:lvl>
  </w:abstractNum>
  <w:abstractNum w:abstractNumId="101">
    <w:nsid w:val="3EB21819"/>
    <w:multiLevelType w:val="hybridMultilevel"/>
    <w:lvl w:ilvl="0">
      <w:lvlJc w:val="left"/>
      <w:lvlText w:val="•"/>
      <w:numFmt w:val="bullet"/>
      <w:start w:val="1"/>
    </w:lvl>
  </w:abstractNum>
  <w:abstractNum w:abstractNumId="102">
    <w:nsid w:val="41531DED"/>
    <w:multiLevelType w:val="hybridMultilevel"/>
    <w:lvl w:ilvl="0">
      <w:lvlJc w:val="left"/>
      <w:lvlText w:val="•"/>
      <w:numFmt w:val="bullet"/>
      <w:start w:val="1"/>
    </w:lvl>
  </w:abstractNum>
  <w:abstractNum w:abstractNumId="103">
    <w:nsid w:val="6353CD2"/>
    <w:multiLevelType w:val="hybridMultilevel"/>
    <w:lvl w:ilvl="0">
      <w:lvlJc w:val="left"/>
      <w:lvlText w:val="•"/>
      <w:numFmt w:val="bullet"/>
      <w:start w:val="1"/>
    </w:lvl>
  </w:abstractNum>
  <w:abstractNum w:abstractNumId="104">
    <w:nsid w:val="683CAAD3"/>
    <w:multiLevelType w:val="hybridMultilevel"/>
    <w:lvl w:ilvl="0">
      <w:lvlJc w:val="left"/>
      <w:lvlText w:val="•"/>
      <w:numFmt w:val="bullet"/>
      <w:start w:val="1"/>
    </w:lvl>
  </w:abstractNum>
  <w:abstractNum w:abstractNumId="105">
    <w:nsid w:val="313C7C99"/>
    <w:multiLevelType w:val="hybridMultilevel"/>
    <w:lvl w:ilvl="0">
      <w:lvlJc w:val="left"/>
      <w:lvlText w:val="•"/>
      <w:numFmt w:val="bullet"/>
      <w:start w:val="1"/>
    </w:lvl>
  </w:abstractNum>
  <w:abstractNum w:abstractNumId="106">
    <w:nsid w:val="519EB94C"/>
    <w:multiLevelType w:val="hybridMultilevel"/>
    <w:lvl w:ilvl="0">
      <w:lvlJc w:val="left"/>
      <w:lvlText w:val="•"/>
      <w:numFmt w:val="bullet"/>
      <w:start w:val="1"/>
    </w:lvl>
  </w:abstractNum>
  <w:abstractNum w:abstractNumId="107">
    <w:nsid w:val="39DF2579"/>
    <w:multiLevelType w:val="hybridMultilevel"/>
    <w:lvl w:ilvl="0">
      <w:lvlJc w:val="left"/>
      <w:lvlText w:val="•"/>
      <w:numFmt w:val="bullet"/>
      <w:start w:val="1"/>
    </w:lvl>
  </w:abstractNum>
  <w:abstractNum w:abstractNumId="108">
    <w:nsid w:val="126E008B"/>
    <w:multiLevelType w:val="hybridMultilevel"/>
    <w:lvl w:ilvl="0">
      <w:lvlJc w:val="left"/>
      <w:lvlText w:val="•"/>
      <w:numFmt w:val="bullet"/>
      <w:start w:val="1"/>
    </w:lvl>
  </w:abstractNum>
  <w:abstractNum w:abstractNumId="109">
    <w:nsid w:val="34DFBC00"/>
    <w:multiLevelType w:val="hybridMultilevel"/>
    <w:lvl w:ilvl="0">
      <w:lvlJc w:val="left"/>
      <w:lvlText w:val="•"/>
      <w:numFmt w:val="bullet"/>
      <w:start w:val="1"/>
    </w:lvl>
  </w:abstractNum>
  <w:abstractNum w:abstractNumId="110">
    <w:nsid w:val="1F9EC322"/>
    <w:multiLevelType w:val="hybridMultilevel"/>
    <w:lvl w:ilvl="0">
      <w:lvlJc w:val="left"/>
      <w:lvlText w:val="•"/>
      <w:numFmt w:val="bullet"/>
      <w:start w:val="1"/>
    </w:lvl>
    <w:lvl w:ilvl="1">
      <w:lvlJc w:val="left"/>
      <w:lvlText w:val="•"/>
      <w:numFmt w:val="bullet"/>
      <w:start w:val="1"/>
    </w:lvl>
  </w:abstractNum>
  <w:abstractNum w:abstractNumId="111">
    <w:nsid w:val="3410ED56"/>
    <w:multiLevelType w:val="hybridMultilevel"/>
    <w:lvl w:ilvl="0">
      <w:lvlJc w:val="left"/>
      <w:lvlText w:val="•"/>
      <w:numFmt w:val="bullet"/>
      <w:start w:val="1"/>
    </w:lvl>
    <w:lvl w:ilvl="1">
      <w:lvlJc w:val="left"/>
      <w:lvlText w:val="•"/>
      <w:numFmt w:val="bullet"/>
      <w:start w:val="1"/>
    </w:lvl>
  </w:abstractNum>
  <w:abstractNum w:abstractNumId="112">
    <w:nsid w:val="23C049A"/>
    <w:multiLevelType w:val="hybridMultilevel"/>
    <w:lvl w:ilvl="0">
      <w:lvlJc w:val="left"/>
      <w:lvlText w:val="•"/>
      <w:numFmt w:val="bullet"/>
      <w:start w:val="1"/>
    </w:lvl>
  </w:abstractNum>
  <w:abstractNum w:abstractNumId="113">
    <w:nsid w:val="5BDA35D4"/>
    <w:multiLevelType w:val="hybridMultilevel"/>
    <w:lvl w:ilvl="0">
      <w:lvlJc w:val="left"/>
      <w:lvlText w:val="•"/>
      <w:numFmt w:val="bullet"/>
      <w:start w:val="1"/>
    </w:lvl>
  </w:abstractNum>
  <w:abstractNum w:abstractNumId="114">
    <w:nsid w:val="496FB218"/>
    <w:multiLevelType w:val="hybridMultilevel"/>
    <w:lvl w:ilvl="0">
      <w:lvlJc w:val="left"/>
      <w:lvlText w:val="•"/>
      <w:numFmt w:val="bullet"/>
      <w:start w:val="1"/>
    </w:lvl>
  </w:abstractNum>
  <w:abstractNum w:abstractNumId="115">
    <w:nsid w:val="680EA5D1"/>
    <w:multiLevelType w:val="hybridMultilevel"/>
    <w:lvl w:ilvl="0">
      <w:lvlJc w:val="left"/>
      <w:lvlText w:val="•"/>
      <w:numFmt w:val="bullet"/>
      <w:start w:val="1"/>
    </w:lvl>
  </w:abstractNum>
  <w:abstractNum w:abstractNumId="116">
    <w:nsid w:val="4A9554FE"/>
    <w:multiLevelType w:val="hybridMultilevel"/>
    <w:lvl w:ilvl="0">
      <w:lvlJc w:val="left"/>
      <w:lvlText w:val="•"/>
      <w:numFmt w:val="bullet"/>
      <w:start w:val="1"/>
    </w:lvl>
  </w:abstractNum>
  <w:abstractNum w:abstractNumId="117">
    <w:nsid w:val="392EDBE4"/>
    <w:multiLevelType w:val="hybridMultilevel"/>
    <w:lvl w:ilvl="0">
      <w:lvlJc w:val="left"/>
      <w:lvlText w:val="(%1)"/>
      <w:numFmt w:val="lowerRoman"/>
      <w:start w:val="1"/>
    </w:lvl>
  </w:abstractNum>
  <w:abstractNum w:abstractNumId="118">
    <w:nsid w:val="3D1A2DD9"/>
    <w:multiLevelType w:val="hybridMultilevel"/>
    <w:lvl w:ilvl="0">
      <w:lvlJc w:val="left"/>
      <w:lvlText w:val="•"/>
      <w:numFmt w:val="bullet"/>
      <w:start w:val="1"/>
    </w:lvl>
  </w:abstractNum>
  <w:abstractNum w:abstractNumId="119">
    <w:nsid w:val="7F618FCD"/>
    <w:multiLevelType w:val="hybridMultilevel"/>
    <w:lvl w:ilvl="0">
      <w:lvlJc w:val="left"/>
      <w:lvlText w:val="%1."/>
      <w:numFmt w:val="decimal"/>
      <w:start w:val="1"/>
    </w:lvl>
  </w:abstractNum>
  <w:abstractNum w:abstractNumId="120">
    <w:nsid w:val="7843E45"/>
    <w:multiLevelType w:val="hybridMultilevel"/>
    <w:lvl w:ilvl="0">
      <w:lvlJc w:val="left"/>
      <w:lvlText w:val="%1."/>
      <w:numFmt w:val="decimal"/>
      <w:start w:val="2"/>
    </w:lvl>
  </w:abstractNum>
  <w:abstractNum w:abstractNumId="121">
    <w:nsid w:val="9815DA3"/>
    <w:multiLevelType w:val="hybridMultilevel"/>
    <w:lvl w:ilvl="0">
      <w:lvlJc w:val="left"/>
      <w:lvlText w:val="(%1)"/>
      <w:numFmt w:val="lowerRoman"/>
      <w:start w:val="1"/>
    </w:lvl>
  </w:abstractNum>
  <w:abstractNum w:abstractNumId="122">
    <w:nsid w:val="5204A191"/>
    <w:multiLevelType w:val="hybridMultilevel"/>
    <w:lvl w:ilvl="0">
      <w:lvlJc w:val="left"/>
      <w:lvlText w:val="(%1)"/>
      <w:numFmt w:val="lowerRoman"/>
      <w:start w:val="3"/>
    </w:lvl>
  </w:abstractNum>
  <w:abstractNum w:abstractNumId="123">
    <w:nsid w:val="4C73A9C6"/>
    <w:multiLevelType w:val="hybridMultilevel"/>
    <w:lvl w:ilvl="0">
      <w:lvlJc w:val="left"/>
      <w:lvlText w:val="%1."/>
      <w:numFmt w:val="decimal"/>
      <w:start w:val="3"/>
    </w:lvl>
  </w:abstractNum>
  <w:abstractNum w:abstractNumId="124">
    <w:nsid w:val="1C7E3C01"/>
    <w:multiLevelType w:val="hybridMultilevel"/>
    <w:lvl w:ilvl="0">
      <w:lvlJc w:val="left"/>
      <w:lvlText w:val="%1."/>
      <w:numFmt w:val="decimal"/>
      <w:start w:val="4"/>
    </w:lvl>
  </w:abstractNum>
  <w:abstractNum w:abstractNumId="125">
    <w:nsid w:val="1C2201FF"/>
    <w:multiLevelType w:val="hybridMultilevel"/>
    <w:lvl w:ilvl="0">
      <w:lvlJc w:val="left"/>
      <w:lvlText w:val="%1."/>
      <w:numFmt w:val="decimal"/>
      <w:start w:val="5"/>
    </w:lvl>
  </w:abstractNum>
  <w:abstractNum w:abstractNumId="126">
    <w:nsid w:val="50ABCEC9"/>
    <w:multiLevelType w:val="hybridMultilevel"/>
    <w:lvl w:ilvl="0">
      <w:lvlJc w:val="left"/>
      <w:lvlText w:val="%1."/>
      <w:numFmt w:val="decimal"/>
      <w:start w:val="6"/>
    </w:lvl>
  </w:abstractNum>
  <w:abstractNum w:abstractNumId="127">
    <w:nsid w:val="7635AA2A"/>
    <w:multiLevelType w:val="hybridMultilevel"/>
    <w:lvl w:ilvl="0">
      <w:lvlJc w:val="left"/>
      <w:lvlText w:val="%1."/>
      <w:numFmt w:val="decimal"/>
      <w:start w:val="7"/>
    </w:lvl>
  </w:abstractNum>
  <w:abstractNum w:abstractNumId="128">
    <w:nsid w:val="5E74C4D9"/>
    <w:multiLevelType w:val="hybridMultilevel"/>
    <w:lvl w:ilvl="0">
      <w:lvlJc w:val="left"/>
      <w:lvlText w:val="%1."/>
      <w:numFmt w:val="decimal"/>
      <w:start w:val="8"/>
    </w:lvl>
  </w:abstractNum>
  <w:abstractNum w:abstractNumId="129">
    <w:nsid w:val="3B3EBE15"/>
    <w:multiLevelType w:val="hybridMultilevel"/>
    <w:lvl w:ilvl="0">
      <w:lvlJc w:val="left"/>
      <w:lvlText w:val="%1."/>
      <w:numFmt w:val="decimal"/>
      <w:start w:val="9"/>
    </w:lvl>
  </w:abstractNum>
  <w:abstractNum w:abstractNumId="130">
    <w:nsid w:val="3822CB01"/>
    <w:multiLevelType w:val="hybridMultilevel"/>
    <w:lvl w:ilvl="0">
      <w:lvlJc w:val="left"/>
      <w:lvlText w:val="(%1)"/>
      <w:numFmt w:val="decimal"/>
      <w:start w:val="1"/>
    </w:lvl>
  </w:abstractNum>
  <w:abstractNum w:abstractNumId="131">
    <w:nsid w:val="6CE00443"/>
    <w:multiLevelType w:val="hybridMultilevel"/>
    <w:lvl w:ilvl="0">
      <w:lvlJc w:val="left"/>
      <w:lvlText w:val="%1."/>
      <w:numFmt w:val="decimal"/>
      <w:start w:val="1"/>
    </w:lvl>
  </w:abstractNum>
  <w:abstractNum w:abstractNumId="132">
    <w:nsid w:val="79F0D62F"/>
    <w:multiLevelType w:val="hybridMultilevel"/>
    <w:lvl w:ilvl="0">
      <w:lvlJc w:val="left"/>
      <w:lvlText w:val="%1."/>
      <w:numFmt w:val="decimal"/>
      <w:start w:val="2"/>
    </w:lvl>
  </w:abstractNum>
  <w:abstractNum w:abstractNumId="133">
    <w:nsid w:val="7975E8EE"/>
    <w:multiLevelType w:val="hybridMultilevel"/>
    <w:lvl w:ilvl="0">
      <w:lvlJc w:val="left"/>
      <w:lvlText w:val="(%1)"/>
      <w:numFmt w:val="lowerRoman"/>
      <w:start w:val="1"/>
    </w:lvl>
  </w:abstractNum>
  <w:abstractNum w:abstractNumId="134">
    <w:nsid w:val="73154115"/>
    <w:multiLevelType w:val="hybridMultilevel"/>
    <w:lvl w:ilvl="0">
      <w:lvlJc w:val="left"/>
      <w:lvlText w:val="(%1)"/>
      <w:numFmt w:val="lowerRoman"/>
      <w:start w:val="3"/>
    </w:lvl>
  </w:abstractNum>
  <w:abstractNum w:abstractNumId="135">
    <w:nsid w:val="622D8102"/>
    <w:multiLevelType w:val="hybridMultilevel"/>
    <w:lvl w:ilvl="0">
      <w:lvlJc w:val="left"/>
      <w:lvlText w:val="%1."/>
      <w:numFmt w:val="decimal"/>
      <w:start w:val="3"/>
    </w:lvl>
  </w:abstractNum>
  <w:abstractNum w:abstractNumId="136">
    <w:nsid w:val="2AB26587"/>
    <w:multiLevelType w:val="hybridMultilevel"/>
    <w:lvl w:ilvl="0">
      <w:lvlJc w:val="left"/>
      <w:lvlText w:val="•"/>
      <w:numFmt w:val="bullet"/>
      <w:start w:val="1"/>
    </w:lvl>
  </w:abstractNum>
  <w:abstractNum w:abstractNumId="137">
    <w:nsid w:val="44B3FA61"/>
    <w:multiLevelType w:val="hybridMultilevel"/>
    <w:lvl w:ilvl="0">
      <w:lvlJc w:val="left"/>
      <w:lvlText w:val="•"/>
      <w:numFmt w:val="bullet"/>
      <w:start w:val="1"/>
    </w:lvl>
  </w:abstractNum>
  <w:abstractNum w:abstractNumId="138">
    <w:nsid w:val="1C0CA67C"/>
    <w:multiLevelType w:val="hybridMultilevel"/>
    <w:lvl w:ilvl="0">
      <w:lvlJc w:val="left"/>
      <w:lvlText w:val="%1."/>
      <w:numFmt w:val="decimal"/>
      <w:start w:val="4"/>
    </w:lvl>
  </w:abstractNum>
  <w:abstractNum w:abstractNumId="139">
    <w:nsid w:val="3D206613"/>
    <w:multiLevelType w:val="hybridMultilevel"/>
    <w:lvl w:ilvl="0">
      <w:lvlJc w:val="left"/>
      <w:lvlText w:val="%1."/>
      <w:numFmt w:val="decimal"/>
      <w:start w:val="6"/>
    </w:lvl>
  </w:abstractNum>
  <w:abstractNum w:abstractNumId="140">
    <w:nsid w:val="7993B662"/>
    <w:multiLevelType w:val="hybridMultilevel"/>
    <w:lvl w:ilvl="0">
      <w:lvlJc w:val="left"/>
      <w:lvlText w:val="%1."/>
      <w:numFmt w:val="decimal"/>
      <w:start w:val="9"/>
    </w:lvl>
  </w:abstractNum>
  <w:abstractNum w:abstractNumId="141">
    <w:nsid w:val="3BAB699E"/>
    <w:multiLevelType w:val="hybridMultilevel"/>
    <w:lvl w:ilvl="0">
      <w:lvlJc w:val="left"/>
      <w:lvlText w:val="%1."/>
      <w:numFmt w:val="decimal"/>
      <w:start w:val="11"/>
    </w:lvl>
  </w:abstractNum>
  <w:abstractNum w:abstractNumId="142">
    <w:nsid w:val="71315369"/>
    <w:multiLevelType w:val="hybridMultilevel"/>
    <w:lvl w:ilvl="0">
      <w:lvlJc w:val="left"/>
      <w:lvlText w:val="%1."/>
      <w:numFmt w:val="decimal"/>
      <w:start w:val="13"/>
    </w:lvl>
  </w:abstractNum>
  <w:abstractNum w:abstractNumId="143">
    <w:nsid w:val="7BCFBAFC"/>
    <w:multiLevelType w:val="hybridMultilevel"/>
    <w:lvl w:ilvl="0">
      <w:lvlJc w:val="left"/>
      <w:lvlText w:val="%1."/>
      <w:numFmt w:val="decimal"/>
      <w:start w:val="15"/>
    </w:lvl>
  </w:abstractNum>
  <w:abstractNum w:abstractNumId="144">
    <w:nsid w:val="17859F72"/>
    <w:multiLevelType w:val="hybridMultilevel"/>
    <w:lvl w:ilvl="0">
      <w:lvlJc w:val="left"/>
      <w:lvlText w:val="%1."/>
      <w:numFmt w:val="decimal"/>
      <w:start w:val="16"/>
    </w:lvl>
  </w:abstractNum>
  <w:abstractNum w:abstractNumId="145">
    <w:nsid w:val="3AA10581"/>
    <w:multiLevelType w:val="hybridMultilevel"/>
    <w:lvl w:ilvl="0">
      <w:lvlJc w:val="left"/>
      <w:lvlText w:val="%1."/>
      <w:numFmt w:val="decimal"/>
      <w:start w:val="19"/>
    </w:lvl>
  </w:abstractNum>
  <w:abstractNum w:abstractNumId="146">
    <w:nsid w:val="63DE60CD"/>
    <w:multiLevelType w:val="hybridMultilevel"/>
    <w:lvl w:ilvl="0">
      <w:lvlJc w:val="left"/>
      <w:lvlText w:val="%1."/>
      <w:numFmt w:val="decimal"/>
      <w:start w:val="20"/>
    </w:lvl>
  </w:abstractNum>
  <w:abstractNum w:abstractNumId="147">
    <w:nsid w:val="621AF471"/>
    <w:multiLevelType w:val="hybridMultilevel"/>
    <w:lvl w:ilvl="0">
      <w:lvlJc w:val="left"/>
      <w:lvlText w:val="%1."/>
      <w:numFmt w:val="decimal"/>
      <w:start w:val="21"/>
    </w:lvl>
  </w:abstractNum>
  <w:abstractNum w:abstractNumId="148">
    <w:nsid w:val="73CFE165"/>
    <w:multiLevelType w:val="hybridMultilevel"/>
    <w:lvl w:ilvl="0">
      <w:lvlJc w:val="left"/>
      <w:lvlText w:val="%1."/>
      <w:numFmt w:val="decimal"/>
      <w:start w:val="22"/>
    </w:lvl>
  </w:abstractNum>
  <w:abstractNum w:abstractNumId="149">
    <w:nsid w:val="20F88EA6"/>
    <w:multiLevelType w:val="hybridMultilevel"/>
    <w:lvl w:ilvl="0">
      <w:lvlJc w:val="left"/>
      <w:lvlText w:val="%1."/>
      <w:numFmt w:val="decimal"/>
      <w:start w:val="23"/>
    </w:lvl>
  </w:abstractNum>
  <w:abstractNum w:abstractNumId="150">
    <w:nsid w:val="617C843E"/>
    <w:multiLevelType w:val="hybridMultilevel"/>
    <w:lvl w:ilvl="0">
      <w:lvlJc w:val="left"/>
      <w:lvlText w:val="%1."/>
      <w:numFmt w:val="decimal"/>
      <w:start w:val="1"/>
    </w:lvl>
  </w:abstractNum>
  <w:abstractNum w:abstractNumId="151">
    <w:nsid w:val="7B541FAB"/>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2">
    <w:nsid w:val="2A79EC49"/>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3">
    <w:nsid w:val="338125CF"/>
    <w:multiLevelType w:val="hybridMultilevel"/>
    <w:lvl w:ilvl="0">
      <w:lvlJc w:val="left"/>
      <w:lvlText w:val="*"/>
      <w:numFmt w:val="bullet"/>
      <w:start w:val="1"/>
    </w:lvl>
  </w:abstractNum>
  <w:abstractNum w:abstractNumId="154">
    <w:nsid w:val="47C7C971"/>
    <w:multiLevelType w:val="hybridMultilevel"/>
    <w:lvl w:ilvl="0">
      <w:lvlJc w:val="left"/>
      <w:lvlText w:val="%1."/>
      <w:numFmt w:val="decimal"/>
      <w:start w:val="1"/>
    </w:lvl>
    <w:lvl w:ilvl="1">
      <w:lvlJc w:val="left"/>
      <w:lvlText w:val="(%2)"/>
      <w:numFmt w:val="lowerLetter"/>
      <w:start w:val="1"/>
    </w:lvl>
  </w:abstractNum>
  <w:abstractNum w:abstractNumId="155">
    <w:nsid w:val="46F8284B"/>
    <w:multiLevelType w:val="hybridMultilevel"/>
    <w:lvl w:ilvl="0">
      <w:lvlJc w:val="left"/>
      <w:lvlText w:val="%1"/>
      <w:numFmt w:val="lowerLetter"/>
      <w:start w:val="1"/>
    </w:lvl>
    <w:lvl w:ilvl="1">
      <w:lvlJc w:val="left"/>
      <w:lvlText w:val="(%2)"/>
      <w:numFmt w:val="lowerLetter"/>
      <w:start w:val="2"/>
    </w:lvl>
  </w:abstractNum>
  <w:abstractNum w:abstractNumId="156">
    <w:nsid w:val="4FA327CE"/>
    <w:multiLevelType w:val="hybridMultilevel"/>
    <w:lvl w:ilvl="0">
      <w:lvlJc w:val="left"/>
      <w:lvlText w:val="(%1)"/>
      <w:numFmt w:val="lowerLetter"/>
      <w:start w:val="9"/>
    </w:lvl>
    <w:lvl w:ilvl="1">
      <w:lvlJc w:val="left"/>
      <w:lvlText w:val="(%2)"/>
      <w:numFmt w:val="lowerLetter"/>
      <w:start w:val="3"/>
    </w:lvl>
  </w:abstractNum>
  <w:abstractNum w:abstractNumId="157">
    <w:nsid w:val="1873983A"/>
    <w:multiLevelType w:val="hybridMultilevel"/>
    <w:lvl w:ilvl="0">
      <w:lvlJc w:val="left"/>
      <w:lvlText w:val="%1"/>
      <w:numFmt w:val="lowerLetter"/>
      <w:start w:val="1"/>
    </w:lvl>
    <w:lvl w:ilvl="1">
      <w:lvlJc w:val="left"/>
      <w:lvlText w:val="(%2)"/>
      <w:numFmt w:val="lowerLetter"/>
      <w:start w:val="5"/>
    </w:lvl>
  </w:abstractNum>
  <w:abstractNum w:abstractNumId="158">
    <w:nsid w:val="3D2DD275"/>
    <w:multiLevelType w:val="hybridMultilevel"/>
    <w:lvl w:ilvl="0">
      <w:lvlJc w:val="left"/>
      <w:lvlText w:val="(%1)"/>
      <w:numFmt w:val="lowerLetter"/>
      <w:start w:val="35"/>
    </w:lvl>
    <w:lvl w:ilvl="1">
      <w:lvlJc w:val="left"/>
      <w:lvlText w:val="(%2)"/>
      <w:numFmt w:val="lowerLetter"/>
      <w:start w:val="6"/>
    </w:lvl>
  </w:abstractNum>
  <w:abstractNum w:abstractNumId="159">
    <w:nsid w:val="2E17ECA7"/>
    <w:multiLevelType w:val="hybridMultilevel"/>
    <w:lvl w:ilvl="0">
      <w:lvlJc w:val="left"/>
      <w:lvlText w:val="(%1)"/>
      <w:numFmt w:val="lowerLetter"/>
      <w:start w:val="10"/>
    </w:lvl>
  </w:abstractNum>
  <w:abstractNum w:abstractNumId="160">
    <w:nsid w:val="53B2564F"/>
    <w:multiLevelType w:val="hybridMultilevel"/>
    <w:lvl w:ilvl="0">
      <w:lvlJc w:val="left"/>
      <w:lvlText w:val="%1"/>
      <w:numFmt w:val="lowerRoman"/>
      <w:start w:val="1"/>
    </w:lvl>
    <w:lvl w:ilvl="1">
      <w:lvlJc w:val="left"/>
      <w:lvlText w:val="(%2)"/>
      <w:numFmt w:val="lowerLetter"/>
      <w:start w:val="16"/>
    </w:lvl>
  </w:abstractNum>
  <w:abstractNum w:abstractNumId="161">
    <w:nsid w:val="75509D76"/>
    <w:multiLevelType w:val="hybridMultilevel"/>
    <w:lvl w:ilvl="0">
      <w:lvlJc w:val="left"/>
      <w:lvlText w:val="(%1)"/>
      <w:numFmt w:val="lowerRoman"/>
      <w:start w:val="3"/>
    </w:lvl>
    <w:lvl w:ilvl="1">
      <w:lvlJc w:val="left"/>
      <w:lvlText w:val="%2"/>
      <w:numFmt w:val="lowerLetter"/>
      <w:start w:val="1"/>
    </w:lvl>
  </w:abstractNum>
  <w:abstractNum w:abstractNumId="162">
    <w:nsid w:val="1AF7F0EA"/>
    <w:multiLevelType w:val="hybridMultilevel"/>
    <w:lvl w:ilvl="0">
      <w:lvlJc w:val="left"/>
      <w:lvlText w:val="(%1)"/>
      <w:numFmt w:val="lowerLetter"/>
      <w:start w:val="20"/>
    </w:lvl>
  </w:abstractNum>
  <w:abstractNum w:abstractNumId="163">
    <w:nsid w:val="4DA32C7E"/>
    <w:multiLevelType w:val="hybridMultilevel"/>
    <w:lvl w:ilvl="0">
      <w:lvlJc w:val="left"/>
      <w:lvlText w:val="(%1)"/>
      <w:numFmt w:val="lowerLetter"/>
      <w:start w:val="25"/>
    </w:lvl>
  </w:abstractNum>
  <w:abstractNum w:abstractNumId="164">
    <w:nsid w:val="6EC68664"/>
    <w:multiLevelType w:val="hybridMultilevel"/>
    <w:lvl w:ilvl="0">
      <w:lvlJc w:val="left"/>
      <w:lvlText w:val="(%1)"/>
      <w:numFmt w:val="lowerLetter"/>
      <w:start w:val="27"/>
    </w:lvl>
  </w:abstractNum>
  <w:abstractNum w:abstractNumId="165">
    <w:nsid w:val="E0D31FF"/>
    <w:multiLevelType w:val="hybridMultilevel"/>
    <w:lvl w:ilvl="0">
      <w:lvlJc w:val="left"/>
      <w:lvlText w:val="(%1)"/>
      <w:numFmt w:val="lowerLetter"/>
      <w:start w:val="32"/>
    </w:lvl>
    <w:lvl w:ilvl="1">
      <w:lvlJc w:val="left"/>
      <w:lvlText w:val="(%2)"/>
      <w:numFmt w:val="lowerRoman"/>
      <w:start w:val="1"/>
    </w:lvl>
  </w:abstractNum>
  <w:abstractNum w:abstractNumId="166">
    <w:nsid w:val="2FD0AD81"/>
    <w:multiLevelType w:val="hybridMultilevel"/>
    <w:lvl w:ilvl="0">
      <w:lvlJc w:val="left"/>
      <w:lvlText w:val="(%1)"/>
      <w:numFmt w:val="lowerLetter"/>
      <w:start w:val="36"/>
    </w:lvl>
  </w:abstractNum>
  <w:abstractNum w:abstractNumId="167">
    <w:nsid w:val="1978EBEB"/>
    <w:multiLevelType w:val="hybridMultilevel"/>
    <w:lvl w:ilvl="0">
      <w:lvlJc w:val="left"/>
      <w:lvlText w:val="%1"/>
      <w:numFmt w:val="decimal"/>
      <w:start w:val="1"/>
    </w:lvl>
    <w:lvl w:ilvl="1">
      <w:lvlJc w:val="left"/>
      <w:lvlText w:val="(%2)"/>
      <w:numFmt w:val="lowerLetter"/>
      <w:start w:val="40"/>
    </w:lvl>
  </w:abstractNum>
  <w:abstractNum w:abstractNumId="168">
    <w:nsid w:val="52C12C61"/>
    <w:multiLevelType w:val="hybridMultilevel"/>
    <w:lvl w:ilvl="0">
      <w:lvlJc w:val="left"/>
      <w:lvlText w:val="%1."/>
      <w:numFmt w:val="decimal"/>
      <w:start w:val="3"/>
    </w:lvl>
    <w:lvl w:ilvl="1">
      <w:lvlJc w:val="left"/>
      <w:lvlText w:val="%2"/>
      <w:numFmt w:val="lowerLetter"/>
      <w:start w:val="1"/>
    </w:lvl>
  </w:abstractNum>
  <w:abstractNum w:abstractNumId="169">
    <w:nsid w:val="4BDD53F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0">
    <w:nsid w:val="569951FE"/>
    <w:multiLevelType w:val="hybridMultilevel"/>
    <w:lvl w:ilvl="0">
      <w:lvlJc w:val="left"/>
      <w:lvlText w:val="(%1)"/>
      <w:numFmt w:val="lowerRoman"/>
      <w:start w:val="2"/>
    </w:lvl>
  </w:abstractNum>
  <w:abstractNum w:abstractNumId="171">
    <w:nsid w:val="4C54E2C3"/>
    <w:multiLevelType w:val="hybridMultilevel"/>
    <w:lvl w:ilvl="0">
      <w:lvlJc w:val="left"/>
      <w:lvlText w:val="(%1)"/>
      <w:numFmt w:val="lowerLetter"/>
      <w:start w:val="4"/>
    </w:lvl>
    <w:lvl w:ilvl="1">
      <w:lvlJc w:val="left"/>
      <w:lvlText w:val="(%2)"/>
      <w:numFmt w:val="lowerRoman"/>
      <w:start w:val="1"/>
    </w:lvl>
  </w:abstractNum>
  <w:abstractNum w:abstractNumId="172">
    <w:nsid w:val="788BD9B"/>
    <w:multiLevelType w:val="hybridMultilevel"/>
    <w:lvl w:ilvl="0">
      <w:lvlJc w:val="left"/>
      <w:lvlText w:val="%1."/>
      <w:numFmt w:val="decimal"/>
      <w:start w:val="5"/>
    </w:lvl>
    <w:lvl w:ilvl="1">
      <w:lvlJc w:val="left"/>
      <w:lvlText w:val="(%2)"/>
      <w:numFmt w:val="lowerLetter"/>
      <w:start w:val="1"/>
    </w:lvl>
  </w:abstractNum>
  <w:abstractNum w:abstractNumId="173">
    <w:nsid w:val="47CAA567"/>
    <w:multiLevelType w:val="hybridMultilevel"/>
    <w:lvl w:ilvl="0">
      <w:lvlJc w:val="left"/>
      <w:lvlText w:val="%1"/>
      <w:numFmt w:val="lowerLetter"/>
      <w:start w:val="1"/>
    </w:lvl>
    <w:lvl w:ilvl="1">
      <w:lvlJc w:val="left"/>
      <w:lvlText w:val="(%2)"/>
      <w:numFmt w:val="lowerRoman"/>
      <w:start w:val="1"/>
    </w:lvl>
  </w:abstractNum>
  <w:abstractNum w:abstractNumId="174">
    <w:nsid w:val="48249DBF"/>
    <w:multiLevelType w:val="hybridMultilevel"/>
    <w:lvl w:ilvl="0">
      <w:lvlJc w:val="left"/>
      <w:lvlText w:val="(%1)"/>
      <w:numFmt w:val="lowerLetter"/>
      <w:start w:val="2"/>
    </w:lvl>
    <w:lvl w:ilvl="1">
      <w:lvlJc w:val="left"/>
      <w:lvlText w:val="(%2)"/>
      <w:numFmt w:val="lowerRoman"/>
      <w:start w:val="1"/>
    </w:lvl>
  </w:abstractNum>
  <w:abstractNum w:abstractNumId="175">
    <w:nsid w:val="1F0E5D0D"/>
    <w:multiLevelType w:val="hybridMultilevel"/>
    <w:lvl w:ilvl="0">
      <w:lvlJc w:val="left"/>
      <w:lvlText w:val="(%1)"/>
      <w:numFmt w:val="lowerRoman"/>
      <w:start w:val="3"/>
    </w:lvl>
  </w:abstractNum>
  <w:abstractNum w:abstractNumId="176">
    <w:nsid w:val="26BAAE9"/>
    <w:multiLevelType w:val="hybridMultilevel"/>
    <w:lvl w:ilvl="0">
      <w:lvlJc w:val="left"/>
      <w:lvlText w:val="(%1)"/>
      <w:numFmt w:val="lowerLetter"/>
      <w:start w:val="3"/>
    </w:lvl>
    <w:lvl w:ilvl="1">
      <w:lvlJc w:val="left"/>
      <w:lvlText w:val="(%2)"/>
      <w:numFmt w:val="lowerRoman"/>
      <w:start w:val="1"/>
    </w:lvl>
  </w:abstractNum>
  <w:abstractNum w:abstractNumId="177">
    <w:nsid w:val="2C02FE8C"/>
    <w:multiLevelType w:val="hybridMultilevel"/>
    <w:lvl w:ilvl="0">
      <w:lvlJc w:val="left"/>
      <w:lvlText w:val="%1."/>
      <w:numFmt w:val="decimal"/>
      <w:start w:val="6"/>
    </w:lvl>
    <w:lvl w:ilvl="1">
      <w:lvlJc w:val="left"/>
      <w:lvlText w:val="(%2)"/>
      <w:numFmt w:val="lowerLetter"/>
      <w:start w:val="1"/>
    </w:lvl>
  </w:abstractNum>
  <w:abstractNum w:abstractNumId="178">
    <w:nsid w:val="129517E"/>
    <w:multiLevelType w:val="hybridMultilevel"/>
    <w:lvl w:ilvl="0">
      <w:lvlJc w:val="left"/>
      <w:lvlText w:val="(%1)"/>
      <w:numFmt w:val="lowerLetter"/>
      <w:start w:val="2"/>
    </w:lvl>
  </w:abstractNum>
  <w:abstractNum w:abstractNumId="179">
    <w:nsid w:val="763B8C4E"/>
    <w:multiLevelType w:val="hybridMultilevel"/>
    <w:lvl w:ilvl="0">
      <w:lvlJc w:val="left"/>
      <w:lvlText w:val="(%1)"/>
      <w:numFmt w:val="lowerLetter"/>
      <w:start w:val="5"/>
    </w:lvl>
  </w:abstractNum>
  <w:abstractNum w:abstractNumId="180">
    <w:nsid w:val="4CFB8D32"/>
    <w:multiLevelType w:val="hybridMultilevel"/>
    <w:lvl w:ilvl="0">
      <w:lvlJc w:val="left"/>
      <w:lvlText w:val="(%1)"/>
      <w:numFmt w:val="lowerLetter"/>
      <w:start w:val="9"/>
    </w:lvl>
  </w:abstractNum>
  <w:abstractNum w:abstractNumId="181">
    <w:nsid w:val="62A5D5BD"/>
    <w:multiLevelType w:val="hybridMultilevel"/>
    <w:lvl w:ilvl="0">
      <w:lvlJc w:val="left"/>
      <w:lvlText w:val="(%1)"/>
      <w:numFmt w:val="lowerRoman"/>
      <w:start w:val="6"/>
    </w:lvl>
  </w:abstractNum>
  <w:abstractNum w:abstractNumId="182">
    <w:nsid w:val="718FABF9"/>
    <w:multiLevelType w:val="hybridMultilevel"/>
    <w:lvl w:ilvl="0">
      <w:lvlJc w:val="left"/>
      <w:lvlText w:val="%1"/>
      <w:numFmt w:val="decimal"/>
      <w:start w:val="1"/>
    </w:lvl>
    <w:lvl w:ilvl="1">
      <w:lvlJc w:val="left"/>
      <w:lvlText w:val="(%2)"/>
      <w:numFmt w:val="lowerLetter"/>
      <w:start w:val="12"/>
    </w:lvl>
  </w:abstractNum>
  <w:abstractNum w:abstractNumId="183">
    <w:nsid w:val="7775797C"/>
    <w:multiLevelType w:val="hybridMultilevel"/>
    <w:lvl w:ilvl="0">
      <w:lvlJc w:val="left"/>
      <w:lvlText w:val="%1."/>
      <w:numFmt w:val="decimal"/>
      <w:start w:val="8"/>
    </w:lvl>
    <w:lvl w:ilvl="1">
      <w:lvlJc w:val="left"/>
      <w:lvlText w:val="%2"/>
      <w:numFmt w:val="lowerLetter"/>
      <w:start w:val="1"/>
    </w:lvl>
  </w:abstractNum>
  <w:abstractNum w:abstractNumId="184">
    <w:nsid w:val="1626FB8C"/>
    <w:multiLevelType w:val="hybridMultilevel"/>
    <w:lvl w:ilvl="0">
      <w:lvlJc w:val="left"/>
      <w:lvlText w:val="(%1)"/>
      <w:numFmt w:val="lowerLetter"/>
      <w:start w:val="1"/>
    </w:lvl>
  </w:abstractNum>
  <w:abstractNum w:abstractNumId="185">
    <w:nsid w:val="3957756A"/>
    <w:multiLevelType w:val="hybridMultilevel"/>
    <w:lvl w:ilvl="0">
      <w:lvlJc w:val="left"/>
      <w:lvlText w:val="(%1)"/>
      <w:numFmt w:val="lowerLetter"/>
      <w:start w:val="7"/>
    </w:lvl>
  </w:abstractNum>
  <w:abstractNum w:abstractNumId="186">
    <w:nsid w:val="3E6DA1C7"/>
    <w:multiLevelType w:val="hybridMultilevel"/>
    <w:lvl w:ilvl="0">
      <w:lvlJc w:val="left"/>
      <w:lvlText w:val="%1."/>
      <w:numFmt w:val="decimal"/>
      <w:start w:val="10"/>
    </w:lvl>
    <w:lvl w:ilvl="1">
      <w:lvlJc w:val="left"/>
      <w:lvlText w:val="(%2)"/>
      <w:numFmt w:val="lowerLetter"/>
      <w:start w:val="1"/>
    </w:lvl>
  </w:abstractNum>
  <w:abstractNum w:abstractNumId="187">
    <w:nsid w:val="65CA235B"/>
    <w:multiLevelType w:val="hybridMultilevel"/>
    <w:lvl w:ilvl="0">
      <w:lvlJc w:val="left"/>
      <w:lvlText w:val="(%1)"/>
      <w:numFmt w:val="lowerLetter"/>
      <w:start w:val="2"/>
    </w:lvl>
  </w:abstractNum>
  <w:abstractNum w:abstractNumId="188">
    <w:nsid w:val="51CB0DA4"/>
    <w:multiLevelType w:val="hybridMultilevel"/>
    <w:lvl w:ilvl="0">
      <w:lvlJc w:val="left"/>
      <w:lvlText w:val="(%1)"/>
      <w:numFmt w:val="lowerLetter"/>
      <w:start w:val="9"/>
    </w:lvl>
    <w:lvl w:ilvl="1">
      <w:lvlJc w:val="left"/>
      <w:lvlText w:val="(%2)"/>
      <w:numFmt w:val="lowerLetter"/>
      <w:start w:val="4"/>
    </w:lvl>
  </w:abstractNum>
  <w:abstractNum w:abstractNumId="189">
    <w:nsid w:val="7B9B743C"/>
    <w:multiLevelType w:val="hybridMultilevel"/>
    <w:lvl w:ilvl="0">
      <w:lvlJc w:val="left"/>
      <w:lvlText w:val="%1."/>
      <w:numFmt w:val="decimal"/>
      <w:start w:val="11"/>
    </w:lvl>
  </w:abstractNum>
  <w:abstractNum w:abstractNumId="190">
    <w:nsid w:val="13E21002"/>
    <w:multiLevelType w:val="hybridMultilevel"/>
    <w:lvl w:ilvl="0">
      <w:lvlJc w:val="left"/>
      <w:lvlText w:val="%1."/>
      <w:numFmt w:val="decimal"/>
      <w:start w:val="12"/>
    </w:lvl>
  </w:abstractNum>
  <w:abstractNum w:abstractNumId="191">
    <w:nsid w:val="257D63F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92">
    <w:nsid w:val="70EC11B2"/>
    <w:multiLevelType w:val="hybridMultilevel"/>
    <w:lvl w:ilvl="0">
      <w:lvlJc w:val="left"/>
      <w:lvlText w:val="%1"/>
      <w:numFmt w:val="lowerLetter"/>
      <w:start w:val="1"/>
    </w:lvl>
    <w:lvl w:ilvl="1">
      <w:lvlJc w:val="left"/>
      <w:lvlText w:val="(%2)"/>
      <w:numFmt w:val="lowerLetter"/>
      <w:start w:val="35"/>
    </w:lvl>
  </w:abstractNum>
  <w:abstractNum w:abstractNumId="193">
    <w:nsid w:val="2EDA00ED"/>
    <w:multiLevelType w:val="hybridMultilevel"/>
    <w:lvl w:ilvl="0">
      <w:lvlJc w:val="left"/>
      <w:lvlText w:val="(%1)"/>
      <w:numFmt w:val="lowerLetter"/>
      <w:start w:val="4"/>
    </w:lvl>
    <w:lvl w:ilvl="1">
      <w:lvlJc w:val="left"/>
      <w:lvlText w:val="(%2)"/>
      <w:numFmt w:val="lowerLetter"/>
      <w:start w:val="9"/>
    </w:lvl>
  </w:abstractNum>
  <w:abstractNum w:abstractNumId="194">
    <w:nsid w:val="73209072"/>
    <w:multiLevelType w:val="hybridMultilevel"/>
    <w:lvl w:ilvl="0">
      <w:lvlJc w:val="left"/>
      <w:lvlText w:val="%1"/>
      <w:numFmt w:val="lowerLetter"/>
      <w:start w:val="1"/>
    </w:lvl>
    <w:lvl w:ilvl="1">
      <w:lvlJc w:val="left"/>
      <w:lvlText w:val="(%2)"/>
      <w:numFmt w:val="lowerRoman"/>
      <w:start w:val="2"/>
    </w:lvl>
  </w:abstractNum>
  <w:abstractNum w:abstractNumId="195">
    <w:nsid w:val="5FB29816"/>
    <w:multiLevelType w:val="hybridMultilevel"/>
    <w:lvl w:ilvl="0">
      <w:lvlJc w:val="left"/>
      <w:lvlText w:val="(%1)"/>
      <w:numFmt w:val="lowerLetter"/>
      <w:start w:val="5"/>
    </w:lvl>
    <w:lvl w:ilvl="1">
      <w:lvlJc w:val="left"/>
      <w:lvlText w:val="(%2)"/>
      <w:numFmt w:val="lowerRoman"/>
      <w:start w:val="1"/>
    </w:lvl>
  </w:abstractNum>
  <w:abstractNum w:abstractNumId="196">
    <w:nsid w:val="3CE732EC"/>
    <w:multiLevelType w:val="hybridMultilevel"/>
    <w:lvl w:ilvl="0">
      <w:lvlJc w:val="left"/>
      <w:lvlText w:val="%1"/>
      <w:numFmt w:val="lowerLetter"/>
      <w:start w:val="1"/>
    </w:lvl>
    <w:lvl w:ilvl="1">
      <w:lvlJc w:val="left"/>
      <w:lvlText w:val="(%2)"/>
      <w:numFmt w:val="lowerLetter"/>
      <w:start w:val="61"/>
    </w:lvl>
  </w:abstractNum>
  <w:abstractNum w:abstractNumId="197">
    <w:nsid w:val="22F13DF3"/>
    <w:multiLevelType w:val="hybridMultilevel"/>
    <w:lvl w:ilvl="0">
      <w:lvlJc w:val="left"/>
      <w:lvlText w:val="(%1)"/>
      <w:numFmt w:val="lowerLetter"/>
      <w:start w:val="6"/>
    </w:lvl>
    <w:lvl w:ilvl="1">
      <w:lvlJc w:val="left"/>
      <w:lvlText w:val="(%2)"/>
      <w:numFmt w:val="lowerLetter"/>
      <w:start w:val="9"/>
    </w:lvl>
  </w:abstractNum>
  <w:abstractNum w:abstractNumId="198">
    <w:nsid w:val="792B84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9">
    <w:nsid w:val="FA85F4D"/>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00">
    <w:nsid w:val="6ECE91F0"/>
    <w:multiLevelType w:val="hybridMultilevel"/>
    <w:lvl w:ilvl="0">
      <w:lvlJc w:val="left"/>
      <w:lvlText w:val="%1"/>
      <w:numFmt w:val="decimal"/>
      <w:start w:val="1"/>
    </w:lvl>
    <w:lvl w:ilvl="1">
      <w:lvlJc w:val="left"/>
      <w:lvlText w:val="(%2)"/>
      <w:numFmt w:val="lowerLetter"/>
      <w:start w:val="3"/>
    </w:lvl>
  </w:abstractNum>
  <w:abstractNum w:abstractNumId="201">
    <w:nsid w:val="4FC4D600"/>
    <w:multiLevelType w:val="hybridMultilevel"/>
    <w:lvl w:ilvl="0">
      <w:lvlJc w:val="left"/>
      <w:lvlText w:val="%1."/>
      <w:numFmt w:val="decimal"/>
      <w:start w:val="20"/>
    </w:lvl>
    <w:lvl w:ilvl="1">
      <w:lvlJc w:val="left"/>
      <w:lvlText w:val="%2"/>
      <w:numFmt w:val="lowerLetter"/>
      <w:start w:val="1"/>
    </w:lvl>
  </w:abstractNum>
  <w:abstractNum w:abstractNumId="202">
    <w:nsid w:val="5BFD4210"/>
    <w:multiLevelType w:val="hybridMultilevel"/>
    <w:lvl w:ilvl="0">
      <w:lvlJc w:val="left"/>
      <w:lvlText w:val="%1."/>
      <w:numFmt w:val="decimal"/>
      <w:start w:val="21"/>
    </w:lvl>
  </w:abstractNum>
  <w:abstractNum w:abstractNumId="203">
    <w:nsid w:val="76574F8B"/>
    <w:multiLevelType w:val="hybridMultilevel"/>
    <w:lvl w:ilvl="0">
      <w:lvlJc w:val="left"/>
      <w:lvlText w:val="%1."/>
      <w:numFmt w:val="decimal"/>
      <w:start w:val="1"/>
    </w:lvl>
    <w:lvl w:ilvl="1">
      <w:lvlJc w:val="left"/>
      <w:lvlText w:val="%2."/>
      <w:numFmt w:val="decimal"/>
      <w:start w:val="1"/>
    </w:lvl>
  </w:abstractNum>
  <w:abstractNum w:abstractNumId="204">
    <w:nsid w:val="178F7B67"/>
    <w:multiLevelType w:val="hybridMultilevel"/>
    <w:lvl w:ilvl="0">
      <w:lvlJc w:val="left"/>
      <w:lvlText w:val="%1"/>
      <w:numFmt w:val="decimal"/>
      <w:start w:val="1"/>
    </w:lvl>
    <w:lvl w:ilvl="1">
      <w:lvlJc w:val="left"/>
      <w:lvlText w:val="%2."/>
      <w:numFmt w:val="decimal"/>
      <w:start w:val="2"/>
    </w:lvl>
  </w:abstractNum>
  <w:abstractNum w:abstractNumId="205">
    <w:nsid w:val="2421DFCF"/>
    <w:multiLevelType w:val="hybridMultilevel"/>
    <w:lvl w:ilvl="0">
      <w:lvlJc w:val="left"/>
      <w:lvlText w:val="(%1)"/>
      <w:numFmt w:val="lowerLetter"/>
      <w:start w:val="1"/>
    </w:lvl>
  </w:abstractNum>
  <w:abstractNum w:abstractNumId="206">
    <w:nsid w:val="1565AC99"/>
    <w:multiLevelType w:val="hybridMultilevel"/>
    <w:lvl w:ilvl="0">
      <w:lvlJc w:val="left"/>
      <w:lvlText w:val="(%1)"/>
      <w:numFmt w:val="lowerLetter"/>
      <w:start w:val="2"/>
    </w:lvl>
    <w:lvl w:ilvl="1">
      <w:lvlJc w:val="left"/>
      <w:lvlText w:val="(%2)"/>
      <w:numFmt w:val="lowerRoman"/>
      <w:start w:val="1"/>
    </w:lvl>
  </w:abstractNum>
  <w:abstractNum w:abstractNumId="207">
    <w:nsid w:val="19FB2650"/>
    <w:multiLevelType w:val="hybridMultilevel"/>
    <w:lvl w:ilvl="0">
      <w:lvlJc w:val="left"/>
      <w:lvlText w:val="(%1)"/>
      <w:numFmt w:val="lowerLetter"/>
      <w:start w:val="4"/>
    </w:lvl>
  </w:abstractNum>
  <w:abstractNum w:abstractNumId="208">
    <w:nsid w:val="5024DE5B"/>
    <w:multiLevelType w:val="hybridMultilevel"/>
    <w:lvl w:ilvl="0">
      <w:lvlJc w:val="left"/>
      <w:lvlText w:val="%1."/>
      <w:numFmt w:val="upperLetter"/>
      <w:start w:val="9"/>
    </w:lvl>
  </w:abstractNum>
  <w:abstractNum w:abstractNumId="209">
    <w:nsid w:val="168EFE17"/>
    <w:multiLevelType w:val="hybridMultilevel"/>
    <w:lvl w:ilvl="0">
      <w:lvlJc w:val="left"/>
      <w:lvlText w:val="%1)"/>
      <w:numFmt w:val="lowerLetter"/>
      <w:start w:val="1"/>
    </w:lvl>
  </w:abstractNum>
  <w:abstractNum w:abstractNumId="210">
    <w:nsid w:val="1036B29F"/>
    <w:multiLevelType w:val="hybridMultilevel"/>
    <w:lvl w:ilvl="0">
      <w:lvlJc w:val="left"/>
      <w:lvlText w:val="%1)"/>
      <w:numFmt w:val="lowerLetter"/>
      <w:start w:val="1"/>
    </w:lvl>
  </w:abstractNum>
  <w:abstractNum w:abstractNumId="211">
    <w:nsid w:val="1D206B8E"/>
    <w:multiLevelType w:val="hybridMultilevel"/>
    <w:lvl w:ilvl="0">
      <w:lvlJc w:val="left"/>
      <w:lvlText w:val="%1)"/>
      <w:numFmt w:val="lowerLetter"/>
      <w:start w:val="4"/>
    </w:lvl>
  </w:abstractNum>
  <w:abstractNum w:abstractNumId="212">
    <w:nsid w:val="7934D3D4"/>
    <w:multiLevelType w:val="hybridMultilevel"/>
    <w:lvl w:ilvl="0">
      <w:lvlJc w:val="left"/>
      <w:lvlText w:val="%1."/>
      <w:numFmt w:val="upperLetter"/>
      <w:start w:val="61"/>
    </w:lvl>
  </w:abstractNum>
  <w:abstractNum w:abstractNumId="213">
    <w:nsid w:val="1C65E98"/>
    <w:multiLevelType w:val="hybridMultilevel"/>
    <w:lvl w:ilvl="0">
      <w:lvlJc w:val="left"/>
      <w:lvlText w:val="%1)"/>
      <w:numFmt w:val="lowerLetter"/>
      <w:start w:val="1"/>
    </w:lvl>
  </w:abstractNum>
  <w:abstractNum w:abstractNumId="214">
    <w:nsid w:val="1495E50A"/>
    <w:multiLevelType w:val="hybridMultilevel"/>
    <w:lvl w:ilvl="0">
      <w:lvlJc w:val="left"/>
      <w:lvlText w:val="%1)"/>
      <w:numFmt w:val="lowerLetter"/>
      <w:start w:val="2"/>
    </w:lvl>
  </w:abstractNum>
  <w:abstractNum w:abstractNumId="215">
    <w:nsid w:val="F5BCF61"/>
    <w:multiLevelType w:val="hybridMultilevel"/>
    <w:lvl w:ilvl="0">
      <w:lvlJc w:val="left"/>
      <w:lvlText w:val="(%1)"/>
      <w:numFmt w:val="lowerLetter"/>
      <w:start w:val="61"/>
    </w:lvl>
  </w:abstractNum>
  <w:abstractNum w:abstractNumId="216">
    <w:nsid w:val="3B1DD403"/>
    <w:multiLevelType w:val="hybridMultilevel"/>
    <w:lvl w:ilvl="0">
      <w:lvlJc w:val="left"/>
      <w:lvlText w:val="(%1)"/>
      <w:numFmt w:val="lowerLetter"/>
      <w:start w:val="3"/>
    </w:lvl>
  </w:abstractNum>
  <w:abstractNum w:abstractNumId="217">
    <w:nsid w:val="530386D1"/>
    <w:multiLevelType w:val="hybridMultilevel"/>
    <w:lvl w:ilvl="0">
      <w:lvlJc w:val="left"/>
      <w:lvlText w:val="(%1)"/>
      <w:numFmt w:val="lowerRoman"/>
      <w:start w:val="2"/>
    </w:lvl>
  </w:abstractNum>
  <w:abstractNum w:abstractNumId="218">
    <w:nsid w:val="7525F2BC"/>
    <w:multiLevelType w:val="hybridMultilevel"/>
    <w:lvl w:ilvl="0">
      <w:lvlJc w:val="left"/>
      <w:lvlText w:val="(%1)"/>
      <w:numFmt w:val="decimal"/>
      <w:start w:val="3"/>
    </w:lvl>
  </w:abstractNum>
  <w:abstractNum w:abstractNumId="219">
    <w:nsid w:val="CE8E1A7"/>
    <w:multiLevelType w:val="hybridMultilevel"/>
    <w:lvl w:ilvl="0">
      <w:lvlJc w:val="left"/>
      <w:lvlText w:val="(%1)"/>
      <w:numFmt w:val="lowerRoman"/>
      <w:start w:val="1"/>
    </w:lvl>
  </w:abstractNum>
  <w:abstractNum w:abstractNumId="220">
    <w:nsid w:val="4E9EFB0D"/>
    <w:multiLevelType w:val="hybridMultilevel"/>
    <w:lvl w:ilvl="0">
      <w:lvlJc w:val="left"/>
      <w:lvlText w:val="(%1)"/>
      <w:numFmt w:val="lowerRoman"/>
      <w:start w:val="2"/>
    </w:lvl>
  </w:abstractNum>
  <w:abstractNum w:abstractNumId="221">
    <w:nsid w:val="90802BE"/>
    <w:multiLevelType w:val="hybridMultilevel"/>
    <w:lvl w:ilvl="0">
      <w:lvlJc w:val="left"/>
      <w:lvlText w:val="(%1)"/>
      <w:numFmt w:val="lowerLetter"/>
      <w:start w:val="2"/>
    </w:lvl>
  </w:abstractNum>
  <w:abstractNum w:abstractNumId="222">
    <w:nsid w:val="3266459B"/>
    <w:multiLevelType w:val="hybridMultilevel"/>
    <w:lvl w:ilvl="0">
      <w:lvlJc w:val="left"/>
      <w:lvlText w:val="(%1)"/>
      <w:numFmt w:val="lowerRoman"/>
      <w:start w:val="1"/>
    </w:lvl>
  </w:abstractNum>
  <w:abstractNum w:abstractNumId="223">
    <w:nsid w:val="3F8B0CBF"/>
    <w:multiLevelType w:val="hybridMultilevel"/>
    <w:lvl w:ilvl="0">
      <w:lvlJc w:val="left"/>
      <w:lvlText w:val="(%1)"/>
      <w:numFmt w:val="lowerRoman"/>
      <w:start w:val="2"/>
    </w:lvl>
  </w:abstractNum>
  <w:abstractNum w:abstractNumId="224">
    <w:nsid w:val="37E203AB"/>
    <w:multiLevelType w:val="hybridMultilevel"/>
    <w:lvl w:ilvl="0">
      <w:lvlJc w:val="left"/>
      <w:lvlText w:val="(%1)"/>
      <w:numFmt w:val="lowerRoman"/>
      <w:start w:val="7"/>
    </w:lvl>
  </w:abstractNum>
  <w:abstractNum w:abstractNumId="225">
    <w:nsid w:val="2586D60E"/>
    <w:multiLevelType w:val="hybridMultilevel"/>
    <w:lvl w:ilvl="0">
      <w:lvlJc w:val="left"/>
      <w:lvlText w:val="(%1)"/>
      <w:numFmt w:val="lowerRoman"/>
      <w:start w:val="1"/>
    </w:lvl>
  </w:abstractNum>
  <w:abstractNum w:abstractNumId="226">
    <w:nsid w:val="1F3DA4D5"/>
    <w:multiLevelType w:val="hybridMultilevel"/>
    <w:lvl w:ilvl="0">
      <w:lvlJc w:val="left"/>
      <w:lvlText w:val="(%1)"/>
      <w:numFmt w:val="lowerRoman"/>
      <w:start w:val="3"/>
    </w:lvl>
  </w:abstractNum>
  <w:abstractNum w:abstractNumId="227">
    <w:nsid w:val="74C93698"/>
    <w:multiLevelType w:val="hybridMultilevel"/>
    <w:lvl w:ilvl="0">
      <w:lvlJc w:val="left"/>
      <w:lvlText w:val="(%1)"/>
      <w:numFmt w:val="lowerRoman"/>
      <w:start w:val="1"/>
    </w:lvl>
  </w:abstractNum>
  <w:abstractNum w:abstractNumId="228">
    <w:nsid w:val="48781401"/>
    <w:multiLevelType w:val="hybridMultilevel"/>
    <w:lvl w:ilvl="0">
      <w:lvlJc w:val="left"/>
      <w:lvlText w:val="(%1)"/>
      <w:numFmt w:val="lowerRoman"/>
      <w:start w:val="3"/>
    </w:lvl>
  </w:abstractNum>
  <w:abstractNum w:abstractNumId="229">
    <w:nsid w:val="186928D6"/>
    <w:multiLevelType w:val="hybridMultilevel"/>
    <w:lvl w:ilvl="0">
      <w:lvlJc w:val="left"/>
      <w:lvlText w:val="(%1)"/>
      <w:numFmt w:val="lowerLetter"/>
      <w:start w:val="1"/>
    </w:lvl>
  </w:abstractNum>
  <w:abstractNum w:abstractNumId="230">
    <w:nsid w:val="47195E5"/>
    <w:multiLevelType w:val="hybridMultilevel"/>
    <w:lvl w:ilvl="0">
      <w:lvlJc w:val="left"/>
      <w:lvlText w:val="(%1)"/>
      <w:numFmt w:val="lowerLetter"/>
      <w:start w:val="4"/>
    </w:lvl>
  </w:abstractNum>
  <w:abstractNum w:abstractNumId="231">
    <w:nsid w:val="3746A5F2"/>
    <w:multiLevelType w:val="hybridMultilevel"/>
    <w:lvl w:ilvl="0">
      <w:lvlJc w:val="left"/>
      <w:lvlText w:val="(%1)"/>
      <w:numFmt w:val="lowerRoman"/>
      <w:start w:val="3"/>
    </w:lvl>
  </w:abstractNum>
  <w:abstractNum w:abstractNumId="232">
    <w:nsid w:val="682DFED6"/>
    <w:multiLevelType w:val="hybridMultilevel"/>
    <w:lvl w:ilvl="0">
      <w:lvlJc w:val="left"/>
      <w:lvlText w:val="(%1)"/>
      <w:numFmt w:val="lowerRoman"/>
      <w:start w:val="1"/>
    </w:lvl>
  </w:abstractNum>
  <w:abstractNum w:abstractNumId="233">
    <w:nsid w:val="606ED7F6"/>
    <w:multiLevelType w:val="hybridMultilevel"/>
    <w:lvl w:ilvl="0">
      <w:lvlJc w:val="left"/>
      <w:lvlText w:val="(%1)"/>
      <w:numFmt w:val="lowerLetter"/>
      <w:start w:val="1"/>
    </w:lvl>
    <w:lvl w:ilvl="1">
      <w:lvlJc w:val="left"/>
      <w:lvlText w:val="(%2)"/>
      <w:numFmt w:val="lowerRoman"/>
      <w:start w:val="1"/>
    </w:lvl>
  </w:abstractNum>
  <w:abstractNum w:abstractNumId="234">
    <w:nsid w:val="2D9DF57D"/>
    <w:multiLevelType w:val="hybridMultilevel"/>
    <w:lvl w:ilvl="0">
      <w:lvlJc w:val="left"/>
      <w:lvlText w:val="(%1)"/>
      <w:numFmt w:val="lowerLetter"/>
      <w:start w:val="1"/>
    </w:lvl>
  </w:abstractNum>
  <w:abstractNum w:abstractNumId="235">
    <w:nsid w:val="7FBD7A3E"/>
    <w:multiLevelType w:val="hybridMultilevel"/>
    <w:lvl w:ilvl="0">
      <w:lvlJc w:val="left"/>
      <w:lvlText w:val="(%1)"/>
      <w:numFmt w:val="lowerLetter"/>
      <w:start w:val="2"/>
    </w:lvl>
  </w:abstractNum>
  <w:abstractNum w:abstractNumId="236">
    <w:nsid w:val="490B7C5"/>
    <w:multiLevelType w:val="hybridMultilevel"/>
    <w:lvl w:ilvl="0">
      <w:lvlJc w:val="left"/>
      <w:lvlText w:val="(%1)"/>
      <w:numFmt w:val="lowerLetter"/>
      <w:start w:val="1"/>
    </w:lvl>
  </w:abstractNum>
  <w:abstractNum w:abstractNumId="237">
    <w:nsid w:val="4303A216"/>
    <w:multiLevelType w:val="hybridMultilevel"/>
    <w:lvl w:ilvl="0">
      <w:lvlJc w:val="left"/>
      <w:lvlText w:val="(%1)"/>
      <w:numFmt w:val="lowerLetter"/>
      <w:start w:val="1"/>
    </w:lvl>
  </w:abstractNum>
  <w:abstractNum w:abstractNumId="238">
    <w:nsid w:val="19B8A08E"/>
    <w:multiLevelType w:val="hybridMultilevel"/>
    <w:lvl w:ilvl="0">
      <w:lvlJc w:val="left"/>
      <w:lvlText w:val="(%1)"/>
      <w:numFmt w:val="lowerLetter"/>
      <w:start w:val="1"/>
    </w:lvl>
  </w:abstractNum>
  <w:abstractNum w:abstractNumId="239">
    <w:nsid w:val="54B59621"/>
    <w:multiLevelType w:val="hybridMultilevel"/>
    <w:lvl w:ilvl="0">
      <w:lvlJc w:val="left"/>
      <w:lvlText w:val="(%1)"/>
      <w:numFmt w:val="lowerLetter"/>
      <w:start w:val="1"/>
    </w:lvl>
  </w:abstractNum>
  <w:abstractNum w:abstractNumId="240">
    <w:nsid w:val="5992A02E"/>
    <w:multiLevelType w:val="hybridMultilevel"/>
    <w:lvl w:ilvl="0">
      <w:lvlJc w:val="left"/>
      <w:lvlText w:val="(%1)"/>
      <w:numFmt w:val="lowerRoman"/>
      <w:start w:val="1"/>
    </w:lvl>
  </w:abstractNum>
  <w:abstractNum w:abstractNumId="241">
    <w:nsid w:val="29EF532D"/>
    <w:multiLevelType w:val="hybridMultilevel"/>
    <w:lvl w:ilvl="0">
      <w:lvlJc w:val="left"/>
      <w:lvlText w:val="(%1)"/>
      <w:numFmt w:val="lowerRoman"/>
      <w:start w:val="2"/>
    </w:lvl>
  </w:abstractNum>
  <w:abstractNum w:abstractNumId="242">
    <w:nsid w:val="71D601AF"/>
    <w:multiLevelType w:val="hybridMultilevel"/>
    <w:lvl w:ilvl="0">
      <w:lvlJc w:val="left"/>
      <w:lvlText w:val="%1)"/>
      <w:numFmt w:val="lowerLetter"/>
      <w:start w:val="1"/>
    </w:lvl>
  </w:abstractNum>
  <w:abstractNum w:abstractNumId="243">
    <w:nsid w:val="52C77402"/>
    <w:multiLevelType w:val="hybridMultilevel"/>
    <w:lvl w:ilvl="0">
      <w:lvlJc w:val="left"/>
      <w:lvlText w:val="(%1)"/>
      <w:numFmt w:val="lowerLetter"/>
      <w:start w:val="2"/>
    </w:lvl>
  </w:abstractNum>
  <w:abstractNum w:abstractNumId="244">
    <w:nsid w:val="2BB5B1C6"/>
    <w:multiLevelType w:val="hybridMultilevel"/>
    <w:lvl w:ilvl="0">
      <w:lvlJc w:val="left"/>
      <w:lvlText w:val="(%1)"/>
      <w:numFmt w:val="lowerRoman"/>
      <w:start w:val="1"/>
    </w:lvl>
  </w:abstractNum>
  <w:abstractNum w:abstractNumId="245">
    <w:nsid w:val="66BE6B9"/>
    <w:multiLevelType w:val="hybridMultilevel"/>
    <w:lvl w:ilvl="0">
      <w:lvlJc w:val="left"/>
      <w:lvlText w:val="(%1)"/>
      <w:numFmt w:val="lowerRoman"/>
      <w:start w:val="4"/>
    </w:lvl>
  </w:abstractNum>
  <w:abstractNum w:abstractNumId="246">
    <w:nsid w:val="62234363"/>
    <w:multiLevelType w:val="hybridMultilevel"/>
    <w:lvl w:ilvl="0">
      <w:lvlJc w:val="left"/>
      <w:lvlText w:val="(%1)"/>
      <w:numFmt w:val="lowerLetter"/>
      <w:start w:val="1"/>
    </w:lvl>
  </w:abstractNum>
  <w:abstractNum w:abstractNumId="247">
    <w:nsid w:val="66D385C9"/>
    <w:multiLevelType w:val="hybridMultilevel"/>
    <w:lvl w:ilvl="0">
      <w:lvlJc w:val="left"/>
      <w:lvlText w:val="%1"/>
      <w:numFmt w:val="lowerRoman"/>
      <w:start w:val="1"/>
    </w:lvl>
    <w:lvl w:ilvl="1">
      <w:lvlJc w:val="left"/>
      <w:lvlText w:val="(%2)"/>
      <w:numFmt w:val="lowerLetter"/>
      <w:start w:val="2"/>
    </w:lvl>
  </w:abstractNum>
  <w:abstractNum w:abstractNumId="248">
    <w:nsid w:val="596F6D8A"/>
    <w:multiLevelType w:val="hybridMultilevel"/>
    <w:lvl w:ilvl="0">
      <w:lvlJc w:val="left"/>
      <w:lvlText w:val="(%1)"/>
      <w:numFmt w:val="lowerRoman"/>
      <w:start w:val="1"/>
    </w:lvl>
    <w:lvl w:ilvl="1">
      <w:lvlJc w:val="left"/>
      <w:lvlText w:val="(%2)"/>
      <w:numFmt w:val="lowerLetter"/>
      <w:start w:val="4"/>
    </w:lvl>
  </w:abstractNum>
  <w:abstractNum w:abstractNumId="249">
    <w:nsid w:val="5749361F"/>
    <w:multiLevelType w:val="hybridMultilevel"/>
    <w:lvl w:ilvl="0">
      <w:lvlJc w:val="left"/>
      <w:lvlText w:val="(%1)"/>
      <w:numFmt w:val="lowerRoman"/>
      <w:start w:val="1"/>
    </w:lvl>
  </w:abstractNum>
  <w:abstractNum w:abstractNumId="250">
    <w:nsid w:val="73BC6770"/>
    <w:multiLevelType w:val="hybridMultilevel"/>
    <w:lvl w:ilvl="0">
      <w:lvlJc w:val="left"/>
      <w:lvlText w:val="(%1)"/>
      <w:numFmt w:val="lowerRoman"/>
      <w:start w:val="3"/>
    </w:lvl>
  </w:abstractNum>
  <w:abstractNum w:abstractNumId="251">
    <w:nsid w:val="280E6897"/>
    <w:multiLevelType w:val="hybridMultilevel"/>
    <w:lvl w:ilvl="0">
      <w:lvlJc w:val="left"/>
      <w:lvlText w:val="(%1)"/>
      <w:numFmt w:val="lowerRoman"/>
      <w:start w:val="3"/>
    </w:lvl>
  </w:abstractNum>
  <w:abstractNum w:abstractNumId="252">
    <w:nsid w:val="605138DE"/>
    <w:multiLevelType w:val="hybridMultilevel"/>
    <w:lvl w:ilvl="0">
      <w:lvlJc w:val="left"/>
      <w:lvlText w:val="(%1)"/>
      <w:numFmt w:val="lowerLetter"/>
      <w:start w:val="1"/>
    </w:lvl>
  </w:abstractNum>
  <w:abstractNum w:abstractNumId="253">
    <w:nsid w:val="2622AD0C"/>
    <w:multiLevelType w:val="hybridMultilevel"/>
    <w:lvl w:ilvl="0">
      <w:lvlJc w:val="left"/>
      <w:lvlText w:val="(%1)"/>
      <w:numFmt w:val="lowerRoman"/>
      <w:start w:val="3"/>
    </w:lvl>
  </w:abstractNum>
  <w:abstractNum w:abstractNumId="254">
    <w:nsid w:val="67997556"/>
    <w:multiLevelType w:val="hybridMultilevel"/>
    <w:lvl w:ilvl="0">
      <w:lvlJc w:val="left"/>
      <w:lvlText w:val="(%1)"/>
      <w:numFmt w:val="lowerLetter"/>
      <w:start w:val="1"/>
    </w:lvl>
    <w:lvl w:ilvl="1">
      <w:lvlJc w:val="left"/>
      <w:lvlText w:val="(%2)"/>
      <w:numFmt w:val="lowerRoman"/>
      <w:start w:val="1"/>
    </w:lvl>
  </w:abstractNum>
  <w:abstractNum w:abstractNumId="255">
    <w:nsid w:val="18333C89"/>
    <w:multiLevelType w:val="hybridMultilevel"/>
    <w:lvl w:ilvl="0">
      <w:lvlJc w:val="left"/>
      <w:lvlText w:val="(%1)"/>
      <w:numFmt w:val="lowerLetter"/>
      <w:start w:val="1"/>
    </w:lvl>
  </w:abstractNum>
  <w:abstractNum w:abstractNumId="256">
    <w:nsid w:val="4BA9831A"/>
    <w:multiLevelType w:val="hybridMultilevel"/>
    <w:lvl w:ilvl="0">
      <w:lvlJc w:val="left"/>
      <w:lvlText w:val="(%1)"/>
      <w:numFmt w:val="lowerLetter"/>
      <w:start w:val="3"/>
    </w:lvl>
  </w:abstractNum>
  <w:abstractNum w:abstractNumId="257">
    <w:nsid w:val="6D71A2B"/>
    <w:multiLevelType w:val="hybridMultilevel"/>
    <w:lvl w:ilvl="0">
      <w:lvlJc w:val="left"/>
      <w:lvlText w:val="(%1)"/>
      <w:numFmt w:val="lowerLetter"/>
      <w:start w:val="2"/>
    </w:lvl>
  </w:abstractNum>
  <w:abstractNum w:abstractNumId="258">
    <w:nsid w:val="CFC7321"/>
    <w:multiLevelType w:val="hybridMultilevel"/>
    <w:lvl w:ilvl="0">
      <w:lvlJc w:val="left"/>
      <w:lvlText w:val="(%1)"/>
      <w:numFmt w:val="lowerLetter"/>
      <w:start w:val="1"/>
    </w:lvl>
  </w:abstractNum>
  <w:abstractNum w:abstractNumId="259">
    <w:nsid w:val="1421971B"/>
    <w:multiLevelType w:val="hybridMultilevel"/>
    <w:lvl w:ilvl="0">
      <w:lvlJc w:val="left"/>
      <w:lvlText w:val="(%1)"/>
      <w:numFmt w:val="lowerLetter"/>
      <w:start w:val="1"/>
    </w:lvl>
  </w:abstractNum>
  <w:abstractNum w:abstractNumId="260">
    <w:nsid w:val="1F404301"/>
    <w:multiLevelType w:val="hybridMultilevel"/>
    <w:lvl w:ilvl="0">
      <w:lvlJc w:val="left"/>
      <w:lvlText w:val="(%1)"/>
      <w:numFmt w:val="lowerLetter"/>
      <w:start w:val="1"/>
    </w:lvl>
  </w:abstractNum>
  <w:abstractNum w:abstractNumId="261">
    <w:nsid w:val="116E0907"/>
    <w:multiLevelType w:val="hybridMultilevel"/>
    <w:lvl w:ilvl="0">
      <w:lvlJc w:val="left"/>
      <w:lvlText w:val="(%1)"/>
      <w:numFmt w:val="lowerLetter"/>
      <w:start w:val="1"/>
    </w:lvl>
  </w:abstractNum>
  <w:abstractNum w:abstractNumId="262">
    <w:nsid w:val="4B683D0D"/>
    <w:multiLevelType w:val="hybridMultilevel"/>
    <w:lvl w:ilvl="0">
      <w:lvlJc w:val="left"/>
      <w:lvlText w:val="(%1)"/>
      <w:numFmt w:val="lowerLetter"/>
      <w:start w:val="2"/>
    </w:lvl>
  </w:abstractNum>
  <w:abstractNum w:abstractNumId="263">
    <w:nsid w:val="76E41D8"/>
    <w:multiLevelType w:val="hybridMultilevel"/>
    <w:lvl w:ilvl="0">
      <w:lvlJc w:val="left"/>
      <w:lvlText w:val="(%1)"/>
      <w:numFmt w:val="lowerLetter"/>
      <w:start w:val="1"/>
    </w:lvl>
  </w:abstractNum>
  <w:abstractNum w:abstractNumId="264">
    <w:nsid w:val="71DCE0FD"/>
    <w:multiLevelType w:val="hybridMultilevel"/>
    <w:lvl w:ilvl="0">
      <w:lvlJc w:val="left"/>
      <w:lvlText w:val="(%1)"/>
      <w:numFmt w:val="lowerLetter"/>
      <w:start w:val="3"/>
    </w:lvl>
    <w:lvl w:ilvl="1">
      <w:lvlJc w:val="left"/>
      <w:lvlText w:val="(%2)"/>
      <w:numFmt w:val="lowerRoman"/>
      <w:start w:val="1"/>
    </w:lvl>
  </w:abstractNum>
  <w:abstractNum w:abstractNumId="265">
    <w:nsid w:val="7906328B"/>
    <w:multiLevelType w:val="hybridMultilevel"/>
    <w:lvl w:ilvl="0">
      <w:lvlJc w:val="left"/>
      <w:lvlText w:val="(%1)"/>
      <w:numFmt w:val="lowerLetter"/>
      <w:start w:val="4"/>
    </w:lvl>
  </w:abstractNum>
  <w:abstractNum w:abstractNumId="266">
    <w:nsid w:val="72BBC16"/>
    <w:multiLevelType w:val="hybridMultilevel"/>
    <w:lvl w:ilvl="0">
      <w:lvlJc w:val="left"/>
      <w:lvlText w:val="(%1)"/>
      <w:numFmt w:val="lowerLetter"/>
      <w:start w:val="5"/>
    </w:lvl>
  </w:abstractNum>
  <w:abstractNum w:abstractNumId="267">
    <w:nsid w:val="766D98C2"/>
    <w:multiLevelType w:val="hybridMultilevel"/>
    <w:lvl w:ilvl="0">
      <w:lvlJc w:val="left"/>
      <w:lvlText w:val="(%1)"/>
      <w:numFmt w:val="lowerLetter"/>
      <w:start w:val="1"/>
    </w:lvl>
  </w:abstractNum>
  <w:abstractNum w:abstractNumId="268">
    <w:nsid w:val="3C09D4A1"/>
    <w:multiLevelType w:val="hybridMultilevel"/>
    <w:lvl w:ilvl="0">
      <w:lvlJc w:val="left"/>
      <w:lvlText w:val="(%1)"/>
      <w:numFmt w:val="lowerLetter"/>
      <w:start w:val="1"/>
    </w:lvl>
  </w:abstractNum>
  <w:abstractNum w:abstractNumId="269">
    <w:nsid w:val="20E45CA4"/>
    <w:multiLevelType w:val="hybridMultilevel"/>
    <w:lvl w:ilvl="0">
      <w:lvlJc w:val="left"/>
      <w:lvlText w:val="(%1)"/>
      <w:numFmt w:val="lowerLetter"/>
      <w:start w:val="2"/>
    </w:lvl>
  </w:abstractNum>
  <w:abstractNum w:abstractNumId="270">
    <w:nsid w:val="4B232EE3"/>
    <w:multiLevelType w:val="hybridMultilevel"/>
    <w:lvl w:ilvl="0">
      <w:lvlJc w:val="left"/>
      <w:lvlText w:val="(%1)"/>
      <w:numFmt w:val="lowerLetter"/>
      <w:start w:val="1"/>
    </w:lvl>
  </w:abstractNum>
  <w:abstractNum w:abstractNumId="271">
    <w:nsid w:val="159C74CF"/>
    <w:multiLevelType w:val="hybridMultilevel"/>
    <w:lvl w:ilvl="0">
      <w:lvlJc w:val="left"/>
      <w:lvlText w:val="(%1)"/>
      <w:numFmt w:val="lowerLetter"/>
      <w:start w:val="1"/>
    </w:lvl>
  </w:abstractNum>
  <w:abstractNum w:abstractNumId="272">
    <w:nsid w:val="4AD3AFD2"/>
    <w:multiLevelType w:val="hybridMultilevel"/>
    <w:lvl w:ilvl="0">
      <w:lvlJc w:val="left"/>
      <w:lvlText w:val="(%1)"/>
      <w:numFmt w:val="lowerLetter"/>
      <w:start w:val="2"/>
    </w:lvl>
  </w:abstractNum>
  <w:abstractNum w:abstractNumId="273">
    <w:nsid w:val="3CF93092"/>
    <w:multiLevelType w:val="hybridMultilevel"/>
    <w:lvl w:ilvl="0">
      <w:lvlJc w:val="left"/>
      <w:lvlText w:val="(%1)"/>
      <w:numFmt w:val="lowerLetter"/>
      <w:start w:val="1"/>
    </w:lvl>
  </w:abstractNum>
  <w:abstractNum w:abstractNumId="274">
    <w:nsid w:val="6863E8D2"/>
    <w:multiLevelType w:val="hybridMultilevel"/>
    <w:lvl w:ilvl="0">
      <w:lvlJc w:val="left"/>
      <w:lvlText w:val="(%1)"/>
      <w:numFmt w:val="lowerLetter"/>
      <w:start w:val="1"/>
    </w:lvl>
  </w:abstractNum>
  <w:abstractNum w:abstractNumId="275">
    <w:nsid w:val="76896198"/>
    <w:multiLevelType w:val="hybridMultilevel"/>
    <w:lvl w:ilvl="0">
      <w:lvlJc w:val="left"/>
      <w:lvlText w:val="(%1)"/>
      <w:numFmt w:val="lowerLetter"/>
      <w:start w:val="1"/>
    </w:lvl>
  </w:abstractNum>
  <w:abstractNum w:abstractNumId="276">
    <w:nsid w:val="4365174B"/>
    <w:multiLevelType w:val="hybridMultilevel"/>
    <w:lvl w:ilvl="0">
      <w:lvlJc w:val="left"/>
      <w:lvlText w:val="(%1)"/>
      <w:numFmt w:val="lowerLetter"/>
      <w:start w:val="1"/>
    </w:lvl>
    <w:lvl w:ilvl="1">
      <w:lvlJc w:val="left"/>
      <w:lvlText w:val="(%2)"/>
      <w:numFmt w:val="lowerRoman"/>
      <w:start w:val="1"/>
    </w:lvl>
  </w:abstractNum>
  <w:abstractNum w:abstractNumId="277">
    <w:nsid w:val="4A872C35"/>
    <w:multiLevelType w:val="hybridMultilevel"/>
    <w:lvl w:ilvl="0">
      <w:lvlJc w:val="left"/>
      <w:lvlText w:val="(%1)"/>
      <w:numFmt w:val="lowerLetter"/>
      <w:start w:val="1"/>
    </w:lvl>
  </w:abstractNum>
  <w:abstractNum w:abstractNumId="278">
    <w:nsid w:val="5D5CE761"/>
    <w:multiLevelType w:val="hybridMultilevel"/>
    <w:lvl w:ilvl="0">
      <w:lvlJc w:val="left"/>
      <w:lvlText w:val="(%1)"/>
      <w:numFmt w:val="lowerLetter"/>
      <w:start w:val="1"/>
    </w:lvl>
  </w:abstractNum>
  <w:abstractNum w:abstractNumId="279">
    <w:nsid w:val="1CD484D5"/>
    <w:multiLevelType w:val="hybridMultilevel"/>
    <w:lvl w:ilvl="0">
      <w:lvlJc w:val="left"/>
      <w:lvlText w:val="(%1)"/>
      <w:numFmt w:val="lowerLetter"/>
      <w:start w:val="1"/>
    </w:lvl>
  </w:abstractNum>
  <w:abstractNum w:abstractNumId="280">
    <w:nsid w:val="21D06255"/>
    <w:multiLevelType w:val="hybridMultilevel"/>
    <w:lvl w:ilvl="0">
      <w:lvlJc w:val="left"/>
      <w:lvlText w:val="(%1)"/>
      <w:numFmt w:val="lowerLetter"/>
      <w:start w:val="1"/>
    </w:lvl>
  </w:abstractNum>
  <w:abstractNum w:abstractNumId="281">
    <w:nsid w:val="51194ED1"/>
    <w:multiLevelType w:val="hybridMultilevel"/>
    <w:lvl w:ilvl="0">
      <w:lvlJc w:val="left"/>
      <w:lvlText w:val="(%1)"/>
      <w:numFmt w:val="lowerLetter"/>
      <w:start w:val="1"/>
    </w:lvl>
  </w:abstractNum>
  <w:abstractNum w:abstractNumId="282">
    <w:nsid w:val="44E2ED6C"/>
    <w:multiLevelType w:val="hybridMultilevel"/>
    <w:lvl w:ilvl="0">
      <w:lvlJc w:val="left"/>
      <w:lvlText w:val="(%1)"/>
      <w:numFmt w:val="lowerLetter"/>
      <w:start w:val="1"/>
    </w:lvl>
  </w:abstractNum>
  <w:abstractNum w:abstractNumId="283">
    <w:nsid w:val="2219B33"/>
    <w:multiLevelType w:val="hybridMultilevel"/>
    <w:lvl w:ilvl="0">
      <w:lvlJc w:val="left"/>
      <w:lvlText w:val="(%1)"/>
      <w:numFmt w:val="lowerLetter"/>
      <w:start w:val="1"/>
    </w:lvl>
  </w:abstractNum>
  <w:abstractNum w:abstractNumId="284">
    <w:nsid w:val="773BFBDD"/>
    <w:multiLevelType w:val="hybridMultilevel"/>
    <w:lvl w:ilvl="0">
      <w:lvlJc w:val="left"/>
      <w:lvlText w:val="(%1)"/>
      <w:numFmt w:val="lowerLetter"/>
      <w:start w:val="1"/>
    </w:lvl>
  </w:abstractNum>
  <w:abstractNum w:abstractNumId="285">
    <w:nsid w:val="2C7C62C2"/>
    <w:multiLevelType w:val="hybridMultilevel"/>
    <w:lvl w:ilvl="0">
      <w:lvlJc w:val="left"/>
      <w:lvlText w:val="(%1)"/>
      <w:numFmt w:val="lowerLetter"/>
      <w:start w:val="4"/>
    </w:lvl>
  </w:abstractNum>
  <w:abstractNum w:abstractNumId="286">
    <w:nsid w:val="1A54D7BC"/>
    <w:multiLevelType w:val="hybridMultilevel"/>
    <w:lvl w:ilvl="0">
      <w:lvlJc w:val="left"/>
      <w:lvlText w:val="(%1)"/>
      <w:numFmt w:val="lowerLetter"/>
      <w:start w:val="1"/>
    </w:lvl>
  </w:abstractNum>
  <w:abstractNum w:abstractNumId="287">
    <w:nsid w:val="42E57EF7"/>
    <w:multiLevelType w:val="hybridMultilevel"/>
    <w:lvl w:ilvl="0">
      <w:lvlJc w:val="left"/>
      <w:lvlText w:val="(%1)"/>
      <w:numFmt w:val="lowerLetter"/>
      <w:start w:val="7"/>
    </w:lvl>
  </w:abstractNum>
  <w:abstractNum w:abstractNumId="288">
    <w:nsid w:val="33537CED"/>
    <w:multiLevelType w:val="hybridMultilevel"/>
    <w:lvl w:ilvl="0">
      <w:lvlJc w:val="left"/>
      <w:lvlText w:val="(%1)"/>
      <w:numFmt w:val="lowerLetter"/>
      <w:start w:val="1"/>
    </w:lvl>
  </w:abstractNum>
  <w:abstractNum w:abstractNumId="289">
    <w:nsid w:val="27514ADE"/>
    <w:multiLevelType w:val="hybridMultilevel"/>
    <w:lvl w:ilvl="0">
      <w:lvlJc w:val="left"/>
      <w:lvlText w:val="(%1)"/>
      <w:numFmt w:val="lowerLetter"/>
      <w:start w:val="1"/>
    </w:lvl>
  </w:abstractNum>
  <w:abstractNum w:abstractNumId="290">
    <w:nsid w:val="57071613"/>
    <w:multiLevelType w:val="hybridMultilevel"/>
    <w:lvl w:ilvl="0">
      <w:lvlJc w:val="left"/>
      <w:lvlText w:val="(%1)"/>
      <w:numFmt w:val="lowerLetter"/>
      <w:start w:val="1"/>
    </w:lvl>
  </w:abstractNum>
  <w:abstractNum w:abstractNumId="291">
    <w:nsid w:val="5293BFEF"/>
    <w:multiLevelType w:val="hybridMultilevel"/>
    <w:lvl w:ilvl="0">
      <w:lvlJc w:val="left"/>
      <w:lvlText w:val="(%1)"/>
      <w:numFmt w:val="lowerLetter"/>
      <w:start w:val="2"/>
    </w:lvl>
  </w:abstractNum>
  <w:abstractNum w:abstractNumId="292">
    <w:nsid w:val="38BF53E5"/>
    <w:multiLevelType w:val="hybridMultilevel"/>
    <w:lvl w:ilvl="0">
      <w:lvlJc w:val="left"/>
      <w:lvlText w:val="(%1)"/>
      <w:numFmt w:val="lowerLetter"/>
      <w:start w:val="2"/>
    </w:lvl>
  </w:abstractNum>
  <w:abstractNum w:abstractNumId="293">
    <w:nsid w:val="226F5320"/>
    <w:multiLevelType w:val="hybridMultilevel"/>
    <w:lvl w:ilvl="0">
      <w:lvlJc w:val="left"/>
      <w:lvlText w:val="(%1)"/>
      <w:numFmt w:val="lowerRoman"/>
      <w:start w:val="1"/>
    </w:lvl>
  </w:abstractNum>
  <w:abstractNum w:abstractNumId="294">
    <w:nsid w:val="5A0201C7"/>
    <w:multiLevelType w:val="hybridMultilevel"/>
    <w:lvl w:ilvl="0">
      <w:lvlJc w:val="left"/>
      <w:lvlText w:val="(%1)"/>
      <w:numFmt w:val="lowerRoman"/>
      <w:start w:val="3"/>
    </w:lvl>
  </w:abstractNum>
  <w:abstractNum w:abstractNumId="295">
    <w:nsid w:val="2A9C34E2"/>
    <w:multiLevelType w:val="hybridMultilevel"/>
    <w:lvl w:ilvl="0">
      <w:lvlJc w:val="left"/>
      <w:lvlText w:val="(%1)"/>
      <w:numFmt w:val="lowerRoman"/>
      <w:start w:val="1"/>
    </w:lvl>
  </w:abstractNum>
  <w:abstractNum w:abstractNumId="296">
    <w:nsid w:val="1B7585AB"/>
    <w:multiLevelType w:val="hybridMultilevel"/>
    <w:lvl w:ilvl="0">
      <w:lvlJc w:val="left"/>
      <w:lvlText w:val="(%1)"/>
      <w:numFmt w:val="lowerRoman"/>
      <w:start w:val="4"/>
    </w:lvl>
  </w:abstractNum>
  <w:abstractNum w:abstractNumId="297">
    <w:nsid w:val="612DBDDD"/>
    <w:multiLevelType w:val="hybridMultilevel"/>
    <w:lvl w:ilvl="0">
      <w:lvlJc w:val="left"/>
      <w:lvlText w:val="%1)"/>
      <w:numFmt w:val="lowerLetter"/>
      <w:start w:val="1"/>
    </w:lvl>
  </w:abstractNum>
  <w:abstractNum w:abstractNumId="298">
    <w:nsid w:val="2109CDA4"/>
    <w:multiLevelType w:val="hybridMultilevel"/>
    <w:lvl w:ilvl="0">
      <w:lvlJc w:val="left"/>
      <w:lvlText w:val="(%1)"/>
      <w:numFmt w:val="lowerLetter"/>
      <w:start w:val="1"/>
    </w:lvl>
  </w:abstractNum>
  <w:abstractNum w:abstractNumId="299">
    <w:nsid w:val="577F5A4D"/>
    <w:multiLevelType w:val="hybridMultilevel"/>
    <w:lvl w:ilvl="0">
      <w:lvlJc w:val="left"/>
      <w:lvlText w:val="(%1)"/>
      <w:numFmt w:val="lowerLetter"/>
      <w:start w:val="3"/>
    </w:lvl>
  </w:abstractNum>
  <w:abstractNum w:abstractNumId="300">
    <w:nsid w:val="2121A81"/>
    <w:multiLevelType w:val="hybridMultilevel"/>
    <w:lvl w:ilvl="0">
      <w:lvlJc w:val="left"/>
      <w:lvlText w:val="(%1)"/>
      <w:numFmt w:val="lowerLetter"/>
      <w:start w:val="1"/>
    </w:lvl>
  </w:abstractNum>
  <w:abstractNum w:abstractNumId="301">
    <w:nsid w:val="6C2CFC88"/>
    <w:multiLevelType w:val="hybridMultilevel"/>
    <w:lvl w:ilvl="0">
      <w:lvlJc w:val="left"/>
      <w:lvlText w:val="(%1)"/>
      <w:numFmt w:val="lowerLetter"/>
      <w:start w:val="2"/>
    </w:lvl>
  </w:abstractNum>
  <w:abstractNum w:abstractNumId="302">
    <w:nsid w:val="6D1BCF1C"/>
    <w:multiLevelType w:val="hybridMultilevel"/>
    <w:lvl w:ilvl="0">
      <w:lvlJc w:val="left"/>
      <w:lvlText w:val="%1)"/>
      <w:numFmt w:val="decimal"/>
      <w:start w:val="2"/>
    </w:lvl>
  </w:abstractNum>
  <w:abstractNum w:abstractNumId="303">
    <w:nsid w:val="4CE5CA53"/>
    <w:multiLevelType w:val="hybridMultilevel"/>
    <w:lvl w:ilvl="0">
      <w:lvlJc w:val="left"/>
      <w:lvlText w:val="(%1)"/>
      <w:numFmt w:val="lowerLetter"/>
      <w:start w:val="1"/>
    </w:lvl>
  </w:abstractNum>
  <w:abstractNum w:abstractNumId="304">
    <w:nsid w:val="29262D1A"/>
    <w:multiLevelType w:val="hybridMultilevel"/>
    <w:lvl w:ilvl="0">
      <w:lvlJc w:val="left"/>
      <w:lvlText w:val="(%1)"/>
      <w:numFmt w:val="lowerLetter"/>
      <w:start w:val="3"/>
    </w:lvl>
  </w:abstractNum>
  <w:abstractNum w:abstractNumId="305">
    <w:nsid w:val="557FB7EE"/>
    <w:multiLevelType w:val="hybridMultilevel"/>
    <w:lvl w:ilvl="0">
      <w:lvlJc w:val="left"/>
      <w:lvlText w:val="(%1)"/>
      <w:numFmt w:val="lowerRoman"/>
      <w:start w:val="4"/>
    </w:lvl>
  </w:abstractNum>
  <w:abstractNum w:abstractNumId="306">
    <w:nsid w:val="436F2BEB"/>
    <w:multiLevelType w:val="hybridMultilevel"/>
    <w:lvl w:ilvl="0">
      <w:lvlJc w:val="left"/>
      <w:lvlText w:val="(%1)"/>
      <w:numFmt w:val="lowerLetter"/>
      <w:start w:val="1"/>
    </w:lvl>
  </w:abstractNum>
  <w:abstractNum w:abstractNumId="307">
    <w:nsid w:val="6C8B4466"/>
    <w:multiLevelType w:val="hybridMultilevel"/>
    <w:lvl w:ilvl="0">
      <w:lvlJc w:val="left"/>
      <w:lvlText w:val="(%1)"/>
      <w:numFmt w:val="lowerLetter"/>
      <w:start w:val="1"/>
    </w:lvl>
  </w:abstractNum>
  <w:abstractNum w:abstractNumId="308">
    <w:nsid w:val="2006E424"/>
    <w:multiLevelType w:val="hybridMultilevel"/>
    <w:lvl w:ilvl="0">
      <w:lvlJc w:val="left"/>
      <w:lvlText w:val="(%1)"/>
      <w:numFmt w:val="lowerRoman"/>
      <w:start w:val="1"/>
    </w:lvl>
  </w:abstractNum>
  <w:abstractNum w:abstractNumId="309">
    <w:nsid w:val="20CC134C"/>
    <w:multiLevelType w:val="hybridMultilevel"/>
    <w:lvl w:ilvl="0">
      <w:lvlJc w:val="left"/>
      <w:lvlText w:val="(%1)"/>
      <w:numFmt w:val="lowerLetter"/>
      <w:start w:val="1"/>
    </w:lvl>
  </w:abstractNum>
  <w:abstractNum w:abstractNumId="310">
    <w:nsid w:val="95FC93B"/>
    <w:multiLevelType w:val="hybridMultilevel"/>
    <w:lvl w:ilvl="0">
      <w:lvlJc w:val="left"/>
      <w:lvlText w:val="•"/>
      <w:numFmt w:val="bullet"/>
      <w:start w:val="1"/>
    </w:lvl>
  </w:abstractNum>
  <w:abstractNum w:abstractNumId="311">
    <w:nsid w:val="41D74679"/>
    <w:multiLevelType w:val="hybridMultilevel"/>
    <w:lvl w:ilvl="0">
      <w:lvlJc w:val="left"/>
      <w:lvlText w:val="*"/>
      <w:numFmt w:val="bullet"/>
      <w:start w:val="1"/>
    </w:lvl>
  </w:abstractNum>
  <w:abstractNum w:abstractNumId="312">
    <w:nsid w:val="71E5621E"/>
    <w:multiLevelType w:val="hybridMultilevel"/>
    <w:lvl w:ilvl="0">
      <w:lvlJc w:val="left"/>
      <w:lvlText w:val="**"/>
      <w:numFmt w:val="bullet"/>
      <w:start w:val="1"/>
    </w:lvl>
  </w:abstractNum>
  <w:abstractNum w:abstractNumId="313">
    <w:nsid w:val="4E42B6A8"/>
    <w:multiLevelType w:val="hybridMultilevel"/>
    <w:lvl w:ilvl="0">
      <w:lvlJc w:val="left"/>
      <w:lvlText w:val="%1."/>
      <w:numFmt w:val="decimal"/>
      <w:start w:val="1"/>
    </w:lvl>
    <w:lvl w:ilvl="1">
      <w:lvlJc w:val="left"/>
      <w:lvlText w:val="(%2)"/>
      <w:numFmt w:val="lowerLetter"/>
      <w:start w:val="1"/>
    </w:lvl>
  </w:abstractNum>
  <w:abstractNum w:abstractNumId="314">
    <w:nsid w:val="43F8E1A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15">
    <w:nsid w:val="69215DFB"/>
    <w:multiLevelType w:val="hybridMultilevel"/>
    <w:lvl w:ilvl="0">
      <w:lvlJc w:val="left"/>
      <w:lvlText w:val="(%1)"/>
      <w:numFmt w:val="upperLetter"/>
      <w:start w:val="1"/>
    </w:lvl>
  </w:abstractNum>
  <w:abstractNum w:abstractNumId="316">
    <w:nsid w:val="7ABF196A"/>
    <w:multiLevelType w:val="hybridMultilevel"/>
    <w:lvl w:ilvl="0">
      <w:lvlJc w:val="left"/>
      <w:lvlText w:val="%1"/>
      <w:numFmt w:val="decimal"/>
      <w:start w:val="1"/>
    </w:lvl>
    <w:lvl w:ilvl="1">
      <w:lvlJc w:val="left"/>
      <w:lvlText w:val="(%2)"/>
      <w:numFmt w:val="lowerRoman"/>
      <w:start w:val="2"/>
    </w:lvl>
  </w:abstractNum>
  <w:abstractNum w:abstractNumId="317">
    <w:nsid w:val="5E4DB968"/>
    <w:multiLevelType w:val="hybridMultilevel"/>
    <w:lvl w:ilvl="0">
      <w:lvlJc w:val="left"/>
      <w:lvlText w:val="(%1)"/>
      <w:numFmt w:val="decimal"/>
      <w:start w:val="2"/>
    </w:lvl>
    <w:lvl w:ilvl="1">
      <w:lvlJc w:val="left"/>
      <w:lvlText w:val="%2"/>
      <w:numFmt w:val="lowerRoman"/>
      <w:start w:val="1"/>
    </w:lvl>
  </w:abstractNum>
  <w:abstractNum w:abstractNumId="318">
    <w:nsid w:val="2C06DCF3"/>
    <w:multiLevelType w:val="hybridMultilevel"/>
    <w:lvl w:ilvl="0">
      <w:lvlJc w:val="left"/>
      <w:lvlText w:val="-"/>
      <w:numFmt w:val="bullet"/>
      <w:start w:val="1"/>
    </w:lvl>
  </w:abstractNum>
  <w:abstractNum w:abstractNumId="319">
    <w:nsid w:val="2E129658"/>
    <w:multiLevelType w:val="hybridMultilevel"/>
    <w:lvl w:ilvl="0">
      <w:lvlJc w:val="left"/>
      <w:lvlText w:val="-"/>
      <w:numFmt w:val="bullet"/>
      <w:start w:val="1"/>
    </w:lvl>
  </w:abstractNum>
  <w:abstractNum w:abstractNumId="320">
    <w:nsid w:val="59F044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21">
    <w:nsid w:val="30DF30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2">
    <w:nsid w:val="A656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23">
    <w:nsid w:val="3E5E582B"/>
    <w:multiLevelType w:val="hybridMultilevel"/>
    <w:lvl w:ilvl="0">
      <w:lvlJc w:val="left"/>
      <w:lvlText w:val="(%1)"/>
      <w:numFmt w:val="lowerLetter"/>
      <w:start w:val="2"/>
    </w:lvl>
  </w:abstractNum>
  <w:abstractNum w:abstractNumId="324">
    <w:nsid w:val="257D4626"/>
    <w:multiLevelType w:val="hybridMultilevel"/>
    <w:lvl w:ilvl="0">
      <w:lvlJc w:val="left"/>
      <w:lvlText w:val="%1."/>
      <w:numFmt w:val="decimal"/>
      <w:start w:val="4"/>
    </w:lvl>
  </w:abstractNum>
  <w:abstractNum w:abstractNumId="325">
    <w:nsid w:val="5AA8580E"/>
    <w:multiLevelType w:val="hybridMultilevel"/>
    <w:lvl w:ilvl="0">
      <w:lvlJc w:val="left"/>
      <w:lvlText w:val="(%1)"/>
      <w:numFmt w:val="lowerLetter"/>
      <w:start w:val="1"/>
    </w:lvl>
  </w:abstractNum>
  <w:abstractNum w:abstractNumId="326">
    <w:nsid w:val="68FA8D0D"/>
    <w:multiLevelType w:val="hybridMultilevel"/>
    <w:lvl w:ilvl="0">
      <w:lvlJc w:val="left"/>
      <w:lvlText w:val="(%1)"/>
      <w:numFmt w:val="lowerLetter"/>
      <w:start w:val="3"/>
    </w:lvl>
  </w:abstractNum>
  <w:abstractNum w:abstractNumId="327">
    <w:nsid w:val="40F2CBD2"/>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328">
    <w:nsid w:val="3BD615EB"/>
    <w:multiLevelType w:val="hybridMultilevel"/>
    <w:lvl w:ilvl="0">
      <w:lvlJc w:val="left"/>
      <w:lvlText w:val="%1"/>
      <w:numFmt w:val="lowerLetter"/>
      <w:start w:val="1"/>
    </w:lvl>
    <w:lvl w:ilvl="1">
      <w:lvlJc w:val="left"/>
      <w:lvlText w:val="(%2)"/>
      <w:numFmt w:val="lowerRoman"/>
      <w:start w:val="2"/>
    </w:lvl>
  </w:abstractNum>
  <w:abstractNum w:abstractNumId="329">
    <w:nsid w:val="A045AB2"/>
    <w:multiLevelType w:val="hybridMultilevel"/>
    <w:lvl w:ilvl="0">
      <w:lvlJc w:val="left"/>
      <w:lvlText w:val="(%1)"/>
      <w:numFmt w:val="lowerLetter"/>
      <w:start w:val="6"/>
    </w:lvl>
    <w:lvl w:ilvl="1">
      <w:lvlJc w:val="left"/>
      <w:lvlText w:val="(%2)"/>
      <w:numFmt w:val="lowerRoman"/>
      <w:start w:val="1"/>
    </w:lvl>
  </w:abstractNum>
  <w:abstractNum w:abstractNumId="330">
    <w:nsid w:val="1872261F"/>
    <w:multiLevelType w:val="hybridMultilevel"/>
    <w:lvl w:ilvl="0">
      <w:lvlJc w:val="left"/>
      <w:lvlText w:val="(%1)"/>
      <w:numFmt w:val="lowerLetter"/>
      <w:start w:val="8"/>
    </w:lvl>
  </w:abstractNum>
  <w:abstractNum w:abstractNumId="331">
    <w:nsid w:val="3DE8306C"/>
    <w:multiLevelType w:val="hybridMultilevel"/>
    <w:lvl w:ilvl="0">
      <w:lvlJc w:val="left"/>
      <w:lvlText w:val="%1."/>
      <w:numFmt w:val="decimal"/>
      <w:start w:val="5"/>
    </w:lvl>
  </w:abstractNum>
  <w:abstractNum w:abstractNumId="332">
    <w:nsid w:val="7631573A"/>
    <w:multiLevelType w:val="hybridMultilevel"/>
    <w:lvl w:ilvl="0">
      <w:lvlJc w:val="left"/>
      <w:lvlText w:val="(%1)"/>
      <w:numFmt w:val="lowerLetter"/>
      <w:start w:val="1"/>
    </w:lvl>
    <w:lvl w:ilvl="1">
      <w:lvlJc w:val="left"/>
      <w:lvlText w:val="(%2)"/>
      <w:numFmt w:val="lowerRoman"/>
      <w:start w:val="1"/>
    </w:lvl>
  </w:abstractNum>
  <w:abstractNum w:abstractNumId="333">
    <w:nsid w:val="58DF53B"/>
    <w:multiLevelType w:val="hybridMultilevel"/>
    <w:lvl w:ilvl="0">
      <w:lvlJc w:val="left"/>
      <w:lvlText w:val="(%1)"/>
      <w:numFmt w:val="lowerLetter"/>
      <w:start w:val="3"/>
    </w:lvl>
  </w:abstractNum>
  <w:abstractNum w:abstractNumId="334">
    <w:nsid w:val="ACDFAC0"/>
    <w:multiLevelType w:val="hybridMultilevel"/>
    <w:lvl w:ilvl="0">
      <w:lvlJc w:val="left"/>
      <w:lvlText w:val="%1"/>
      <w:numFmt w:val="decimal"/>
      <w:start w:val="1"/>
    </w:lvl>
    <w:lvl w:ilvl="1">
      <w:lvlJc w:val="left"/>
      <w:lvlText w:val="(%2)"/>
      <w:numFmt w:val="lowerLetter"/>
      <w:start w:val="4"/>
    </w:lvl>
  </w:abstractNum>
  <w:abstractNum w:abstractNumId="335">
    <w:nsid w:val="1F578454"/>
    <w:multiLevelType w:val="hybridMultilevel"/>
    <w:lvl w:ilvl="0">
      <w:lvlJc w:val="left"/>
      <w:lvlText w:val="%1."/>
      <w:numFmt w:val="decimal"/>
      <w:start w:val="6"/>
    </w:lvl>
    <w:lvl w:ilvl="1">
      <w:lvlJc w:val="left"/>
      <w:lvlText w:val="(%2)"/>
      <w:numFmt w:val="lowerLetter"/>
      <w:start w:val="1"/>
    </w:lvl>
  </w:abstractNum>
  <w:abstractNum w:abstractNumId="336">
    <w:nsid w:val="5B0DAD2A"/>
    <w:multiLevelType w:val="hybridMultilevel"/>
    <w:lvl w:ilvl="0">
      <w:lvlJc w:val="left"/>
      <w:lvlText w:val="%1."/>
      <w:numFmt w:val="decimal"/>
      <w:start w:val="7"/>
    </w:lvl>
    <w:lvl w:ilvl="1">
      <w:lvlJc w:val="left"/>
      <w:lvlText w:val="(%2)"/>
      <w:numFmt w:val="lowerLetter"/>
      <w:start w:val="1"/>
    </w:lvl>
  </w:abstractNum>
  <w:abstractNum w:abstractNumId="337">
    <w:nsid w:val="4E3D26AB"/>
    <w:multiLevelType w:val="hybridMultilevel"/>
    <w:lvl w:ilvl="0">
      <w:lvlJc w:val="left"/>
      <w:lvlText w:val="(%1)"/>
      <w:numFmt w:val="lowerLetter"/>
      <w:start w:val="4"/>
    </w:lvl>
  </w:abstractNum>
  <w:abstractNum w:abstractNumId="338">
    <w:nsid w:val="BE2C8BA"/>
    <w:multiLevelType w:val="hybridMultilevel"/>
    <w:lvl w:ilvl="0">
      <w:lvlJc w:val="left"/>
      <w:lvlText w:val="%1."/>
      <w:numFmt w:val="decimal"/>
      <w:start w:val="8"/>
    </w:lvl>
  </w:abstractNum>
  <w:abstractNum w:abstractNumId="339">
    <w:nsid w:val="7B14914E"/>
    <w:multiLevelType w:val="hybridMultilevel"/>
    <w:lvl w:ilvl="0">
      <w:lvlJc w:val="left"/>
      <w:lvlText w:val="(%1)"/>
      <w:numFmt w:val="lowerLetter"/>
      <w:start w:val="1"/>
    </w:lvl>
  </w:abstractNum>
  <w:abstractNum w:abstractNumId="340">
    <w:nsid w:val="6F0939F8"/>
    <w:multiLevelType w:val="hybridMultilevel"/>
    <w:lvl w:ilvl="0">
      <w:lvlJc w:val="left"/>
      <w:lvlText w:val="(%1)"/>
      <w:numFmt w:val="lowerLetter"/>
      <w:start w:val="3"/>
    </w:lvl>
    <w:lvl w:ilvl="1">
      <w:lvlJc w:val="left"/>
      <w:lvlText w:val="(%2)"/>
      <w:numFmt w:val="lowerRoman"/>
      <w:start w:val="1"/>
    </w:lvl>
  </w:abstractNum>
  <w:abstractNum w:abstractNumId="341">
    <w:nsid w:val="154291F6"/>
    <w:multiLevelType w:val="hybridMultilevel"/>
    <w:lvl w:ilvl="0">
      <w:lvlJc w:val="left"/>
      <w:lvlText w:val="%1"/>
      <w:numFmt w:val="lowerLetter"/>
      <w:start w:val="1"/>
    </w:lvl>
    <w:lvl w:ilvl="1">
      <w:lvlJc w:val="left"/>
      <w:lvlText w:val="(%2)"/>
      <w:numFmt w:val="lowerRoman"/>
      <w:start w:val="3"/>
    </w:lvl>
  </w:abstractNum>
  <w:abstractNum w:abstractNumId="342">
    <w:nsid w:val="3CEBD7C7"/>
    <w:multiLevelType w:val="hybridMultilevel"/>
    <w:lvl w:ilvl="0">
      <w:lvlJc w:val="left"/>
      <w:lvlText w:val="(%1)"/>
      <w:numFmt w:val="lowerLetter"/>
      <w:start w:val="4"/>
    </w:lvl>
    <w:lvl w:ilvl="1">
      <w:lvlJc w:val="left"/>
      <w:lvlText w:val="(%2)"/>
      <w:numFmt w:val="lowerRoman"/>
      <w:start w:val="1"/>
    </w:lvl>
  </w:abstractNum>
  <w:abstractNum w:abstractNumId="343">
    <w:nsid w:val="60EE9C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44">
    <w:nsid w:val="6385489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45">
    <w:nsid w:val="E4B973"/>
    <w:multiLevelType w:val="hybridMultilevel"/>
    <w:lvl w:ilvl="0">
      <w:lvlJc w:val="left"/>
      <w:lvlText w:val="%1."/>
      <w:numFmt w:val="decimal"/>
      <w:start w:val="11"/>
    </w:lvl>
  </w:abstractNum>
  <w:abstractNum w:abstractNumId="346">
    <w:nsid w:val="4A0FFA11"/>
    <w:multiLevelType w:val="hybridMultilevel"/>
    <w:lvl w:ilvl="0">
      <w:lvlJc w:val="left"/>
      <w:lvlText w:val="%1."/>
      <w:numFmt w:val="decimal"/>
      <w:start w:val="12"/>
    </w:lvl>
    <w:lvl w:ilvl="1">
      <w:lvlJc w:val="left"/>
      <w:lvlText w:val="(%2)"/>
      <w:numFmt w:val="lowerLetter"/>
      <w:start w:val="1"/>
    </w:lvl>
  </w:abstractNum>
  <w:abstractNum w:abstractNumId="347">
    <w:nsid w:val="5E446208"/>
    <w:multiLevelType w:val="hybridMultilevel"/>
    <w:lvl w:ilvl="0">
      <w:lvlJc w:val="left"/>
      <w:lvlText w:val="(%1)"/>
      <w:numFmt w:val="lowerLetter"/>
      <w:start w:val="5"/>
    </w:lvl>
  </w:abstractNum>
  <w:abstractNum w:abstractNumId="348">
    <w:nsid w:val="5F3272DB"/>
    <w:multiLevelType w:val="hybridMultilevel"/>
    <w:lvl w:ilvl="0">
      <w:lvlJc w:val="left"/>
      <w:lvlText w:val="%1"/>
      <w:numFmt w:val="lowerLetter"/>
      <w:start w:val="1"/>
    </w:lvl>
    <w:lvl w:ilvl="1">
      <w:lvlJc w:val="left"/>
      <w:lvlText w:val="(%2)"/>
      <w:numFmt w:val="lowerRoman"/>
      <w:start w:val="1"/>
    </w:lvl>
  </w:abstractNum>
  <w:abstractNum w:abstractNumId="349">
    <w:nsid w:val="7616D704"/>
    <w:multiLevelType w:val="hybridMultilevel"/>
    <w:lvl w:ilvl="0">
      <w:lvlJc w:val="left"/>
      <w:lvlText w:val="(%1)"/>
      <w:numFmt w:val="lowerLetter"/>
      <w:start w:val="10"/>
    </w:lvl>
    <w:lvl w:ilvl="1">
      <w:lvlJc w:val="left"/>
      <w:lvlText w:val="(%2)"/>
      <w:numFmt w:val="lowerRoman"/>
      <w:start w:val="1"/>
    </w:lvl>
  </w:abstractNum>
  <w:abstractNum w:abstractNumId="350">
    <w:nsid w:val="C56F860"/>
    <w:multiLevelType w:val="hybridMultilevel"/>
    <w:lvl w:ilvl="0">
      <w:lvlJc w:val="left"/>
      <w:lvlText w:val="%1"/>
      <w:numFmt w:val="lowerLetter"/>
      <w:start w:val="1"/>
    </w:lvl>
    <w:lvl w:ilvl="1">
      <w:lvlJc w:val="left"/>
      <w:lvlText w:val="(%2)"/>
      <w:numFmt w:val="lowerRoman"/>
      <w:start w:val="3"/>
    </w:lvl>
  </w:abstractNum>
  <w:abstractNum w:abstractNumId="351">
    <w:nsid w:val="64D17722"/>
    <w:multiLevelType w:val="hybridMultilevel"/>
    <w:lvl w:ilvl="0">
      <w:lvlJc w:val="left"/>
      <w:lvlText w:val="(%1)"/>
      <w:numFmt w:val="lowerLetter"/>
      <w:start w:val="17"/>
    </w:lvl>
    <w:lvl w:ilvl="1">
      <w:lvlJc w:val="left"/>
      <w:lvlText w:val="%2"/>
      <w:numFmt w:val="lowerRoman"/>
      <w:start w:val="1"/>
    </w:lvl>
  </w:abstractNum>
  <w:abstractNum w:abstractNumId="352">
    <w:nsid w:val="7924CA0A"/>
    <w:multiLevelType w:val="hybridMultilevel"/>
    <w:lvl w:ilvl="0">
      <w:lvlJc w:val="left"/>
      <w:lvlText w:val="(%1)"/>
      <w:numFmt w:val="lowerLetter"/>
      <w:start w:val="27"/>
    </w:lvl>
  </w:abstractNum>
  <w:abstractNum w:abstractNumId="353">
    <w:nsid w:val="CFD4EA7"/>
    <w:multiLevelType w:val="hybridMultilevel"/>
    <w:lvl w:ilvl="0">
      <w:lvlJc w:val="left"/>
      <w:lvlText w:val="(%1)"/>
      <w:numFmt w:val="lowerLetter"/>
      <w:start w:val="28"/>
    </w:lvl>
  </w:abstractNum>
  <w:abstractNum w:abstractNumId="354">
    <w:nsid w:val="232FCF4D"/>
    <w:multiLevelType w:val="hybridMultilevel"/>
    <w:lvl w:ilvl="0">
      <w:lvlJc w:val="left"/>
      <w:lvlText w:val="%1."/>
      <w:numFmt w:val="decimal"/>
      <w:start w:val="1"/>
    </w:lvl>
  </w:abstractNum>
  <w:abstractNum w:abstractNumId="355">
    <w:nsid w:val="1EA21031"/>
    <w:multiLevelType w:val="hybridMultilevel"/>
    <w:lvl w:ilvl="0">
      <w:lvlJc w:val="left"/>
      <w:lvlText w:val="%1."/>
      <w:numFmt w:val="decimal"/>
      <w:start w:val="5"/>
    </w:lvl>
  </w:abstractNum>
  <w:abstractNum w:abstractNumId="356">
    <w:nsid w:val="67A5A6B5"/>
    <w:multiLevelType w:val="hybridMultilevel"/>
    <w:lvl w:ilvl="0">
      <w:lvlJc w:val="left"/>
      <w:lvlText w:val="%1."/>
      <w:numFmt w:val="decimal"/>
      <w:start w:val="6"/>
    </w:lvl>
  </w:abstractNum>
  <w:abstractNum w:abstractNumId="357">
    <w:nsid w:val="C2A5C5B"/>
    <w:multiLevelType w:val="hybridMultilevel"/>
    <w:lvl w:ilvl="0">
      <w:lvlJc w:val="left"/>
      <w:lvlText w:val="%1."/>
      <w:numFmt w:val="decimal"/>
      <w:start w:val="1"/>
    </w:lvl>
  </w:abstractNum>
  <w:abstractNum w:abstractNumId="358">
    <w:nsid w:val="5F94DC03"/>
    <w:multiLevelType w:val="hybridMultilevel"/>
    <w:lvl w:ilvl="0">
      <w:lvlJc w:val="left"/>
      <w:lvlText w:val="%1."/>
      <w:numFmt w:val="decimal"/>
      <w:start w:val="2"/>
    </w:lvl>
  </w:abstractNum>
  <w:abstractNum w:abstractNumId="359">
    <w:nsid w:val="237BBCA0"/>
    <w:multiLevelType w:val="hybridMultilevel"/>
    <w:lvl w:ilvl="0">
      <w:lvlJc w:val="left"/>
      <w:lvlText w:val="%1."/>
      <w:numFmt w:val="decimal"/>
      <w:start w:val="3"/>
    </w:lvl>
  </w:abstractNum>
  <w:abstractNum w:abstractNumId="360">
    <w:nsid w:val="162EB70D"/>
    <w:multiLevelType w:val="hybridMultilevel"/>
    <w:lvl w:ilvl="0">
      <w:lvlJc w:val="left"/>
      <w:lvlText w:val="%1)"/>
      <w:numFmt w:val="lowerLetter"/>
      <w:start w:val="1"/>
    </w:lvl>
  </w:abstractNum>
  <w:abstractNum w:abstractNumId="361">
    <w:nsid w:val="78070222"/>
    <w:multiLevelType w:val="hybridMultilevel"/>
    <w:lvl w:ilvl="0">
      <w:lvlJc w:val="left"/>
      <w:lvlText w:val="%1."/>
      <w:numFmt w:val="decimal"/>
      <w:start w:val="4"/>
    </w:lvl>
  </w:abstractNum>
  <w:abstractNum w:abstractNumId="362">
    <w:nsid w:val="6163ED0D"/>
    <w:multiLevelType w:val="hybridMultilevel"/>
    <w:lvl w:ilvl="0">
      <w:lvlJc w:val="left"/>
      <w:lvlText w:val="%1)"/>
      <w:numFmt w:val="lowerLetter"/>
      <w:start w:val="1"/>
    </w:lvl>
  </w:abstractNum>
  <w:abstractNum w:abstractNumId="363">
    <w:nsid w:val="C600E47"/>
    <w:multiLevelType w:val="hybridMultilevel"/>
    <w:lvl w:ilvl="0">
      <w:lvlJc w:val="left"/>
      <w:lvlText w:val="%1)"/>
      <w:numFmt w:val="lowerLetter"/>
      <w:start w:val="2"/>
    </w:lvl>
  </w:abstractNum>
  <w:abstractNum w:abstractNumId="364">
    <w:nsid w:val="7D94F75D"/>
    <w:multiLevelType w:val="hybridMultilevel"/>
    <w:lvl w:ilvl="0">
      <w:lvlJc w:val="left"/>
      <w:lvlText w:val="%1)"/>
      <w:numFmt w:val="lowerLetter"/>
      <w:start w:val="1"/>
    </w:lvl>
  </w:abstractNum>
  <w:abstractNum w:abstractNumId="365">
    <w:nsid w:val="6C31E7CD"/>
    <w:multiLevelType w:val="hybridMultilevel"/>
    <w:lvl w:ilvl="0">
      <w:lvlJc w:val="left"/>
      <w:lvlText w:val="%1)"/>
      <w:numFmt w:val="lowerLetter"/>
      <w:start w:val="3"/>
    </w:lvl>
  </w:abstractNum>
  <w:abstractNum w:abstractNumId="366">
    <w:nsid w:val="2BB7929B"/>
    <w:multiLevelType w:val="hybridMultilevel"/>
    <w:lvl w:ilvl="0">
      <w:lvlJc w:val="left"/>
      <w:lvlText w:val="%1)"/>
      <w:numFmt w:val="lowerLetter"/>
      <w:start w:val="1"/>
    </w:lvl>
  </w:abstractNum>
  <w:abstractNum w:abstractNumId="367">
    <w:nsid w:val="58A2A487"/>
    <w:multiLevelType w:val="hybridMultilevel"/>
    <w:lvl w:ilvl="0">
      <w:lvlJc w:val="left"/>
      <w:lvlText w:val="%1)"/>
      <w:numFmt w:val="lowerLetter"/>
      <w:start w:val="5"/>
    </w:lvl>
  </w:abstractNum>
  <w:abstractNum w:abstractNumId="368">
    <w:nsid w:val="3A6F0E78"/>
    <w:multiLevelType w:val="hybridMultilevel"/>
    <w:lvl w:ilvl="0">
      <w:lvlJc w:val="left"/>
      <w:lvlText w:val="%1."/>
      <w:numFmt w:val="decimal"/>
      <w:start w:val="6"/>
    </w:lvl>
    <w:lvl w:ilvl="1">
      <w:lvlJc w:val="left"/>
      <w:lvlText w:val="%2)"/>
      <w:numFmt w:val="lowerLetter"/>
      <w:start w:val="1"/>
    </w:lvl>
  </w:abstractNum>
  <w:abstractNum w:abstractNumId="369">
    <w:nsid w:val="379A5B56"/>
    <w:multiLevelType w:val="hybridMultilevel"/>
    <w:lvl w:ilvl="0">
      <w:lvlJc w:val="left"/>
      <w:lvlText w:val="%1."/>
      <w:numFmt w:val="decimal"/>
      <w:start w:val="7"/>
    </w:lvl>
  </w:abstractNum>
  <w:abstractNum w:abstractNumId="370">
    <w:nsid w:val="53B735D5"/>
    <w:multiLevelType w:val="hybridMultilevel"/>
    <w:lvl w:ilvl="0">
      <w:lvlJc w:val="left"/>
      <w:lvlText w:val="%1."/>
      <w:numFmt w:val="decimal"/>
      <w:start w:val="8"/>
    </w:lvl>
  </w:abstractNum>
  <w:abstractNum w:abstractNumId="371">
    <w:nsid w:val="29784870"/>
    <w:multiLevelType w:val="hybridMultilevel"/>
    <w:lvl w:ilvl="0">
      <w:lvlJc w:val="left"/>
      <w:lvlText w:val="%1)"/>
      <w:numFmt w:val="lowerLetter"/>
      <w:start w:val="1"/>
    </w:lvl>
  </w:abstractNum>
  <w:abstractNum w:abstractNumId="372">
    <w:nsid w:val="4CDCED4C"/>
    <w:multiLevelType w:val="hybridMultilevel"/>
    <w:lvl w:ilvl="0">
      <w:lvlJc w:val="left"/>
      <w:lvlText w:val="%1)"/>
      <w:numFmt w:val="lowerLetter"/>
      <w:start w:val="1"/>
    </w:lvl>
  </w:abstractNum>
  <w:abstractNum w:abstractNumId="373">
    <w:nsid w:val="10A30D9C"/>
    <w:multiLevelType w:val="hybridMultilevel"/>
    <w:lvl w:ilvl="0">
      <w:lvlJc w:val="left"/>
      <w:lvlText w:val="%1."/>
      <w:numFmt w:val="decimal"/>
      <w:start w:val="9"/>
    </w:lvl>
  </w:abstractNum>
  <w:abstractNum w:abstractNumId="374">
    <w:nsid w:val="A66E486"/>
    <w:multiLevelType w:val="hybridMultilevel"/>
    <w:lvl w:ilvl="0">
      <w:lvlJc w:val="left"/>
      <w:lvlText w:val="%1)"/>
      <w:numFmt w:val="lowerLetter"/>
      <w:start w:val="1"/>
    </w:lvl>
  </w:abstractNum>
  <w:abstractNum w:abstractNumId="375">
    <w:nsid w:val="306235EA"/>
    <w:multiLevelType w:val="hybridMultilevel"/>
    <w:lvl w:ilvl="0">
      <w:lvlJc w:val="left"/>
      <w:lvlText w:val="%1)"/>
      <w:numFmt w:val="lowerLetter"/>
      <w:start w:val="2"/>
    </w:lvl>
  </w:abstractNum>
  <w:abstractNum w:abstractNumId="376">
    <w:nsid w:val="1187C70F"/>
    <w:multiLevelType w:val="hybridMultilevel"/>
    <w:lvl w:ilvl="0">
      <w:lvlJc w:val="left"/>
      <w:lvlText w:val="%1."/>
      <w:numFmt w:val="decimal"/>
      <w:start w:val="10"/>
    </w:lvl>
  </w:abstractNum>
  <w:abstractNum w:abstractNumId="377">
    <w:nsid w:val="5476DE98"/>
    <w:multiLevelType w:val="hybridMultilevel"/>
    <w:lvl w:ilvl="0">
      <w:lvlJc w:val="left"/>
      <w:lvlText w:val="%1."/>
      <w:numFmt w:val="decimal"/>
      <w:start w:val="1"/>
    </w:lvl>
  </w:abstractNum>
  <w:abstractNum w:abstractNumId="378">
    <w:nsid w:val="EA697F2"/>
    <w:multiLevelType w:val="hybridMultilevel"/>
    <w:lvl w:ilvl="0">
      <w:lvlJc w:val="left"/>
      <w:lvlText w:val="%1."/>
      <w:numFmt w:val="decimal"/>
      <w:start w:val="2"/>
    </w:lvl>
  </w:abstractNum>
  <w:abstractNum w:abstractNumId="379">
    <w:nsid w:val="70BA39EB"/>
    <w:multiLevelType w:val="hybridMultilevel"/>
    <w:lvl w:ilvl="0">
      <w:lvlJc w:val="left"/>
      <w:lvlText w:val="%1."/>
      <w:numFmt w:val="decimal"/>
      <w:start w:val="3"/>
    </w:lvl>
  </w:abstractNum>
  <w:abstractNum w:abstractNumId="380">
    <w:nsid w:val="4A8DB59C"/>
    <w:multiLevelType w:val="hybridMultilevel"/>
    <w:lvl w:ilvl="0">
      <w:lvlJc w:val="left"/>
      <w:lvlText w:val="☐"/>
      <w:numFmt w:val="bullet"/>
      <w:start w:val="1"/>
    </w:lvl>
  </w:abstractNum>
  <w:abstractNum w:abstractNumId="381">
    <w:nsid w:val="1AFD9053"/>
    <w:multiLevelType w:val="hybridMultilevel"/>
    <w:lvl w:ilvl="0">
      <w:lvlJc w:val="left"/>
      <w:lvlText w:val="(%1)"/>
      <w:numFmt w:val="lowerRoman"/>
      <w:start w:val="1"/>
    </w:lvl>
  </w:abstractNum>
  <w:abstractNum w:abstractNumId="382">
    <w:nsid w:val="558BB10D"/>
    <w:multiLevelType w:val="hybridMultilevel"/>
    <w:lvl w:ilvl="0">
      <w:lvlJc w:val="left"/>
      <w:lvlText w:val="1"/>
      <w:numFmt w:val="bullet"/>
      <w:start w:val="1"/>
    </w:lvl>
  </w:abstractNum>
  <w:abstractNum w:abstractNumId="383">
    <w:nsid w:val="43B27FA7"/>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84">
    <w:nsid w:val="27FADEFA"/>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385">
    <w:nsid w:val="78BB805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86">
    <w:nsid w:val="62548FD8"/>
    <w:multiLevelType w:val="hybridMultilevel"/>
    <w:lvl w:ilvl="0">
      <w:lvlJc w:val="left"/>
      <w:lvlText w:val="(%1)"/>
      <w:numFmt w:val="lowerLetter"/>
      <w:start w:val="1"/>
    </w:lvl>
    <w:lvl w:ilvl="1">
      <w:lvlJc w:val="left"/>
      <w:lvlText w:val="(%2)"/>
      <w:numFmt w:val="lowerLetter"/>
      <w:start w:val="5"/>
    </w:lvl>
  </w:abstractNum>
  <w:abstractNum w:abstractNumId="387">
    <w:nsid w:val="FA085B0"/>
    <w:multiLevelType w:val="hybridMultilevel"/>
    <w:lvl w:ilvl="0">
      <w:lvlJc w:val="left"/>
      <w:lvlText w:val="2"/>
      <w:numFmt w:val="bullet"/>
      <w:start w:val="1"/>
    </w:lvl>
    <w:lvl w:ilvl="1">
      <w:lvlJc w:val="left"/>
      <w:lvlText w:val="(%2)"/>
      <w:numFmt w:val="lowerLetter"/>
      <w:start w:val="1"/>
    </w:lvl>
  </w:abstractNum>
  <w:abstractNum w:abstractNumId="388">
    <w:nsid w:val="4E5DCB5"/>
    <w:multiLevelType w:val="hybridMultilevel"/>
    <w:lvl w:ilvl="0">
      <w:lvlJc w:val="left"/>
      <w:lvlText w:val="(%1)"/>
      <w:numFmt w:val="decimal"/>
      <w:start w:val="2"/>
    </w:lvl>
    <w:lvl w:ilvl="1">
      <w:lvlJc w:val="left"/>
      <w:lvlText w:val="•"/>
      <w:numFmt w:val="bullet"/>
      <w:start w:val="1"/>
    </w:lvl>
  </w:abstractNum>
  <w:abstractNum w:abstractNumId="389">
    <w:nsid w:val="41E96BDB"/>
    <w:multiLevelType w:val="hybridMultilevel"/>
    <w:lvl w:ilvl="0">
      <w:lvlJc w:val="left"/>
      <w:lvlText w:val="3"/>
      <w:numFmt w:val="bullet"/>
      <w:start w:val="1"/>
    </w:lvl>
    <w:lvl w:ilvl="1">
      <w:lvlJc w:val="left"/>
      <w:lvlText w:val="•"/>
      <w:numFmt w:val="bullet"/>
      <w:start w:val="1"/>
    </w:lvl>
  </w:abstractNum>
  <w:abstractNum w:abstractNumId="390">
    <w:nsid w:val="331C4250"/>
    <w:multiLevelType w:val="hybridMultilevel"/>
    <w:lvl w:ilvl="0">
      <w:lvlJc w:val="left"/>
      <w:lvlText w:val="%1)"/>
      <w:numFmt w:val="lowerLetter"/>
      <w:start w:val="1"/>
    </w:lvl>
  </w:abstractNum>
  <w:abstractNum w:abstractNumId="391">
    <w:nsid w:val="1B1493C2"/>
    <w:multiLevelType w:val="hybridMultilevel"/>
    <w:lvl w:ilvl="0">
      <w:lvlJc w:val="left"/>
      <w:lvlText w:val="%1)"/>
      <w:numFmt w:val="lowerLetter"/>
      <w:start w:val="7"/>
    </w:lvl>
  </w:abstractNum>
  <w:abstractNum w:abstractNumId="392">
    <w:nsid w:val="39F06DFD"/>
    <w:multiLevelType w:val="hybridMultilevel"/>
    <w:lvl w:ilvl="0">
      <w:lvlJc w:val="left"/>
      <w:lvlText w:val="%1)"/>
      <w:numFmt w:val="lowerLetter"/>
      <w:start w:val="10"/>
    </w:lvl>
  </w:abstractNum>
  <w:abstractNum w:abstractNumId="393">
    <w:nsid w:val="14802F5D"/>
    <w:multiLevelType w:val="hybridMultilevel"/>
    <w:lvl w:ilvl="0">
      <w:lvlJc w:val="left"/>
      <w:lvlText w:val="%1."/>
      <w:numFmt w:val="decimal"/>
      <w:start w:val="1"/>
    </w:lvl>
  </w:abstractNum>
  <w:abstractNum w:abstractNumId="394">
    <w:nsid w:val="2774A209"/>
    <w:multiLevelType w:val="hybridMultilevel"/>
    <w:lvl w:ilvl="0">
      <w:lvlJc w:val="left"/>
      <w:lvlText w:val="%1."/>
      <w:numFmt w:val="decimal"/>
      <w:start w:val="4"/>
    </w:lvl>
  </w:abstractNum>
  <w:abstractNum w:abstractNumId="395">
    <w:nsid w:val="3785655A"/>
    <w:multiLevelType w:val="hybridMultilevel"/>
    <w:lvl w:ilvl="0">
      <w:lvlJc w:val="left"/>
      <w:lvlText w:val="%1."/>
      <w:numFmt w:val="decimal"/>
      <w:start w:val="8"/>
    </w:lvl>
  </w:abstractNum>
  <w:abstractNum w:abstractNumId="396">
    <w:nsid w:val="B2172A"/>
    <w:multiLevelType w:val="hybridMultilevel"/>
    <w:lvl w:ilvl="0">
      <w:lvlJc w:val="left"/>
      <w:lvlText w:val="%1."/>
      <w:numFmt w:val="decimal"/>
      <w:start w:val="11"/>
    </w:lvl>
  </w:abstractNum>
  <w:abstractNum w:abstractNumId="397">
    <w:nsid w:val="532C34A5"/>
    <w:multiLevelType w:val="hybridMultilevel"/>
    <w:lvl w:ilvl="0">
      <w:lvlJc w:val="left"/>
      <w:lvlText w:val="%1."/>
      <w:numFmt w:val="decimal"/>
      <w:start w:val="17"/>
    </w:lvl>
    <w:lvl w:ilvl="1">
      <w:lvlJc w:val="left"/>
      <w:lvlText w:val="%2)"/>
      <w:numFmt w:val="lowerLetter"/>
      <w:start w:val="1"/>
    </w:lvl>
  </w:abstractNum>
  <w:abstractNum w:abstractNumId="398">
    <w:nsid w:val="102809E2"/>
    <w:multiLevelType w:val="hybridMultilevel"/>
    <w:lvl w:ilvl="0">
      <w:lvlJc w:val="left"/>
      <w:lvlText w:val="%1."/>
      <w:numFmt w:val="decimal"/>
      <w:start w:val="18"/>
    </w:lvl>
    <w:lvl w:ilvl="1">
      <w:lvlJc w:val="left"/>
      <w:lvlText w:val="%2)"/>
      <w:numFmt w:val="lowerLetter"/>
      <w:start w:val="1"/>
    </w:lvl>
  </w:abstractNum>
  <w:abstractNum w:abstractNumId="399">
    <w:nsid w:val="3B2125A3"/>
    <w:multiLevelType w:val="hybridMultilevel"/>
    <w:lvl w:ilvl="0">
      <w:lvlJc w:val="left"/>
      <w:lvlText w:val="%1."/>
      <w:numFmt w:val="decimal"/>
      <w:start w:val="20"/>
    </w:lvl>
  </w:abstractNum>
  <w:abstractNum w:abstractNumId="400">
    <w:nsid w:val="AC68FFB"/>
    <w:multiLevelType w:val="hybridMultilevel"/>
    <w:lvl w:ilvl="0">
      <w:lvlJc w:val="left"/>
      <w:lvlText w:val="%1."/>
      <w:numFmt w:val="decimal"/>
      <w:start w:val="23"/>
    </w:lvl>
  </w:abstractNum>
  <w:abstractNum w:abstractNumId="401">
    <w:nsid w:val="63DF3FB7"/>
    <w:multiLevelType w:val="hybridMultilevel"/>
    <w:lvl w:ilvl="0">
      <w:lvlJc w:val="left"/>
      <w:lvlText w:val="%1."/>
      <w:numFmt w:val="decimal"/>
      <w:start w:val="1"/>
    </w:lvl>
  </w:abstractNum>
  <w:abstractNum w:abstractNumId="402">
    <w:nsid w:val="64996E13"/>
    <w:multiLevelType w:val="hybridMultilevel"/>
    <w:lvl w:ilvl="0">
      <w:lvlJc w:val="left"/>
      <w:lvlText w:val="%1."/>
      <w:numFmt w:val="decimal"/>
      <w:start w:val="5"/>
    </w:lvl>
    <w:lvl w:ilvl="1">
      <w:lvlJc w:val="left"/>
      <w:lvlText w:val="%2)"/>
      <w:numFmt w:val="lowerLetter"/>
      <w:start w:val="1"/>
    </w:lvl>
  </w:abstractNum>
  <w:abstractNum w:abstractNumId="403">
    <w:nsid w:val="57A37D47"/>
    <w:multiLevelType w:val="hybridMultilevel"/>
    <w:lvl w:ilvl="0">
      <w:lvlJc w:val="left"/>
      <w:lvlText w:val="%1."/>
      <w:numFmt w:val="decimal"/>
      <w:start w:val="9"/>
    </w:lvl>
  </w:abstractNum>
  <w:abstractNum w:abstractNumId="404">
    <w:nsid w:val="74824D54"/>
    <w:multiLevelType w:val="hybridMultilevel"/>
    <w:lvl w:ilvl="0">
      <w:lvlJc w:val="left"/>
      <w:lvlText w:val="%1."/>
      <w:numFmt w:val="decimal"/>
      <w:start w:val="1"/>
    </w:lvl>
  </w:abstractNum>
  <w:abstractNum w:abstractNumId="405">
    <w:nsid w:val="6F00529A"/>
    <w:multiLevelType w:val="hybridMultilevel"/>
    <w:lvl w:ilvl="0">
      <w:lvlJc w:val="left"/>
      <w:lvlText w:val="%1."/>
      <w:numFmt w:val="decimal"/>
      <w:start w:val="1"/>
    </w:lvl>
  </w:abstractNum>
  <w:abstractNum w:abstractNumId="406">
    <w:nsid w:val="805B331"/>
    <w:multiLevelType w:val="hybridMultilevel"/>
    <w:lvl w:ilvl="0">
      <w:lvlJc w:val="left"/>
      <w:lvlText w:val="%1."/>
      <w:numFmt w:val="decimal"/>
      <w:start w:val="2"/>
    </w:lvl>
  </w:abstractNum>
  <w:abstractNum w:abstractNumId="407">
    <w:nsid w:val="60A1463"/>
    <w:multiLevelType w:val="hybridMultilevel"/>
    <w:lvl w:ilvl="0">
      <w:lvlJc w:val="left"/>
      <w:lvlText w:val="%1."/>
      <w:numFmt w:val="decimal"/>
      <w:start w:val="3"/>
    </w:lvl>
  </w:abstractNum>
  <w:abstractNum w:abstractNumId="408">
    <w:nsid w:val="43773132"/>
    <w:multiLevelType w:val="hybridMultilevel"/>
    <w:lvl w:ilvl="0">
      <w:lvlJc w:val="left"/>
      <w:lvlText w:val="%1)"/>
      <w:numFmt w:val="lowerLetter"/>
      <w:start w:val="1"/>
    </w:lvl>
  </w:abstractNum>
  <w:abstractNum w:abstractNumId="409">
    <w:nsid w:val="16AC4B23"/>
    <w:multiLevelType w:val="hybridMultilevel"/>
    <w:lvl w:ilvl="0">
      <w:lvlJc w:val="left"/>
      <w:lvlText w:val="%1."/>
      <w:numFmt w:val="decimal"/>
      <w:start w:val="4"/>
    </w:lvl>
  </w:abstractNum>
  <w:abstractNum w:abstractNumId="410">
    <w:nsid w:val="76C44E4E"/>
    <w:multiLevelType w:val="hybridMultilevel"/>
    <w:lvl w:ilvl="0">
      <w:lvlJc w:val="left"/>
      <w:lvlText w:val="%1."/>
      <w:numFmt w:val="decimal"/>
      <w:start w:val="5"/>
    </w:lvl>
  </w:abstractNum>
  <w:abstractNum w:abstractNumId="411">
    <w:nsid w:val="E04E6CE"/>
    <w:multiLevelType w:val="hybridMultilevel"/>
    <w:lvl w:ilvl="0">
      <w:lvlJc w:val="left"/>
      <w:lvlText w:val="%1)"/>
      <w:numFmt w:val="lowerLetter"/>
      <w:start w:val="1"/>
    </w:lvl>
  </w:abstractNum>
  <w:abstractNum w:abstractNumId="412">
    <w:nsid w:val="31A9DB76"/>
    <w:multiLevelType w:val="hybridMultilevel"/>
    <w:lvl w:ilvl="0">
      <w:lvlJc w:val="left"/>
      <w:lvlText w:val="%1)"/>
      <w:numFmt w:val="lowerLetter"/>
      <w:start w:val="1"/>
    </w:lvl>
  </w:abstractNum>
  <w:abstractNum w:abstractNumId="413">
    <w:nsid w:val="4C4FFF5B"/>
    <w:multiLevelType w:val="hybridMultilevel"/>
    <w:lvl w:ilvl="0">
      <w:lvlJc w:val="left"/>
      <w:lvlText w:val="%1)"/>
      <w:numFmt w:val="lowerLetter"/>
      <w:start w:val="1"/>
    </w:lvl>
  </w:abstractNum>
  <w:abstractNum w:abstractNumId="414">
    <w:nsid w:val="51B76675"/>
    <w:multiLevelType w:val="hybridMultilevel"/>
    <w:lvl w:ilvl="0">
      <w:lvlJc w:val="left"/>
      <w:lvlText w:val="%1)"/>
      <w:numFmt w:val="lowerLetter"/>
      <w:start w:val="5"/>
    </w:lvl>
  </w:abstractNum>
  <w:abstractNum w:abstractNumId="415">
    <w:nsid w:val="59A4BA71"/>
    <w:multiLevelType w:val="hybridMultilevel"/>
    <w:lvl w:ilvl="0">
      <w:lvlJc w:val="left"/>
      <w:lvlText w:val="%1."/>
      <w:numFmt w:val="decimal"/>
      <w:start w:val="6"/>
    </w:lvl>
    <w:lvl w:ilvl="1">
      <w:lvlJc w:val="left"/>
      <w:lvlText w:val="%2)"/>
      <w:numFmt w:val="lowerLetter"/>
      <w:start w:val="1"/>
    </w:lvl>
  </w:abstractNum>
  <w:abstractNum w:abstractNumId="416">
    <w:nsid w:val="450B7FB6"/>
    <w:multiLevelType w:val="hybridMultilevel"/>
    <w:lvl w:ilvl="0">
      <w:lvlJc w:val="left"/>
      <w:lvlText w:val="%1."/>
      <w:numFmt w:val="decimal"/>
      <w:start w:val="7"/>
    </w:lvl>
  </w:abstractNum>
  <w:abstractNum w:abstractNumId="417">
    <w:nsid w:val="340BF64D"/>
    <w:multiLevelType w:val="hybridMultilevel"/>
    <w:lvl w:ilvl="0">
      <w:lvlJc w:val="left"/>
      <w:lvlText w:val="%1."/>
      <w:numFmt w:val="decimal"/>
      <w:start w:val="8"/>
    </w:lvl>
  </w:abstractNum>
  <w:abstractNum w:abstractNumId="418">
    <w:nsid w:val="69454021"/>
    <w:multiLevelType w:val="hybridMultilevel"/>
    <w:lvl w:ilvl="0">
      <w:lvlJc w:val="left"/>
      <w:lvlText w:val="%1)"/>
      <w:numFmt w:val="lowerLetter"/>
      <w:start w:val="1"/>
    </w:lvl>
  </w:abstractNum>
  <w:abstractNum w:abstractNumId="419">
    <w:nsid w:val="49F15C6B"/>
    <w:multiLevelType w:val="hybridMultilevel"/>
    <w:lvl w:ilvl="0">
      <w:lvlJc w:val="left"/>
      <w:lvlText w:val="%1)"/>
      <w:numFmt w:val="lowerLetter"/>
      <w:start w:val="1"/>
    </w:lvl>
  </w:abstractNum>
  <w:abstractNum w:abstractNumId="420">
    <w:nsid w:val="75F56228"/>
    <w:multiLevelType w:val="hybridMultilevel"/>
    <w:lvl w:ilvl="0">
      <w:lvlJc w:val="left"/>
      <w:lvlText w:val="%1."/>
      <w:numFmt w:val="decimal"/>
      <w:start w:val="9"/>
    </w:lvl>
  </w:abstractNum>
  <w:abstractNum w:abstractNumId="421">
    <w:nsid w:val="1C618271"/>
    <w:multiLevelType w:val="hybridMultilevel"/>
    <w:lvl w:ilvl="0">
      <w:lvlJc w:val="left"/>
      <w:lvlText w:val="%1)"/>
      <w:numFmt w:val="lowerLetter"/>
      <w:start w:val="1"/>
    </w:lvl>
  </w:abstractNum>
  <w:abstractNum w:abstractNumId="422">
    <w:nsid w:val="6505F02E"/>
    <w:multiLevelType w:val="hybridMultilevel"/>
    <w:lvl w:ilvl="0">
      <w:lvlJc w:val="left"/>
      <w:lvlText w:val="%1."/>
      <w:numFmt w:val="decimal"/>
      <w:start w:val="10"/>
    </w:lvl>
  </w:abstractNum>
  <w:abstractNum w:abstractNumId="423">
    <w:nsid w:val="2FE5D025"/>
    <w:multiLevelType w:val="hybridMultilevel"/>
    <w:lvl w:ilvl="0">
      <w:lvlJc w:val="left"/>
      <w:lvlText w:val="%1."/>
      <w:numFmt w:val="decimal"/>
      <w:start w:val="11"/>
    </w:lvl>
  </w:abstractNum>
  <w:abstractNum w:abstractNumId="424">
    <w:nsid w:val="30E1B1CF"/>
    <w:multiLevelType w:val="hybridMultilevel"/>
    <w:lvl w:ilvl="0">
      <w:lvlJc w:val="left"/>
      <w:lvlText w:val="%1."/>
      <w:numFmt w:val="decimal"/>
      <w:start w:val="1"/>
    </w:lvl>
  </w:abstractNum>
  <w:abstractNum w:abstractNumId="425">
    <w:nsid w:val="C7A9237"/>
    <w:multiLevelType w:val="hybridMultilevel"/>
    <w:lvl w:ilvl="0">
      <w:lvlJc w:val="left"/>
      <w:lvlText w:val="%1."/>
      <w:numFmt w:val="decimal"/>
      <w:start w:val="2"/>
    </w:lvl>
  </w:abstractNum>
  <w:abstractNum w:abstractNumId="426">
    <w:nsid w:val="676B3580"/>
    <w:multiLevelType w:val="hybridMultilevel"/>
    <w:lvl w:ilvl="0">
      <w:lvlJc w:val="left"/>
      <w:lvlText w:val="%1."/>
      <w:numFmt w:val="decimal"/>
      <w:start w:val="3"/>
    </w:lvl>
  </w:abstractNum>
  <w:abstractNum w:abstractNumId="427">
    <w:nsid w:val="3193C8F9"/>
    <w:multiLevelType w:val="hybridMultilevel"/>
    <w:lvl w:ilvl="0">
      <w:lvlJc w:val="left"/>
      <w:lvlText w:val="☐"/>
      <w:numFmt w:val="bullet"/>
      <w:start w:val="1"/>
    </w:lvl>
  </w:abstractNum>
  <w:abstractNum w:abstractNumId="428">
    <w:nsid w:val="5FA6C6DC"/>
    <w:multiLevelType w:val="hybridMultilevel"/>
    <w:lvl w:ilvl="0">
      <w:lvlJc w:val="left"/>
      <w:lvlText w:val="(%1)"/>
      <w:numFmt w:val="lowerRoman"/>
      <w:start w:val="1"/>
    </w:lvl>
  </w:abstractNum>
  <w:abstractNum w:abstractNumId="429">
    <w:nsid w:val="77933F6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430">
    <w:nsid w:val="6CB4EE9C"/>
    <w:multiLevelType w:val="hybridMultilevel"/>
    <w:lvl w:ilvl="0">
      <w:lvlJc w:val="left"/>
      <w:lvlText w:val="%1."/>
      <w:numFmt w:val="lowerLetter"/>
      <w:start w:val="35"/>
    </w:lvl>
    <w:lvl w:ilvl="1">
      <w:lvlJc w:val="left"/>
      <w:lvlText w:val="%2."/>
      <w:numFmt w:val="lowerLetter"/>
      <w:start w:val="1"/>
    </w:lvl>
  </w:abstractNum>
  <w:abstractNum w:abstractNumId="431">
    <w:nsid w:val="6A6D56D7"/>
    <w:multiLevelType w:val="hybridMultilevel"/>
    <w:lvl w:ilvl="0">
      <w:lvlJc w:val="left"/>
      <w:lvlText w:val="%1."/>
      <w:numFmt w:val="decimal"/>
      <w:start w:val="6"/>
    </w:lvl>
  </w:abstractNum>
  <w:abstractNum w:abstractNumId="432">
    <w:nsid w:val="5B727F19"/>
    <w:multiLevelType w:val="hybridMultilevel"/>
    <w:lvl w:ilvl="0">
      <w:lvlJc w:val="left"/>
      <w:lvlText w:val="(%1)"/>
      <w:numFmt w:val="lowerLetter"/>
      <w:start w:val="1"/>
    </w:lvl>
    <w:lvl w:ilvl="1">
      <w:lvlJc w:val="left"/>
      <w:lvlText w:val="(%2)"/>
      <w:numFmt w:val="lowerLetter"/>
      <w:start w:val="5"/>
    </w:lvl>
  </w:abstractNum>
  <w:abstractNum w:abstractNumId="433">
    <w:nsid w:val="514E5CB0"/>
    <w:multiLevelType w:val="hybridMultilevel"/>
    <w:lvl w:ilvl="0">
      <w:lvlJc w:val="left"/>
      <w:lvlText w:val="1"/>
      <w:numFmt w:val="bullet"/>
      <w:start w:val="1"/>
    </w:lvl>
    <w:lvl w:ilvl="1">
      <w:lvlJc w:val="left"/>
      <w:lvlText w:val="(%2)"/>
      <w:numFmt w:val="lowerLetter"/>
      <w:start w:val="1"/>
    </w:lvl>
  </w:abstractNum>
  <w:abstractNum w:abstractNumId="434">
    <w:nsid w:val="4210D41E"/>
    <w:multiLevelType w:val="hybridMultilevel"/>
    <w:lvl w:ilvl="0">
      <w:lvlJc w:val="left"/>
      <w:lvlText w:val="(%1)"/>
      <w:numFmt w:val="decimal"/>
      <w:start w:val="2"/>
    </w:lvl>
    <w:lvl w:ilvl="1">
      <w:lvlJc w:val="left"/>
      <w:lvlText w:val="•"/>
      <w:numFmt w:val="bullet"/>
      <w:start w:val="1"/>
    </w:lvl>
  </w:abstractNum>
  <w:abstractNum w:abstractNumId="435">
    <w:nsid w:val="4FF4CC6D"/>
    <w:multiLevelType w:val="hybridMultilevel"/>
    <w:lvl w:ilvl="0">
      <w:lvlJc w:val="left"/>
      <w:lvlText w:val="2"/>
      <w:numFmt w:val="bullet"/>
      <w:start w:val="1"/>
    </w:lvl>
    <w:lvl w:ilvl="1">
      <w:lvlJc w:val="left"/>
      <w:lvlText w:val="•"/>
      <w:numFmt w:val="bullet"/>
      <w:start w:val="1"/>
    </w:lvl>
  </w:abstractNum>
  <w:abstractNum w:abstractNumId="436">
    <w:nsid w:val="404EAF4A"/>
    <w:multiLevelType w:val="hybridMultilevel"/>
    <w:lvl w:ilvl="0">
      <w:lvlJc w:val="left"/>
      <w:lvlText w:val="%1)"/>
      <w:numFmt w:val="lowerLetter"/>
      <w:start w:val="1"/>
    </w:lvl>
  </w:abstractNum>
  <w:abstractNum w:abstractNumId="437">
    <w:nsid w:val="4A16874F"/>
    <w:multiLevelType w:val="hybridMultilevel"/>
    <w:lvl w:ilvl="0">
      <w:lvlJc w:val="left"/>
      <w:lvlText w:val="%1)"/>
      <w:numFmt w:val="lowerLetter"/>
      <w:start w:val="7"/>
    </w:lvl>
  </w:abstractNum>
  <w:abstractNum w:abstractNumId="438">
    <w:nsid w:val="55FEE0D1"/>
    <w:multiLevelType w:val="hybridMultilevel"/>
    <w:lvl w:ilvl="0">
      <w:lvlJc w:val="left"/>
      <w:lvlText w:val="%1)"/>
      <w:numFmt w:val="lowerLetter"/>
      <w:start w:val="10"/>
    </w:lvl>
  </w:abstractNum>
  <w:abstractNum w:abstractNumId="439">
    <w:nsid w:val="3C5E07C"/>
    <w:multiLevelType w:val="hybridMultilevel"/>
    <w:lvl w:ilvl="0">
      <w:lvlJc w:val="left"/>
      <w:lvlText w:val="%1."/>
      <w:numFmt w:val="decimal"/>
      <w:start w:val="1"/>
    </w:lvl>
  </w:abstractNum>
  <w:abstractNum w:abstractNumId="440">
    <w:nsid w:val="60C2D273"/>
    <w:multiLevelType w:val="hybridMultilevel"/>
    <w:lvl w:ilvl="0">
      <w:lvlJc w:val="left"/>
      <w:lvlText w:val="%1."/>
      <w:numFmt w:val="decimal"/>
      <w:start w:val="4"/>
    </w:lvl>
  </w:abstractNum>
  <w:abstractNum w:abstractNumId="441">
    <w:nsid w:val="4CC32F1F"/>
    <w:multiLevelType w:val="hybridMultilevel"/>
    <w:lvl w:ilvl="0">
      <w:lvlJc w:val="left"/>
      <w:lvlText w:val="%1."/>
      <w:numFmt w:val="decimal"/>
      <w:start w:val="8"/>
    </w:lvl>
  </w:abstractNum>
  <w:abstractNum w:abstractNumId="442">
    <w:nsid w:val="11CAC74A"/>
    <w:multiLevelType w:val="hybridMultilevel"/>
    <w:lvl w:ilvl="0">
      <w:lvlJc w:val="left"/>
      <w:lvlText w:val="%1."/>
      <w:numFmt w:val="decimal"/>
      <w:start w:val="11"/>
    </w:lvl>
  </w:abstractNum>
  <w:abstractNum w:abstractNumId="443">
    <w:nsid w:val="126CADE9"/>
    <w:multiLevelType w:val="hybridMultilevel"/>
    <w:lvl w:ilvl="0">
      <w:lvlJc w:val="left"/>
      <w:lvlText w:val="%1."/>
      <w:numFmt w:val="decimal"/>
      <w:start w:val="17"/>
    </w:lvl>
    <w:lvl w:ilvl="1">
      <w:lvlJc w:val="left"/>
      <w:lvlText w:val="%2)"/>
      <w:numFmt w:val="lowerLetter"/>
      <w:start w:val="1"/>
    </w:lvl>
  </w:abstractNum>
  <w:abstractNum w:abstractNumId="444">
    <w:nsid w:val="19132E7B"/>
    <w:multiLevelType w:val="hybridMultilevel"/>
    <w:lvl w:ilvl="0">
      <w:lvlJc w:val="left"/>
      <w:lvlText w:val="%1."/>
      <w:numFmt w:val="decimal"/>
      <w:start w:val="18"/>
    </w:lvl>
    <w:lvl w:ilvl="1">
      <w:lvlJc w:val="left"/>
      <w:lvlText w:val="%2)"/>
      <w:numFmt w:val="lowerLetter"/>
      <w:start w:val="1"/>
    </w:lvl>
  </w:abstractNum>
  <w:abstractNum w:abstractNumId="445">
    <w:nsid w:val="63822DC0"/>
    <w:multiLevelType w:val="hybridMultilevel"/>
    <w:lvl w:ilvl="0">
      <w:lvlJc w:val="left"/>
      <w:lvlText w:val="%1."/>
      <w:numFmt w:val="decimal"/>
      <w:start w:val="20"/>
    </w:lvl>
  </w:abstractNum>
  <w:abstractNum w:abstractNumId="446">
    <w:nsid w:val="6C11685A"/>
    <w:multiLevelType w:val="hybridMultilevel"/>
    <w:lvl w:ilvl="0">
      <w:lvlJc w:val="left"/>
      <w:lvlText w:val="%1."/>
      <w:numFmt w:val="decimal"/>
      <w:start w:val="23"/>
    </w:lvl>
  </w:abstractNum>
  <w:abstractNum w:abstractNumId="447">
    <w:nsid w:val="5E1EAE31"/>
    <w:multiLevelType w:val="hybridMultilevel"/>
    <w:lvl w:ilvl="0">
      <w:lvlJc w:val="left"/>
      <w:lvlText w:val="%1."/>
      <w:numFmt w:val="decimal"/>
      <w:start w:val="1"/>
    </w:lvl>
  </w:abstractNum>
  <w:abstractNum w:abstractNumId="448">
    <w:nsid w:val="178E240D"/>
    <w:multiLevelType w:val="hybridMultilevel"/>
    <w:lvl w:ilvl="0">
      <w:lvlJc w:val="left"/>
      <w:lvlText w:val="%1."/>
      <w:numFmt w:val="decimal"/>
      <w:start w:val="5"/>
    </w:lvl>
    <w:lvl w:ilvl="1">
      <w:lvlJc w:val="left"/>
      <w:lvlText w:val="%2)"/>
      <w:numFmt w:val="lowerLetter"/>
      <w:start w:val="1"/>
    </w:lvl>
  </w:abstractNum>
  <w:abstractNum w:abstractNumId="449">
    <w:nsid w:val="5556A87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jpe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2019-12-09T05:24:59Z</dcterms:created>
  <dcterms:modified xsi:type="dcterms:W3CDTF">2019-12-09T05:24:59Z</dcterms:modified>
</cp:coreProperties>
</file>