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Amendment No. 2</w:t>
      </w:r>
    </w:p>
    <w:p>
      <w:pPr>
        <w:ind w:left="6"/>
        <w:spacing w:after="0" w:line="238" w:lineRule="auto"/>
        <w:rPr>
          <w:sz w:val="20"/>
          <w:szCs w:val="20"/>
          <w:color w:val="auto"/>
        </w:rPr>
      </w:pPr>
      <w:r>
        <w:rPr>
          <w:rFonts w:ascii="Courier New" w:cs="Courier New" w:eastAsia="Courier New" w:hAnsi="Courier New"/>
          <w:sz w:val="19"/>
          <w:szCs w:val="19"/>
          <w:color w:val="auto"/>
        </w:rPr>
        <w:t>AC IMMUNE SA</w:t>
      </w:r>
    </w:p>
    <w:p>
      <w:pPr>
        <w:ind w:left="6"/>
        <w:spacing w:after="0"/>
        <w:rPr>
          <w:sz w:val="20"/>
          <w:szCs w:val="20"/>
          <w:color w:val="auto"/>
        </w:rPr>
      </w:pPr>
      <w:r>
        <w:rPr>
          <w:rFonts w:ascii="Courier New" w:cs="Courier New" w:eastAsia="Courier New" w:hAnsi="Courier New"/>
          <w:sz w:val="19"/>
          <w:szCs w:val="19"/>
          <w:color w:val="auto"/>
        </w:rPr>
        <w:t>COMMON STOCK</w:t>
      </w:r>
    </w:p>
    <w:p>
      <w:pPr>
        <w:ind w:left="6"/>
        <w:spacing w:after="0" w:line="237" w:lineRule="auto"/>
        <w:rPr>
          <w:sz w:val="20"/>
          <w:szCs w:val="20"/>
          <w:color w:val="auto"/>
        </w:rPr>
      </w:pPr>
      <w:r>
        <w:rPr>
          <w:rFonts w:ascii="Courier New" w:cs="Courier New" w:eastAsia="Courier New" w:hAnsi="Courier New"/>
          <w:sz w:val="19"/>
          <w:szCs w:val="19"/>
          <w:color w:val="auto"/>
        </w:rPr>
        <w:t>Cusip #H00263105</w:t>
      </w:r>
    </w:p>
    <w:p>
      <w:pPr>
        <w:ind w:left="6"/>
        <w:spacing w:after="0"/>
        <w:rPr>
          <w:sz w:val="20"/>
          <w:szCs w:val="20"/>
          <w:color w:val="auto"/>
        </w:rPr>
      </w:pPr>
      <w:r>
        <w:rPr>
          <w:rFonts w:ascii="Courier New" w:cs="Courier New" w:eastAsia="Courier New" w:hAnsi="Courier New"/>
          <w:sz w:val="19"/>
          <w:szCs w:val="19"/>
          <w:color w:val="auto"/>
        </w:rPr>
        <w:t>Check the appropriate box to designate the rule pursuant to which this</w:t>
      </w:r>
    </w:p>
    <w:p>
      <w:pPr>
        <w:ind w:left="6"/>
        <w:spacing w:after="0" w:line="237" w:lineRule="auto"/>
        <w:rPr>
          <w:sz w:val="20"/>
          <w:szCs w:val="20"/>
          <w:color w:val="auto"/>
        </w:rPr>
      </w:pPr>
      <w:r>
        <w:rPr>
          <w:rFonts w:ascii="Courier New" w:cs="Courier New" w:eastAsia="Courier New" w:hAnsi="Courier New"/>
          <w:sz w:val="19"/>
          <w:szCs w:val="19"/>
          <w:color w:val="auto"/>
        </w:rPr>
        <w:t>Schedule is filed:</w:t>
      </w:r>
    </w:p>
    <w:p>
      <w:pPr>
        <w:spacing w:after="0" w:line="6" w:lineRule="exact"/>
        <w:rPr>
          <w:sz w:val="24"/>
          <w:szCs w:val="24"/>
          <w:color w:val="auto"/>
        </w:rPr>
      </w:pPr>
    </w:p>
    <w:p>
      <w:pPr>
        <w:jc w:val="both"/>
        <w:ind w:left="6" w:right="8800" w:hanging="6"/>
        <w:spacing w:after="0" w:line="254" w:lineRule="auto"/>
        <w:tabs>
          <w:tab w:leader="none" w:pos="4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1"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Cusip #H00263105</w:t>
      </w:r>
    </w:p>
    <w:p>
      <w:pPr>
        <w:ind w:left="6"/>
        <w:spacing w:after="0" w:line="238" w:lineRule="auto"/>
        <w:rPr>
          <w:sz w:val="20"/>
          <w:szCs w:val="20"/>
          <w:color w:val="auto"/>
        </w:rPr>
      </w:pPr>
      <w:r>
        <w:rPr>
          <w:rFonts w:ascii="Courier New" w:cs="Courier New" w:eastAsia="Courier New" w:hAnsi="Courier New"/>
          <w:sz w:val="19"/>
          <w:szCs w:val="19"/>
          <w:color w:val="auto"/>
        </w:rPr>
        <w:t>Item 1: Reporting Person - FMR LLC</w:t>
      </w:r>
    </w:p>
    <w:p>
      <w:pPr>
        <w:ind w:left="6"/>
        <w:spacing w:after="0"/>
        <w:tabs>
          <w:tab w:leader="none" w:pos="1426" w:val="left"/>
        </w:tabs>
        <w:rPr>
          <w:sz w:val="20"/>
          <w:szCs w:val="20"/>
          <w:color w:val="auto"/>
        </w:rPr>
      </w:pPr>
      <w:r>
        <w:rPr>
          <w:rFonts w:ascii="Courier New" w:cs="Courier New" w:eastAsia="Courier New" w:hAnsi="Courier New"/>
          <w:sz w:val="19"/>
          <w:szCs w:val="19"/>
          <w:color w:val="auto"/>
        </w:rPr>
        <w:t>Item 2: (a)</w:t>
      </w:r>
      <w:r>
        <w:rPr>
          <w:sz w:val="20"/>
          <w:szCs w:val="20"/>
          <w:color w:val="auto"/>
        </w:rPr>
        <w:tab/>
      </w:r>
      <w:r>
        <w:rPr>
          <w:rFonts w:ascii="Courier New" w:cs="Courier New" w:eastAsia="Courier New" w:hAnsi="Courier New"/>
          <w:sz w:val="18"/>
          <w:szCs w:val="18"/>
          <w:color w:val="auto"/>
        </w:rPr>
        <w:t>[ ]</w:t>
      </w:r>
    </w:p>
    <w:p>
      <w:pPr>
        <w:spacing w:after="0" w:line="5" w:lineRule="exact"/>
        <w:rPr>
          <w:sz w:val="24"/>
          <w:szCs w:val="24"/>
          <w:color w:val="auto"/>
        </w:rPr>
      </w:pPr>
    </w:p>
    <w:p>
      <w:pPr>
        <w:jc w:val="both"/>
        <w:ind w:left="6" w:right="8900" w:firstLine="884"/>
        <w:spacing w:after="0" w:line="251" w:lineRule="auto"/>
        <w:tabs>
          <w:tab w:leader="none" w:pos="145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Item 4: Delaware Item 5: 215,120 Item 6: 0</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7: 5,612,758</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8: 0</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9: 5,612,758</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11: 8.321%</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12: HC</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Cusip #H00263105</w:t>
      </w:r>
    </w:p>
    <w:p>
      <w:pPr>
        <w:ind w:left="6"/>
        <w:spacing w:after="0" w:line="238" w:lineRule="auto"/>
        <w:rPr>
          <w:sz w:val="20"/>
          <w:szCs w:val="20"/>
          <w:color w:val="auto"/>
        </w:rPr>
      </w:pPr>
      <w:r>
        <w:rPr>
          <w:rFonts w:ascii="Courier New" w:cs="Courier New" w:eastAsia="Courier New" w:hAnsi="Courier New"/>
          <w:sz w:val="19"/>
          <w:szCs w:val="19"/>
          <w:color w:val="auto"/>
        </w:rPr>
        <w:t>Item 1: Reporting Person - Abigail P. Johnson</w:t>
      </w:r>
    </w:p>
    <w:p>
      <w:pPr>
        <w:ind w:left="6"/>
        <w:spacing w:after="0"/>
        <w:tabs>
          <w:tab w:leader="none" w:pos="1426" w:val="left"/>
        </w:tabs>
        <w:rPr>
          <w:sz w:val="20"/>
          <w:szCs w:val="20"/>
          <w:color w:val="auto"/>
        </w:rPr>
      </w:pPr>
      <w:r>
        <w:rPr>
          <w:rFonts w:ascii="Courier New" w:cs="Courier New" w:eastAsia="Courier New" w:hAnsi="Courier New"/>
          <w:sz w:val="19"/>
          <w:szCs w:val="19"/>
          <w:color w:val="auto"/>
        </w:rPr>
        <w:t>Item 2: (a)</w:t>
      </w:r>
      <w:r>
        <w:rPr>
          <w:sz w:val="20"/>
          <w:szCs w:val="20"/>
          <w:color w:val="auto"/>
        </w:rPr>
        <w:tab/>
      </w:r>
      <w:r>
        <w:rPr>
          <w:rFonts w:ascii="Courier New" w:cs="Courier New" w:eastAsia="Courier New" w:hAnsi="Courier New"/>
          <w:sz w:val="18"/>
          <w:szCs w:val="18"/>
          <w:color w:val="auto"/>
        </w:rPr>
        <w:t>[ ]</w:t>
      </w:r>
    </w:p>
    <w:p>
      <w:pPr>
        <w:ind w:left="1446" w:hanging="556"/>
        <w:spacing w:after="0" w:line="237" w:lineRule="auto"/>
        <w:tabs>
          <w:tab w:leader="none" w:pos="1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t>
      </w:r>
    </w:p>
    <w:p>
      <w:pPr>
        <w:ind w:left="6"/>
        <w:spacing w:after="0"/>
        <w:rPr>
          <w:sz w:val="20"/>
          <w:szCs w:val="20"/>
          <w:color w:val="auto"/>
        </w:rPr>
      </w:pPr>
      <w:r>
        <w:rPr>
          <w:rFonts w:ascii="Courier New" w:cs="Courier New" w:eastAsia="Courier New" w:hAnsi="Courier New"/>
          <w:sz w:val="19"/>
          <w:szCs w:val="19"/>
          <w:color w:val="auto"/>
        </w:rPr>
        <w:t>Item 4: United States of America</w:t>
      </w:r>
    </w:p>
    <w:p>
      <w:pPr>
        <w:ind w:left="6"/>
        <w:spacing w:after="0" w:line="237" w:lineRule="auto"/>
        <w:rPr>
          <w:sz w:val="20"/>
          <w:szCs w:val="20"/>
          <w:color w:val="auto"/>
        </w:rPr>
      </w:pPr>
      <w:r>
        <w:rPr>
          <w:rFonts w:ascii="Courier New" w:cs="Courier New" w:eastAsia="Courier New" w:hAnsi="Courier New"/>
          <w:sz w:val="19"/>
          <w:szCs w:val="19"/>
          <w:color w:val="auto"/>
        </w:rPr>
        <w:t>Item 5: 0</w:t>
      </w:r>
    </w:p>
    <w:p>
      <w:pPr>
        <w:ind w:left="6"/>
        <w:spacing w:after="0"/>
        <w:rPr>
          <w:sz w:val="20"/>
          <w:szCs w:val="20"/>
          <w:color w:val="auto"/>
        </w:rPr>
      </w:pPr>
      <w:r>
        <w:rPr>
          <w:rFonts w:ascii="Courier New" w:cs="Courier New" w:eastAsia="Courier New" w:hAnsi="Courier New"/>
          <w:sz w:val="19"/>
          <w:szCs w:val="19"/>
          <w:color w:val="auto"/>
        </w:rPr>
        <w:t>Item 6: 0</w:t>
      </w:r>
    </w:p>
    <w:p>
      <w:pPr>
        <w:ind w:left="6"/>
        <w:spacing w:after="0" w:line="237" w:lineRule="auto"/>
        <w:rPr>
          <w:sz w:val="20"/>
          <w:szCs w:val="20"/>
          <w:color w:val="auto"/>
        </w:rPr>
      </w:pPr>
      <w:r>
        <w:rPr>
          <w:rFonts w:ascii="Courier New" w:cs="Courier New" w:eastAsia="Courier New" w:hAnsi="Courier New"/>
          <w:sz w:val="19"/>
          <w:szCs w:val="19"/>
          <w:color w:val="auto"/>
        </w:rPr>
        <w:t>Item 7: 5,612,758</w:t>
      </w:r>
    </w:p>
    <w:p>
      <w:pPr>
        <w:ind w:left="6"/>
        <w:spacing w:after="0"/>
        <w:rPr>
          <w:sz w:val="20"/>
          <w:szCs w:val="20"/>
          <w:color w:val="auto"/>
        </w:rPr>
      </w:pPr>
      <w:r>
        <w:rPr>
          <w:rFonts w:ascii="Courier New" w:cs="Courier New" w:eastAsia="Courier New" w:hAnsi="Courier New"/>
          <w:sz w:val="19"/>
          <w:szCs w:val="19"/>
          <w:color w:val="auto"/>
        </w:rPr>
        <w:t>Item 8: 0</w:t>
      </w:r>
    </w:p>
    <w:p>
      <w:pPr>
        <w:ind w:left="6"/>
        <w:spacing w:after="0" w:line="237" w:lineRule="auto"/>
        <w:rPr>
          <w:sz w:val="20"/>
          <w:szCs w:val="20"/>
          <w:color w:val="auto"/>
        </w:rPr>
      </w:pPr>
      <w:r>
        <w:rPr>
          <w:rFonts w:ascii="Courier New" w:cs="Courier New" w:eastAsia="Courier New" w:hAnsi="Courier New"/>
          <w:sz w:val="19"/>
          <w:szCs w:val="19"/>
          <w:color w:val="auto"/>
        </w:rPr>
        <w:t>Item 9: 5,612,758</w:t>
      </w:r>
    </w:p>
    <w:p>
      <w:pPr>
        <w:ind w:left="6"/>
        <w:spacing w:after="0"/>
        <w:rPr>
          <w:sz w:val="20"/>
          <w:szCs w:val="20"/>
          <w:color w:val="auto"/>
        </w:rPr>
      </w:pPr>
      <w:r>
        <w:rPr>
          <w:rFonts w:ascii="Courier New" w:cs="Courier New" w:eastAsia="Courier New" w:hAnsi="Courier New"/>
          <w:sz w:val="19"/>
          <w:szCs w:val="19"/>
          <w:color w:val="auto"/>
        </w:rPr>
        <w:t>Item 11: 8.321%</w:t>
      </w:r>
    </w:p>
    <w:p>
      <w:pPr>
        <w:ind w:left="6"/>
        <w:spacing w:after="0" w:line="237" w:lineRule="auto"/>
        <w:rPr>
          <w:sz w:val="20"/>
          <w:szCs w:val="20"/>
          <w:color w:val="auto"/>
        </w:rPr>
      </w:pPr>
      <w:r>
        <w:rPr>
          <w:rFonts w:ascii="Courier New" w:cs="Courier New" w:eastAsia="Courier New" w:hAnsi="Courier New"/>
          <w:sz w:val="19"/>
          <w:szCs w:val="19"/>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1(a). Name of Issuer:</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AC IMMUNE SA</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1(b). Address of Issuer's Principal Executive Offices:</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EPFL INNOVATION PARK, BUILDING B</w:t>
      </w:r>
    </w:p>
    <w:p>
      <w:pPr>
        <w:ind w:left="6"/>
        <w:spacing w:after="0"/>
        <w:tabs>
          <w:tab w:leader="none" w:pos="1766" w:val="left"/>
        </w:tabs>
        <w:rPr>
          <w:sz w:val="20"/>
          <w:szCs w:val="20"/>
          <w:color w:val="auto"/>
        </w:rPr>
      </w:pPr>
      <w:r>
        <w:rPr>
          <w:rFonts w:ascii="Courier New" w:cs="Courier New" w:eastAsia="Courier New" w:hAnsi="Courier New"/>
          <w:sz w:val="19"/>
          <w:szCs w:val="19"/>
          <w:color w:val="auto"/>
        </w:rPr>
        <w:t>1015 LAUSANNE,</w:t>
      </w:r>
      <w:r>
        <w:rPr>
          <w:sz w:val="20"/>
          <w:szCs w:val="20"/>
          <w:color w:val="auto"/>
        </w:rPr>
        <w:tab/>
      </w:r>
      <w:r>
        <w:rPr>
          <w:rFonts w:ascii="Courier New" w:cs="Courier New" w:eastAsia="Courier New" w:hAnsi="Courier New"/>
          <w:sz w:val="18"/>
          <w:szCs w:val="18"/>
          <w:color w:val="auto"/>
        </w:rPr>
        <w:t>V8 00000</w:t>
      </w:r>
    </w:p>
    <w:p>
      <w:pPr>
        <w:ind w:left="6"/>
        <w:spacing w:after="0"/>
        <w:rPr>
          <w:sz w:val="20"/>
          <w:szCs w:val="20"/>
          <w:color w:val="auto"/>
        </w:rPr>
      </w:pPr>
      <w:r>
        <w:rPr>
          <w:rFonts w:ascii="Courier New" w:cs="Courier New" w:eastAsia="Courier New" w:hAnsi="Courier New"/>
          <w:sz w:val="19"/>
          <w:szCs w:val="19"/>
          <w:color w:val="auto"/>
        </w:rPr>
        <w:t>SWITZERLAND</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2(a). Name of Person Filing: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FMR LLC</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2(b). Address or Principal Business Office or, if None, Residence:</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245 Summer Street, Boston, Massachusetts 02210</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2(c). Citizenship:</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2(d). Title of Class of Securities:</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COMMON STOCK</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2(e). CUSIP Number:</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H00263105</w:t>
      </w:r>
    </w:p>
    <w:p>
      <w:pPr>
        <w:spacing w:after="0" w:line="219" w:lineRule="exact"/>
        <w:rPr>
          <w:sz w:val="24"/>
          <w:szCs w:val="24"/>
          <w:color w:val="auto"/>
        </w:rPr>
      </w:pPr>
    </w:p>
    <w:p>
      <w:pPr>
        <w:ind w:left="6" w:right="2000"/>
        <w:spacing w:after="0" w:line="236" w:lineRule="auto"/>
        <w:rPr>
          <w:sz w:val="20"/>
          <w:szCs w:val="20"/>
          <w:color w:val="auto"/>
        </w:rPr>
      </w:pPr>
      <w:r>
        <w:rPr>
          <w:rFonts w:ascii="Courier New" w:cs="Courier New" w:eastAsia="Courier New" w:hAnsi="Courier New"/>
          <w:sz w:val="19"/>
          <w:szCs w:val="19"/>
          <w:color w:val="auto"/>
        </w:rPr>
        <w:t>Item 3. This statement is filed pursuant to Rule 13d-1(b) or 13d-2(b) or (c) and the person filing, FMR LLC, is a parent holding company in accordance with Section 240.13d-1(b)(1)(ii)(G). (Note: See Exhibit A).</w:t>
      </w:r>
    </w:p>
    <w:p>
      <w:pPr>
        <w:sectPr>
          <w:pgSz w:w="12240" w:h="15926" w:orient="portrait"/>
          <w:cols w:equalWidth="0" w:num="1">
            <w:col w:w="10686"/>
          </w:cols>
          <w:pgMar w:left="114" w:top="109" w:right="1440" w:bottom="0" w:gutter="0" w:footer="0" w:header="0"/>
        </w:sectPr>
      </w:pPr>
    </w:p>
    <w:bookmarkStart w:id="1" w:name="page2"/>
    <w:bookmarkEnd w:id="1"/>
    <w:p>
      <w:pPr>
        <w:ind w:left="6"/>
        <w:spacing w:after="0"/>
        <w:rPr>
          <w:sz w:val="20"/>
          <w:szCs w:val="20"/>
          <w:color w:val="auto"/>
        </w:rPr>
      </w:pPr>
      <w:r>
        <w:rPr>
          <w:rFonts w:ascii="Courier New" w:cs="Courier New" w:eastAsia="Courier New" w:hAnsi="Courier New"/>
          <w:sz w:val="19"/>
          <w:szCs w:val="19"/>
          <w:color w:val="auto"/>
        </w:rPr>
        <w:t>Item 4. Ownership</w:t>
      </w:r>
    </w:p>
    <w:p>
      <w:pPr>
        <w:spacing w:after="0" w:line="213" w:lineRule="exact"/>
        <w:rPr>
          <w:sz w:val="20"/>
          <w:szCs w:val="20"/>
          <w:color w:val="auto"/>
        </w:rPr>
      </w:pPr>
    </w:p>
    <w:p>
      <w:pPr>
        <w:ind w:left="446" w:hanging="446"/>
        <w:spacing w:after="0"/>
        <w:tabs>
          <w:tab w:leader="none" w:pos="44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Amount Beneficially Owned: 5,612,758</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8.321%</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Number of shares as to which such person has:</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power to vote or to direct the vote: 215,120</w:t>
      </w:r>
    </w:p>
    <w:p>
      <w:pPr>
        <w:spacing w:after="0" w:line="212"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vote or to direct the vote: 0</w:t>
      </w:r>
    </w:p>
    <w:p>
      <w:pPr>
        <w:spacing w:after="0" w:line="219" w:lineRule="exact"/>
        <w:rPr>
          <w:rFonts w:ascii="Courier New" w:cs="Courier New" w:eastAsia="Courier New" w:hAnsi="Courier New"/>
          <w:sz w:val="19"/>
          <w:szCs w:val="19"/>
          <w:color w:val="auto"/>
        </w:rPr>
      </w:pPr>
    </w:p>
    <w:p>
      <w:pPr>
        <w:ind w:left="6" w:right="2900" w:hanging="6"/>
        <w:spacing w:after="0" w:line="508" w:lineRule="auto"/>
        <w:tabs>
          <w:tab w:leader="none" w:pos="67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5,612,758 (iv) shared power to dispose or to direct the disposition of: 0</w:t>
      </w:r>
    </w:p>
    <w:p>
      <w:pPr>
        <w:spacing w:after="0" w:line="200"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5. Ownership of Five Percent or Less of a Class.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6. Ownership of More than Five Percent on Behalf of Another Person.</w:t>
      </w:r>
    </w:p>
    <w:p>
      <w:pPr>
        <w:spacing w:after="0" w:line="219"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One or more other persons are known to have the right to receive or the power to direct the receipt of dividends from, or the proceeds from the sale of, the COMMON STOCK of AC IMMUNE SA. No one other person's interest in the COMMON STOCK of AC IMMUNE SA is more than five percent of the total outstanding COMMON STOCK.</w:t>
      </w:r>
    </w:p>
    <w:p>
      <w:pPr>
        <w:spacing w:after="0" w:line="221"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Item 7. Identification and Classification of the Subsidiary Which Acquired the Security Being Reported on By the Parent Holding Company.</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See attached Exhibit A.</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8. Identification and Classification of Members of the Group.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9. Notice of Dissolution of Group.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10. Certifications.</w:t>
      </w:r>
    </w:p>
    <w:p>
      <w:pPr>
        <w:spacing w:after="0" w:line="219"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5"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left="6" w:right="200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14"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February 13, 2019</w:t>
      </w:r>
    </w:p>
    <w:p>
      <w:pPr>
        <w:ind w:left="6"/>
        <w:spacing w:after="0" w:line="238" w:lineRule="auto"/>
        <w:rPr>
          <w:sz w:val="20"/>
          <w:szCs w:val="20"/>
          <w:color w:val="auto"/>
        </w:rPr>
      </w:pPr>
      <w:r>
        <w:rPr>
          <w:rFonts w:ascii="Courier New" w:cs="Courier New" w:eastAsia="Courier New" w:hAnsi="Courier New"/>
          <w:sz w:val="19"/>
          <w:szCs w:val="19"/>
          <w:color w:val="auto"/>
        </w:rPr>
        <w:t>Date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 Kevin M. Meagher</w:t>
      </w:r>
    </w:p>
    <w:p>
      <w:pPr>
        <w:ind w:left="6"/>
        <w:spacing w:after="0" w:line="238" w:lineRule="auto"/>
        <w:rPr>
          <w:sz w:val="20"/>
          <w:szCs w:val="20"/>
          <w:color w:val="auto"/>
        </w:rPr>
      </w:pPr>
      <w:r>
        <w:rPr>
          <w:rFonts w:ascii="Courier New" w:cs="Courier New" w:eastAsia="Courier New" w:hAnsi="Courier New"/>
          <w:sz w:val="19"/>
          <w:szCs w:val="19"/>
          <w:color w:val="auto"/>
        </w:rPr>
        <w:t>Signature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Kevin M. Meagher</w:t>
      </w:r>
    </w:p>
    <w:p>
      <w:pPr>
        <w:spacing w:after="0" w:line="5"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34" w:lineRule="exact"/>
        <w:rPr>
          <w:sz w:val="20"/>
          <w:szCs w:val="20"/>
          <w:color w:val="auto"/>
        </w:rPr>
      </w:pPr>
    </w:p>
    <w:p>
      <w:pPr>
        <w:ind w:left="6" w:right="2120" w:hanging="6"/>
        <w:spacing w:after="0" w:line="236" w:lineRule="auto"/>
        <w:tabs>
          <w:tab w:leader="none" w:pos="229"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This power of attorney is incorporated herein by reference to Exhibit 24 to the Schedule 13G filed by FMR LLC on October 9, 2018, accession number: 0000315066-18-002414.</w:t>
      </w:r>
    </w:p>
    <w:p>
      <w:pPr>
        <w:sectPr>
          <w:pgSz w:w="12240" w:h="15840" w:orient="portrait"/>
          <w:cols w:equalWidth="0" w:num="1">
            <w:col w:w="10686"/>
          </w:cols>
          <w:pgMar w:left="114" w:top="209" w:right="1440" w:bottom="0" w:gutter="0" w:footer="0" w:header="0"/>
        </w:sectPr>
      </w:pPr>
    </w:p>
    <w:bookmarkStart w:id="2" w:name="page3"/>
    <w:bookmarkEnd w:id="2"/>
    <w:p>
      <w:pPr>
        <w:ind w:left="6"/>
        <w:spacing w:after="0"/>
        <w:rPr>
          <w:sz w:val="20"/>
          <w:szCs w:val="20"/>
          <w:color w:val="auto"/>
        </w:rPr>
      </w:pPr>
      <w:r>
        <w:rPr>
          <w:rFonts w:ascii="Courier New" w:cs="Courier New" w:eastAsia="Courier New" w:hAnsi="Courier New"/>
          <w:sz w:val="19"/>
          <w:szCs w:val="19"/>
          <w:color w:val="auto"/>
        </w:rPr>
        <w:t>Exhibit A</w:t>
      </w:r>
    </w:p>
    <w:p>
      <w:pPr>
        <w:spacing w:after="0" w:line="200" w:lineRule="exact"/>
        <w:rPr>
          <w:sz w:val="20"/>
          <w:szCs w:val="20"/>
          <w:color w:val="auto"/>
        </w:rPr>
      </w:pPr>
    </w:p>
    <w:p>
      <w:pPr>
        <w:spacing w:after="0" w:line="233" w:lineRule="exact"/>
        <w:rPr>
          <w:sz w:val="20"/>
          <w:szCs w:val="20"/>
          <w:color w:val="auto"/>
        </w:rPr>
      </w:pPr>
    </w:p>
    <w:p>
      <w:pPr>
        <w:ind w:left="6" w:right="2120"/>
        <w:spacing w:after="0" w:line="237" w:lineRule="auto"/>
        <w:rPr>
          <w:sz w:val="20"/>
          <w:szCs w:val="20"/>
          <w:color w:val="auto"/>
        </w:rPr>
      </w:pPr>
      <w:r>
        <w:rPr>
          <w:rFonts w:ascii="Courier New" w:cs="Courier New" w:eastAsia="Courier New" w:hAnsi="Courier New"/>
          <w:sz w:val="19"/>
          <w:szCs w:val="19"/>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13" w:lineRule="exact"/>
        <w:rPr>
          <w:sz w:val="20"/>
          <w:szCs w:val="20"/>
          <w:color w:val="auto"/>
        </w:rPr>
      </w:pPr>
    </w:p>
    <w:p>
      <w:pPr>
        <w:ind w:left="6"/>
        <w:spacing w:after="0"/>
        <w:tabs>
          <w:tab w:leader="none" w:pos="986" w:val="left"/>
        </w:tabs>
        <w:rPr>
          <w:sz w:val="20"/>
          <w:szCs w:val="20"/>
          <w:color w:val="auto"/>
        </w:rPr>
      </w:pPr>
      <w:r>
        <w:rPr>
          <w:rFonts w:ascii="Courier New" w:cs="Courier New" w:eastAsia="Courier New" w:hAnsi="Courier New"/>
          <w:sz w:val="19"/>
          <w:szCs w:val="19"/>
          <w:color w:val="auto"/>
        </w:rPr>
        <w:t>Entity</w:t>
      </w:r>
      <w:r>
        <w:rPr>
          <w:sz w:val="20"/>
          <w:szCs w:val="20"/>
          <w:color w:val="auto"/>
        </w:rPr>
        <w:tab/>
      </w:r>
      <w:r>
        <w:rPr>
          <w:rFonts w:ascii="Courier New" w:cs="Courier New" w:eastAsia="Courier New" w:hAnsi="Courier New"/>
          <w:sz w:val="19"/>
          <w:szCs w:val="19"/>
          <w:color w:val="auto"/>
        </w:rPr>
        <w:t>ITEM 3 Classification</w:t>
      </w:r>
    </w:p>
    <w:p>
      <w:pPr>
        <w:spacing w:after="0" w:line="213" w:lineRule="exact"/>
        <w:rPr>
          <w:sz w:val="20"/>
          <w:szCs w:val="20"/>
          <w:color w:val="auto"/>
        </w:rPr>
      </w:pPr>
    </w:p>
    <w:p>
      <w:pPr>
        <w:ind w:left="6"/>
        <w:spacing w:after="0"/>
        <w:tabs>
          <w:tab w:leader="none" w:pos="1086" w:val="left"/>
        </w:tabs>
        <w:rPr>
          <w:sz w:val="20"/>
          <w:szCs w:val="20"/>
          <w:color w:val="auto"/>
        </w:rPr>
      </w:pPr>
      <w:r>
        <w:rPr>
          <w:rFonts w:ascii="Courier New" w:cs="Courier New" w:eastAsia="Courier New" w:hAnsi="Courier New"/>
          <w:sz w:val="19"/>
          <w:szCs w:val="19"/>
          <w:color w:val="auto"/>
        </w:rPr>
        <w:t>FIAM LLC</w:t>
      </w:r>
      <w:r>
        <w:rPr>
          <w:sz w:val="20"/>
          <w:szCs w:val="20"/>
          <w:color w:val="auto"/>
        </w:rPr>
        <w:tab/>
      </w:r>
      <w:r>
        <w:rPr>
          <w:rFonts w:ascii="Courier New" w:cs="Courier New" w:eastAsia="Courier New" w:hAnsi="Courier New"/>
          <w:sz w:val="18"/>
          <w:szCs w:val="18"/>
          <w:color w:val="auto"/>
        </w:rPr>
        <w:t>IA</w:t>
      </w:r>
    </w:p>
    <w:p>
      <w:pPr>
        <w:ind w:left="6"/>
        <w:spacing w:after="0"/>
        <w:tabs>
          <w:tab w:leader="none" w:pos="6106" w:val="left"/>
        </w:tabs>
        <w:rPr>
          <w:sz w:val="20"/>
          <w:szCs w:val="20"/>
          <w:color w:val="auto"/>
        </w:rPr>
      </w:pPr>
      <w:r>
        <w:rPr>
          <w:rFonts w:ascii="Courier New" w:cs="Courier New" w:eastAsia="Courier New" w:hAnsi="Courier New"/>
          <w:sz w:val="19"/>
          <w:szCs w:val="19"/>
          <w:color w:val="auto"/>
        </w:rPr>
        <w:t>Fidelity Institutional Asset Management Trust Company</w:t>
      </w:r>
      <w:r>
        <w:rPr>
          <w:sz w:val="20"/>
          <w:szCs w:val="20"/>
          <w:color w:val="auto"/>
        </w:rPr>
        <w:tab/>
      </w:r>
      <w:r>
        <w:rPr>
          <w:rFonts w:ascii="Courier New" w:cs="Courier New" w:eastAsia="Courier New" w:hAnsi="Courier New"/>
          <w:sz w:val="18"/>
          <w:szCs w:val="18"/>
          <w:color w:val="auto"/>
        </w:rPr>
        <w:t>BK</w:t>
      </w:r>
    </w:p>
    <w:p>
      <w:pPr>
        <w:ind w:left="6"/>
        <w:spacing w:after="0"/>
        <w:tabs>
          <w:tab w:leader="none" w:pos="4426" w:val="left"/>
        </w:tabs>
        <w:rPr>
          <w:sz w:val="20"/>
          <w:szCs w:val="20"/>
          <w:color w:val="auto"/>
        </w:rPr>
      </w:pPr>
      <w:r>
        <w:rPr>
          <w:rFonts w:ascii="Courier New" w:cs="Courier New" w:eastAsia="Courier New" w:hAnsi="Courier New"/>
          <w:sz w:val="19"/>
          <w:szCs w:val="19"/>
          <w:color w:val="auto"/>
        </w:rPr>
        <w:t>FIDELITY MANAGEMENT &amp; RESEARCH COMPANY</w:t>
      </w:r>
      <w:r>
        <w:rPr>
          <w:sz w:val="20"/>
          <w:szCs w:val="20"/>
          <w:color w:val="auto"/>
        </w:rPr>
        <w:tab/>
      </w:r>
      <w:r>
        <w:rPr>
          <w:rFonts w:ascii="Courier New" w:cs="Courier New" w:eastAsia="Courier New" w:hAnsi="Courier New"/>
          <w:sz w:val="18"/>
          <w:szCs w:val="18"/>
          <w:color w:val="auto"/>
        </w:rPr>
        <w:t>IA</w:t>
      </w:r>
    </w:p>
    <w:p>
      <w:pPr>
        <w:ind w:left="6"/>
        <w:spacing w:after="0" w:line="237" w:lineRule="auto"/>
        <w:rPr>
          <w:sz w:val="20"/>
          <w:szCs w:val="20"/>
          <w:color w:val="auto"/>
        </w:rPr>
      </w:pPr>
      <w:r>
        <w:rPr>
          <w:rFonts w:ascii="Courier New" w:cs="Courier New" w:eastAsia="Courier New" w:hAnsi="Courier New"/>
          <w:sz w:val="19"/>
          <w:szCs w:val="19"/>
          <w:color w:val="auto"/>
        </w:rPr>
        <w:t>FMR CO., INC * IA</w:t>
      </w:r>
    </w:p>
    <w:p>
      <w:pPr>
        <w:ind w:left="6"/>
        <w:spacing w:after="0"/>
        <w:tabs>
          <w:tab w:leader="none" w:pos="2646" w:val="left"/>
        </w:tabs>
        <w:rPr>
          <w:sz w:val="20"/>
          <w:szCs w:val="20"/>
          <w:color w:val="auto"/>
        </w:rPr>
      </w:pPr>
      <w:r>
        <w:rPr>
          <w:rFonts w:ascii="Courier New" w:cs="Courier New" w:eastAsia="Courier New" w:hAnsi="Courier New"/>
          <w:sz w:val="19"/>
          <w:szCs w:val="19"/>
          <w:color w:val="auto"/>
        </w:rPr>
        <w:t>STRATEGIC ADVISERS LLC</w:t>
      </w:r>
      <w:r>
        <w:rPr>
          <w:sz w:val="20"/>
          <w:szCs w:val="20"/>
          <w:color w:val="auto"/>
        </w:rPr>
        <w:tab/>
      </w: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33" w:lineRule="exact"/>
        <w:rPr>
          <w:sz w:val="20"/>
          <w:szCs w:val="20"/>
          <w:color w:val="auto"/>
        </w:rPr>
      </w:pPr>
    </w:p>
    <w:p>
      <w:pPr>
        <w:ind w:left="6" w:right="2560" w:hanging="6"/>
        <w:spacing w:after="0" w:line="235" w:lineRule="auto"/>
        <w:tabs>
          <w:tab w:leader="none" w:pos="229" w:val="left"/>
        </w:tabs>
        <w:numPr>
          <w:ilvl w:val="0"/>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34"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Abigail P. Johnson is a Director, the Chairman and the Chief Executive Officer of FMR LLC.</w:t>
      </w:r>
    </w:p>
    <w:p>
      <w:pPr>
        <w:spacing w:after="0" w:line="220"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28" w:lineRule="exact"/>
        <w:rPr>
          <w:sz w:val="20"/>
          <w:szCs w:val="20"/>
          <w:color w:val="auto"/>
        </w:rPr>
      </w:pPr>
    </w:p>
    <w:p>
      <w:pPr>
        <w:ind w:left="6" w:right="2240"/>
        <w:spacing w:after="0" w:line="237" w:lineRule="auto"/>
        <w:rPr>
          <w:sz w:val="20"/>
          <w:szCs w:val="20"/>
          <w:color w:val="auto"/>
        </w:rPr>
      </w:pPr>
      <w:r>
        <w:rPr>
          <w:rFonts w:ascii="Courier New" w:cs="Courier New" w:eastAsia="Courier New" w:hAnsi="Courier New"/>
          <w:sz w:val="19"/>
          <w:szCs w:val="19"/>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24"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31"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RULE 13d-1(k)(1) AGREEMENT</w:t>
      </w:r>
    </w:p>
    <w:p>
      <w:pPr>
        <w:spacing w:after="0" w:line="219" w:lineRule="exact"/>
        <w:rPr>
          <w:sz w:val="20"/>
          <w:szCs w:val="20"/>
          <w:color w:val="auto"/>
        </w:rPr>
      </w:pPr>
    </w:p>
    <w:p>
      <w:pPr>
        <w:ind w:left="6" w:right="2000"/>
        <w:spacing w:after="0" w:line="254" w:lineRule="auto"/>
        <w:rPr>
          <w:sz w:val="20"/>
          <w:szCs w:val="20"/>
          <w:color w:val="auto"/>
        </w:rPr>
      </w:pPr>
      <w:r>
        <w:rPr>
          <w:rFonts w:ascii="Courier New" w:cs="Courier New" w:eastAsia="Courier New" w:hAnsi="Courier New"/>
          <w:sz w:val="18"/>
          <w:szCs w:val="18"/>
          <w:color w:val="auto"/>
        </w:rPr>
        <w:t>The undersigned persons, on February 13, 2019, agree and consent to the joint filing on their behalf of this Schedule 13G in connection with their beneficial ownership of the COMMON STOCK of AC IMMUNE SA at December 31, 2018.</w:t>
      </w:r>
    </w:p>
    <w:p>
      <w:pPr>
        <w:spacing w:after="0" w:line="201"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FMR LLC</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By /s/ Kevin M. Meagher</w:t>
      </w:r>
    </w:p>
    <w:p>
      <w:pPr>
        <w:ind w:left="6"/>
        <w:spacing w:after="0" w:line="238" w:lineRule="auto"/>
        <w:rPr>
          <w:sz w:val="20"/>
          <w:szCs w:val="20"/>
          <w:color w:val="auto"/>
        </w:rPr>
      </w:pPr>
      <w:r>
        <w:rPr>
          <w:rFonts w:ascii="Courier New" w:cs="Courier New" w:eastAsia="Courier New" w:hAnsi="Courier New"/>
          <w:sz w:val="19"/>
          <w:szCs w:val="19"/>
          <w:color w:val="auto"/>
        </w:rPr>
        <w:t>Kevin M. Meagher</w:t>
      </w:r>
    </w:p>
    <w:p>
      <w:pPr>
        <w:spacing w:after="0" w:line="6"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28, 2018, by and on behalf of FMR LLC and its direct and indirect subsidiaries*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Abigail P. Johnson</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By /s/ Kevin M. Meagher</w:t>
      </w:r>
    </w:p>
    <w:p>
      <w:pPr>
        <w:ind w:left="6"/>
        <w:spacing w:after="0" w:line="238" w:lineRule="auto"/>
        <w:rPr>
          <w:sz w:val="20"/>
          <w:szCs w:val="20"/>
          <w:color w:val="auto"/>
        </w:rPr>
      </w:pPr>
      <w:r>
        <w:rPr>
          <w:rFonts w:ascii="Courier New" w:cs="Courier New" w:eastAsia="Courier New" w:hAnsi="Courier New"/>
          <w:sz w:val="19"/>
          <w:szCs w:val="19"/>
          <w:color w:val="auto"/>
        </w:rPr>
        <w:t>Kevin M. Meagher</w:t>
      </w:r>
    </w:p>
    <w:p>
      <w:pPr>
        <w:spacing w:after="0" w:line="6"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30, 2018, by and on behalf of Abigail P. Johnson*</w:t>
      </w:r>
    </w:p>
    <w:p>
      <w:pPr>
        <w:sectPr>
          <w:pgSz w:w="12240" w:h="15840" w:orient="portrait"/>
          <w:cols w:equalWidth="0" w:num="1">
            <w:col w:w="10686"/>
          </w:cols>
          <w:pgMar w:left="114" w:top="209" w:right="1440" w:bottom="0" w:gutter="0" w:footer="0" w:header="0"/>
        </w:sectPr>
      </w:pPr>
    </w:p>
    <w:bookmarkStart w:id="3" w:name="page4"/>
    <w:bookmarkEnd w:id="3"/>
    <w:p>
      <w:pPr>
        <w:ind w:left="6" w:right="2120" w:hanging="6"/>
        <w:spacing w:after="0" w:line="236" w:lineRule="auto"/>
        <w:tabs>
          <w:tab w:leader="none" w:pos="229" w:val="left"/>
        </w:tabs>
        <w:numPr>
          <w:ilvl w:val="0"/>
          <w:numId w:val="10"/>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This power of attorney is incorporated herein by reference to Exhibit 24 to the Schedule 13G filed by FMR LLC on October 9, 2018, accession number: 0000315066-18-002414.</w:t>
      </w:r>
    </w:p>
    <w:sectPr>
      <w:pgSz w:w="12240" w:h="15840" w:orient="portrait"/>
      <w:cols w:equalWidth="0" w:num="1">
        <w:col w:w="10686"/>
      </w:cols>
      <w:pgMar w:left="114" w:top="2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10"/>
    </w:lvl>
  </w:abstractNum>
  <w:abstractNum w:abstractNumId="1">
    <w:nsid w:val="507ED7AB"/>
    <w:multiLevelType w:val="hybridMultilevel"/>
    <w:lvl w:ilvl="0">
      <w:lvlJc w:val="left"/>
      <w:lvlText w:val="(%1)"/>
      <w:numFmt w:val="lowerLetter"/>
      <w:start w:val="2"/>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9"/>
    </w:lvl>
  </w:abstractNum>
  <w:abstractNum w:abstractNumId="5">
    <w:nsid w:val="7545E146"/>
    <w:multiLevelType w:val="hybridMultilevel"/>
    <w:lvl w:ilvl="0">
      <w:lvlJc w:val="left"/>
      <w:lvlText w:val="(%1)"/>
      <w:numFmt w:val="lowerLetter"/>
      <w:start w:val="35"/>
    </w:lvl>
  </w:abstractNum>
  <w:abstractNum w:abstractNumId="6">
    <w:nsid w:val="515F007C"/>
    <w:multiLevelType w:val="hybridMultilevel"/>
    <w:lvl w:ilvl="0">
      <w:lvlJc w:val="left"/>
      <w:lvlText w:val="(%1)"/>
      <w:numFmt w:val="lowerLetter"/>
      <w:start w:val="6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2019-12-19T21:23:18Z</dcterms:created>
  <dcterms:modified xsi:type="dcterms:W3CDTF">2019-12-19T21:23:18Z</dcterms:modified>
</cp:coreProperties>
</file>