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147320</wp:posOffset>
            </wp:positionH>
            <wp:positionV relativeFrom="page">
              <wp:posOffset>206375</wp:posOffset>
            </wp:positionV>
            <wp:extent cx="726630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235585</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6-K</w:t>
      </w:r>
    </w:p>
    <w:p>
      <w:pPr>
        <w:spacing w:after="0" w:line="318" w:lineRule="exact"/>
        <w:rPr>
          <w:sz w:val="24"/>
          <w:szCs w:val="24"/>
          <w:color w:val="auto"/>
        </w:rPr>
      </w:pPr>
    </w:p>
    <w:p>
      <w:pPr>
        <w:jc w:val="center"/>
        <w:spacing w:after="0" w:line="26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July,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199390</wp:posOffset>
            </wp:positionV>
            <wp:extent cx="10839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3945" cy="762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 IMMUNE SA</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9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EPFL Innovation Park</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Building B</w:t>
      </w:r>
    </w:p>
    <w:p>
      <w:pPr>
        <w:jc w:val="center"/>
        <w:ind w:right="40"/>
        <w:spacing w:after="0" w:line="238" w:lineRule="auto"/>
        <w:rPr>
          <w:sz w:val="20"/>
          <w:szCs w:val="20"/>
          <w:color w:val="auto"/>
        </w:rPr>
      </w:pPr>
      <w:r>
        <w:rPr>
          <w:rFonts w:ascii="Arial" w:cs="Arial" w:eastAsia="Arial" w:hAnsi="Arial"/>
          <w:sz w:val="22"/>
          <w:szCs w:val="22"/>
          <w:b w:val="1"/>
          <w:bCs w:val="1"/>
          <w:color w:val="auto"/>
        </w:rPr>
        <w:t>1015 Lausanne, Switzerland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97" w:lineRule="exact"/>
        <w:rPr>
          <w:sz w:val="24"/>
          <w:szCs w:val="24"/>
          <w:color w:val="auto"/>
        </w:rPr>
      </w:pPr>
    </w:p>
    <w:p>
      <w:pPr>
        <w:ind w:left="3020"/>
        <w:spacing w:after="0"/>
        <w:tabs>
          <w:tab w:leader="none" w:pos="4480" w:val="left"/>
          <w:tab w:leader="none" w:pos="6300" w:val="left"/>
        </w:tabs>
        <w:rPr>
          <w:sz w:val="20"/>
          <w:szCs w:val="20"/>
          <w:color w:val="auto"/>
        </w:rPr>
      </w:pPr>
      <w:r>
        <w:rPr>
          <w:rFonts w:ascii="Arial" w:cs="Arial" w:eastAsia="Arial" w:hAnsi="Arial"/>
          <w:sz w:val="15"/>
          <w:szCs w:val="15"/>
          <w:color w:val="auto"/>
        </w:rPr>
        <w:t>Form 20-F</w:t>
      </w:r>
      <w:r>
        <w:rPr>
          <w:sz w:val="20"/>
          <w:szCs w:val="20"/>
          <w:color w:val="auto"/>
        </w:rPr>
        <w:tab/>
      </w:r>
      <w:r>
        <w:rPr>
          <w:rFonts w:ascii="Arial" w:cs="Arial" w:eastAsia="Arial" w:hAnsi="Arial"/>
          <w:sz w:val="15"/>
          <w:szCs w:val="15"/>
          <w:color w:val="auto"/>
        </w:rPr>
        <w:t>X</w:t>
      </w:r>
      <w:r>
        <w:rPr>
          <w:sz w:val="20"/>
          <w:szCs w:val="20"/>
          <w:color w:val="auto"/>
        </w:rPr>
        <w:tab/>
      </w:r>
      <w:r>
        <w:rPr>
          <w:rFonts w:ascii="Arial" w:cs="Arial" w:eastAsia="Arial" w:hAnsi="Arial"/>
          <w:sz w:val="14"/>
          <w:szCs w:val="14"/>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14605</wp:posOffset>
            </wp:positionV>
            <wp:extent cx="5130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21590</wp:posOffset>
            </wp:positionV>
            <wp:extent cx="505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101(b)(1):</w:t>
      </w:r>
    </w:p>
    <w:p>
      <w:pPr>
        <w:spacing w:after="0" w:line="197" w:lineRule="exact"/>
        <w:rPr>
          <w:sz w:val="24"/>
          <w:szCs w:val="24"/>
          <w:color w:val="auto"/>
        </w:rPr>
      </w:pPr>
    </w:p>
    <w:p>
      <w:pPr>
        <w:ind w:left="3240"/>
        <w:spacing w:after="0"/>
        <w:tabs>
          <w:tab w:leader="none" w:pos="6520" w:val="left"/>
          <w:tab w:leader="none" w:pos="774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4723765</wp:posOffset>
            </wp:positionH>
            <wp:positionV relativeFrom="paragraph">
              <wp:posOffset>14605</wp:posOffset>
            </wp:positionV>
            <wp:extent cx="505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21590</wp:posOffset>
            </wp:positionV>
            <wp:extent cx="5130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3080" cy="762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101(b)(7):</w:t>
      </w:r>
    </w:p>
    <w:p>
      <w:pPr>
        <w:spacing w:after="0" w:line="197" w:lineRule="exact"/>
        <w:rPr>
          <w:sz w:val="24"/>
          <w:szCs w:val="24"/>
          <w:color w:val="auto"/>
        </w:rPr>
      </w:pPr>
    </w:p>
    <w:p>
      <w:pPr>
        <w:ind w:left="3240"/>
        <w:spacing w:after="0"/>
        <w:tabs>
          <w:tab w:leader="none" w:pos="6520" w:val="left"/>
          <w:tab w:leader="none" w:pos="776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4723765</wp:posOffset>
            </wp:positionH>
            <wp:positionV relativeFrom="paragraph">
              <wp:posOffset>14605</wp:posOffset>
            </wp:positionV>
            <wp:extent cx="5054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21590</wp:posOffset>
            </wp:positionV>
            <wp:extent cx="5130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321945</wp:posOffset>
            </wp:positionV>
            <wp:extent cx="72663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336550</wp:posOffset>
            </wp:positionV>
            <wp:extent cx="726630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22225"/>
                    </a:xfrm>
                    <a:prstGeom prst="rect">
                      <a:avLst/>
                    </a:prstGeom>
                    <a:noFill/>
                  </pic:spPr>
                </pic:pic>
              </a:graphicData>
            </a:graphic>
          </wp:anchor>
        </w:drawing>
      </w:r>
    </w:p>
    <w:p>
      <w:pPr>
        <w:sectPr>
          <w:pgSz w:w="11900" w:h="16838" w:orient="portrait"/>
          <w:cols w:equalWidth="0" w:num="1">
            <w:col w:w="10740"/>
          </w:cols>
          <w:pgMar w:left="580" w:top="662" w:right="57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Annual Ordinary Shareholders’ Meeting Results</w:t>
      </w:r>
    </w:p>
    <w:p>
      <w:pPr>
        <w:spacing w:after="0" w:line="197" w:lineRule="exact"/>
        <w:rPr>
          <w:sz w:val="20"/>
          <w:szCs w:val="20"/>
          <w:color w:val="auto"/>
        </w:rPr>
      </w:pPr>
    </w:p>
    <w:p>
      <w:pPr>
        <w:ind w:right="180" w:firstLine="554"/>
        <w:spacing w:after="0" w:line="275" w:lineRule="auto"/>
        <w:rPr>
          <w:sz w:val="20"/>
          <w:szCs w:val="20"/>
          <w:color w:val="auto"/>
        </w:rPr>
      </w:pPr>
      <w:r>
        <w:rPr>
          <w:rFonts w:ascii="Arial" w:cs="Arial" w:eastAsia="Arial" w:hAnsi="Arial"/>
          <w:sz w:val="15"/>
          <w:szCs w:val="15"/>
          <w:color w:val="auto"/>
        </w:rPr>
        <w:t>On July 6, 2018, AC Immune SA (“</w:t>
      </w:r>
      <w:r>
        <w:rPr>
          <w:rFonts w:ascii="Arial" w:cs="Arial" w:eastAsia="Arial" w:hAnsi="Arial"/>
          <w:sz w:val="15"/>
          <w:szCs w:val="15"/>
          <w:b w:val="1"/>
          <w:bCs w:val="1"/>
          <w:color w:val="auto"/>
        </w:rPr>
        <w:t>AC Immune</w:t>
      </w:r>
      <w:r>
        <w:rPr>
          <w:rFonts w:ascii="Arial" w:cs="Arial" w:eastAsia="Arial" w:hAnsi="Arial"/>
          <w:sz w:val="15"/>
          <w:szCs w:val="15"/>
          <w:color w:val="auto"/>
        </w:rPr>
        <w:t>”) held its annual Ordinary Shareholders’ Meeting. The presentation that was given at the Ordinary Shareholders’ Meeting is attached hereto as Exhibit 99.1 and the press release relating to the results of the Ordinary Shareholders’ Meeting is attached hereto as Exhibit 99.2. The final results of each of the agenda items submitted to a vote of the shareholders are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1: Approval of the Annual Report, Annual Statutory Financial Statements and Financial Statements under IFRS of AC Immune SA for the year 2017</w:t>
      </w:r>
    </w:p>
    <w:p>
      <w:pPr>
        <w:spacing w:after="0" w:line="201" w:lineRule="exact"/>
        <w:rPr>
          <w:sz w:val="20"/>
          <w:szCs w:val="20"/>
          <w:color w:val="auto"/>
        </w:rPr>
      </w:pPr>
    </w:p>
    <w:p>
      <w:pPr>
        <w:ind w:right="340" w:firstLine="554"/>
        <w:spacing w:after="0" w:line="288" w:lineRule="auto"/>
        <w:rPr>
          <w:sz w:val="20"/>
          <w:szCs w:val="20"/>
          <w:color w:val="auto"/>
        </w:rPr>
      </w:pPr>
      <w:r>
        <w:rPr>
          <w:rFonts w:ascii="Arial" w:cs="Arial" w:eastAsia="Arial" w:hAnsi="Arial"/>
          <w:sz w:val="15"/>
          <w:szCs w:val="15"/>
          <w:color w:val="auto"/>
        </w:rPr>
        <w:t>AC Immune shareholders approved the Annual Report, the Annual Statutory Financial Statements and the Financial Statements under IFRS of AC Immune SA for the year 2017, and took note of the Reports of the Auditors.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2: Appropriation of Loss</w:t>
      </w:r>
    </w:p>
    <w:p>
      <w:pPr>
        <w:spacing w:after="0" w:line="201" w:lineRule="exact"/>
        <w:rPr>
          <w:sz w:val="20"/>
          <w:szCs w:val="20"/>
          <w:color w:val="auto"/>
        </w:rPr>
      </w:pPr>
    </w:p>
    <w:p>
      <w:pPr>
        <w:ind w:right="320" w:firstLine="554"/>
        <w:spacing w:after="0" w:line="288" w:lineRule="auto"/>
        <w:rPr>
          <w:sz w:val="20"/>
          <w:szCs w:val="20"/>
          <w:color w:val="auto"/>
        </w:rPr>
      </w:pPr>
      <w:r>
        <w:rPr>
          <w:rFonts w:ascii="Arial" w:cs="Arial" w:eastAsia="Arial" w:hAnsi="Arial"/>
          <w:sz w:val="15"/>
          <w:szCs w:val="15"/>
          <w:color w:val="auto"/>
        </w:rPr>
        <w:t>AC Immune shareholders approved the addition of the net loss for the year 2017 in the amount of KCHF 25,868 to the loss brought forward of KCHF 32,558, resulting in a reduced new balance of loss brought forward of KCHF 58,426.</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3: Discharge of the Members of the Board of Directors and the Executive Committee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 the discharge the Board and the Executive Committee of their liabilities for their activities in the financial year 2017.</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4: Compensation for the Members of the Board of Directors and the Executive Committee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w:t>
      </w:r>
    </w:p>
    <w:p>
      <w:pPr>
        <w:spacing w:after="0" w:line="197" w:lineRule="exact"/>
        <w:rPr>
          <w:sz w:val="20"/>
          <w:szCs w:val="20"/>
          <w:color w:val="auto"/>
        </w:rPr>
      </w:pPr>
    </w:p>
    <w:p>
      <w:pPr>
        <w:ind w:left="1100" w:hanging="277"/>
        <w:spacing w:after="0" w:line="288" w:lineRule="auto"/>
        <w:tabs>
          <w:tab w:leader="none" w:pos="1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The total maximum amount of non-performance-related compensation for the members of the Board of Directors covering the period from 1 July 2018 to 30 June 2019, </w:t>
      </w:r>
      <w:r>
        <w:rPr>
          <w:rFonts w:ascii="Arial" w:cs="Arial" w:eastAsia="Arial" w:hAnsi="Arial"/>
          <w:sz w:val="15"/>
          <w:szCs w:val="15"/>
          <w:i w:val="1"/>
          <w:iCs w:val="1"/>
          <w:color w:val="auto"/>
        </w:rPr>
        <w:t>i</w:t>
      </w:r>
      <w:r>
        <w:rPr>
          <w:rFonts w:ascii="Arial" w:cs="Arial" w:eastAsia="Arial" w:hAnsi="Arial"/>
          <w:sz w:val="15"/>
          <w:szCs w:val="15"/>
          <w:color w:val="auto"/>
        </w:rPr>
        <w:t>.</w:t>
      </w:r>
      <w:r>
        <w:rPr>
          <w:rFonts w:ascii="Arial" w:cs="Arial" w:eastAsia="Arial" w:hAnsi="Arial"/>
          <w:sz w:val="15"/>
          <w:szCs w:val="15"/>
          <w:i w:val="1"/>
          <w:iCs w:val="1"/>
          <w:color w:val="auto"/>
        </w:rPr>
        <w:t>e</w:t>
      </w:r>
      <w:r>
        <w:rPr>
          <w:rFonts w:ascii="Arial" w:cs="Arial" w:eastAsia="Arial" w:hAnsi="Arial"/>
          <w:sz w:val="15"/>
          <w:szCs w:val="15"/>
          <w:color w:val="auto"/>
        </w:rPr>
        <w:t>., CHF 547,000 (cash base compensation plus social security costs);</w:t>
      </w:r>
    </w:p>
    <w:p>
      <w:pPr>
        <w:spacing w:after="0" w:line="139" w:lineRule="exact"/>
        <w:rPr>
          <w:rFonts w:ascii="Arial" w:cs="Arial" w:eastAsia="Arial" w:hAnsi="Arial"/>
          <w:sz w:val="15"/>
          <w:szCs w:val="15"/>
          <w:color w:val="auto"/>
        </w:rPr>
      </w:pPr>
    </w:p>
    <w:p>
      <w:pPr>
        <w:ind w:left="1100" w:right="20" w:hanging="277"/>
        <w:spacing w:after="0" w:line="288" w:lineRule="auto"/>
        <w:tabs>
          <w:tab w:leader="none" w:pos="1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maximum grant of equity or equity linked instruments for the members of the Board of Directors from 1 July 2018 to 30 June 2019 with maximum value of CHF 515,000 (equity or equity linked instruments value plus social security costs);</w:t>
      </w:r>
    </w:p>
    <w:p>
      <w:pPr>
        <w:spacing w:after="0" w:line="139" w:lineRule="exact"/>
        <w:rPr>
          <w:rFonts w:ascii="Arial" w:cs="Arial" w:eastAsia="Arial" w:hAnsi="Arial"/>
          <w:sz w:val="15"/>
          <w:szCs w:val="15"/>
          <w:color w:val="auto"/>
        </w:rPr>
      </w:pPr>
    </w:p>
    <w:p>
      <w:pPr>
        <w:ind w:left="1100" w:right="20" w:hanging="277"/>
        <w:spacing w:after="0" w:line="288" w:lineRule="auto"/>
        <w:tabs>
          <w:tab w:leader="none" w:pos="1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The total maximum amount of non-performance-related cash compensation for the members of the Executive Committee from 1 July 2018 to 30 June 2019, </w:t>
      </w:r>
      <w:r>
        <w:rPr>
          <w:rFonts w:ascii="Arial" w:cs="Arial" w:eastAsia="Arial" w:hAnsi="Arial"/>
          <w:sz w:val="15"/>
          <w:szCs w:val="15"/>
          <w:i w:val="1"/>
          <w:iCs w:val="1"/>
          <w:color w:val="auto"/>
        </w:rPr>
        <w:t>i</w:t>
      </w:r>
      <w:r>
        <w:rPr>
          <w:rFonts w:ascii="Arial" w:cs="Arial" w:eastAsia="Arial" w:hAnsi="Arial"/>
          <w:sz w:val="15"/>
          <w:szCs w:val="15"/>
          <w:color w:val="auto"/>
        </w:rPr>
        <w:t>.</w:t>
      </w:r>
      <w:r>
        <w:rPr>
          <w:rFonts w:ascii="Arial" w:cs="Arial" w:eastAsia="Arial" w:hAnsi="Arial"/>
          <w:sz w:val="15"/>
          <w:szCs w:val="15"/>
          <w:i w:val="1"/>
          <w:iCs w:val="1"/>
          <w:color w:val="auto"/>
        </w:rPr>
        <w:t>e</w:t>
      </w:r>
      <w:r>
        <w:rPr>
          <w:rFonts w:ascii="Arial" w:cs="Arial" w:eastAsia="Arial" w:hAnsi="Arial"/>
          <w:sz w:val="15"/>
          <w:szCs w:val="15"/>
          <w:color w:val="auto"/>
        </w:rPr>
        <w:t>., CHF 1,807,000 (cash base compensation plus social security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7266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 w:name="page3"/>
    <w:bookmarkEnd w:id="2"/>
    <w:p>
      <w:pPr>
        <w:ind w:left="1100" w:right="20" w:hanging="277"/>
        <w:spacing w:after="0" w:line="288" w:lineRule="auto"/>
        <w:tabs>
          <w:tab w:leader="none" w:pos="1100"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The total maximum amount of variable compensation for the members of the Executive Committee for the current year 2018, </w:t>
      </w:r>
      <w:r>
        <w:rPr>
          <w:rFonts w:ascii="Arial" w:cs="Arial" w:eastAsia="Arial" w:hAnsi="Arial"/>
          <w:sz w:val="15"/>
          <w:szCs w:val="15"/>
          <w:i w:val="1"/>
          <w:iCs w:val="1"/>
          <w:color w:val="auto"/>
        </w:rPr>
        <w:t>i</w:t>
      </w:r>
      <w:r>
        <w:rPr>
          <w:rFonts w:ascii="Arial" w:cs="Arial" w:eastAsia="Arial" w:hAnsi="Arial"/>
          <w:sz w:val="15"/>
          <w:szCs w:val="15"/>
          <w:color w:val="auto"/>
        </w:rPr>
        <w:t>.</w:t>
      </w:r>
      <w:r>
        <w:rPr>
          <w:rFonts w:ascii="Arial" w:cs="Arial" w:eastAsia="Arial" w:hAnsi="Arial"/>
          <w:sz w:val="15"/>
          <w:szCs w:val="15"/>
          <w:i w:val="1"/>
          <w:iCs w:val="1"/>
          <w:color w:val="auto"/>
        </w:rPr>
        <w:t>e</w:t>
      </w:r>
      <w:r>
        <w:rPr>
          <w:rFonts w:ascii="Arial" w:cs="Arial" w:eastAsia="Arial" w:hAnsi="Arial"/>
          <w:sz w:val="15"/>
          <w:szCs w:val="15"/>
          <w:color w:val="auto"/>
        </w:rPr>
        <w:t>., CHF 799,000 (cash compensation plus social security costs); and</w:t>
      </w:r>
    </w:p>
    <w:p>
      <w:pPr>
        <w:spacing w:after="0" w:line="139" w:lineRule="exact"/>
        <w:rPr>
          <w:rFonts w:ascii="Arial" w:cs="Arial" w:eastAsia="Arial" w:hAnsi="Arial"/>
          <w:sz w:val="15"/>
          <w:szCs w:val="15"/>
          <w:color w:val="auto"/>
        </w:rPr>
      </w:pPr>
    </w:p>
    <w:p>
      <w:pPr>
        <w:ind w:left="1100" w:hanging="277"/>
        <w:spacing w:after="0" w:line="288" w:lineRule="auto"/>
        <w:tabs>
          <w:tab w:leader="none" w:pos="110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maximum grant of equity or equity linked instruments for the members of the Executive Committee from 1 July 2018 to 30 June 2019 with maximum value of CHF 2,527,000 (equity or equity linked instruments value plus social security costs).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5: Election of the Members of the Board</w:t>
      </w:r>
    </w:p>
    <w:p>
      <w:pPr>
        <w:spacing w:after="0" w:line="201" w:lineRule="exact"/>
        <w:rPr>
          <w:sz w:val="20"/>
          <w:szCs w:val="20"/>
          <w:color w:val="auto"/>
        </w:rPr>
      </w:pPr>
    </w:p>
    <w:p>
      <w:pPr>
        <w:jc w:val="both"/>
        <w:ind w:firstLine="554"/>
        <w:spacing w:after="0" w:line="272" w:lineRule="auto"/>
        <w:rPr>
          <w:sz w:val="20"/>
          <w:szCs w:val="20"/>
          <w:color w:val="auto"/>
        </w:rPr>
      </w:pPr>
      <w:r>
        <w:rPr>
          <w:rFonts w:ascii="Arial" w:cs="Arial" w:eastAsia="Arial" w:hAnsi="Arial"/>
          <w:sz w:val="15"/>
          <w:szCs w:val="15"/>
          <w:color w:val="auto"/>
        </w:rPr>
        <w:t>AC Immune shareholders approved the re-election of Martin Velasco as member and as Chairman of the Board, Peter Bollmann, Friedrich von Bohlen, Andrea Pfeifer, Detlev Riesner (including granting an exception to the age limit of 75 years foreseen in the Articles of Association), Thomas Graney and Douglas E. Williams, as well as the election of Werner Lanthaler as members of the Board of Directors, each until the end of the next Ordinary General Meeting.</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6: Election to the Compensation, Nomination &amp; Corporate Governance Committee</w:t>
      </w:r>
    </w:p>
    <w:p>
      <w:pPr>
        <w:spacing w:after="0" w:line="201" w:lineRule="exact"/>
        <w:rPr>
          <w:sz w:val="20"/>
          <w:szCs w:val="20"/>
          <w:color w:val="auto"/>
        </w:rPr>
      </w:pPr>
    </w:p>
    <w:p>
      <w:pPr>
        <w:jc w:val="both"/>
        <w:ind w:firstLine="554"/>
        <w:spacing w:after="0" w:line="288" w:lineRule="auto"/>
        <w:rPr>
          <w:sz w:val="20"/>
          <w:szCs w:val="20"/>
          <w:color w:val="auto"/>
        </w:rPr>
      </w:pPr>
      <w:r>
        <w:rPr>
          <w:rFonts w:ascii="Arial" w:cs="Arial" w:eastAsia="Arial" w:hAnsi="Arial"/>
          <w:sz w:val="15"/>
          <w:szCs w:val="15"/>
          <w:color w:val="auto"/>
        </w:rPr>
        <w:t>AC Immune shareholders approved the re-election of Martin Velasco, Tom Graney and Douglas E. Williams as members of the Compensation, Nomination &amp; Corporate Governance Committee, each until the end of the next Ordinary General Meeting.</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7: Re-Election of the independent proxy</w:t>
      </w:r>
    </w:p>
    <w:p>
      <w:pPr>
        <w:spacing w:after="0" w:line="201" w:lineRule="exact"/>
        <w:rPr>
          <w:sz w:val="20"/>
          <w:szCs w:val="20"/>
          <w:color w:val="auto"/>
        </w:rPr>
      </w:pPr>
    </w:p>
    <w:p>
      <w:pPr>
        <w:jc w:val="both"/>
        <w:ind w:firstLine="554"/>
        <w:spacing w:after="0" w:line="288" w:lineRule="auto"/>
        <w:rPr>
          <w:sz w:val="20"/>
          <w:szCs w:val="20"/>
          <w:color w:val="auto"/>
        </w:rPr>
      </w:pPr>
      <w:r>
        <w:rPr>
          <w:rFonts w:ascii="Arial" w:cs="Arial" w:eastAsia="Arial" w:hAnsi="Arial"/>
          <w:sz w:val="15"/>
          <w:szCs w:val="15"/>
          <w:color w:val="auto"/>
        </w:rPr>
        <w:t>AC Immune shareholders approved the re-election of Bugnion Ballansat Ehrler, represented by Gérald Virieux, as AC Immune’s independent proxy until the end of the next Ordinary General Meeting.</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8: Election of the Auditors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 the election of PricewaterhouseCoopers SA, in Pully, for a term of office of one year.</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9: Extension of Authorization for Share Capital Increase</w:t>
      </w:r>
    </w:p>
    <w:p>
      <w:pPr>
        <w:spacing w:after="0" w:line="201" w:lineRule="exact"/>
        <w:rPr>
          <w:sz w:val="20"/>
          <w:szCs w:val="20"/>
          <w:color w:val="auto"/>
        </w:rPr>
      </w:pPr>
    </w:p>
    <w:p>
      <w:pPr>
        <w:jc w:val="both"/>
        <w:ind w:firstLine="554"/>
        <w:spacing w:after="0" w:line="267" w:lineRule="auto"/>
        <w:rPr>
          <w:sz w:val="20"/>
          <w:szCs w:val="20"/>
          <w:color w:val="auto"/>
        </w:rPr>
      </w:pPr>
      <w:r>
        <w:rPr>
          <w:rFonts w:ascii="Arial" w:cs="Arial" w:eastAsia="Arial" w:hAnsi="Arial"/>
          <w:sz w:val="15"/>
          <w:szCs w:val="15"/>
          <w:color w:val="auto"/>
        </w:rPr>
        <w:t>AC Immune shareholders approved the extension by three months of the authorization to increase the share capital of AC Immune, which initial authorization was granted to the Board of Directors at AC Immune’s Extraordinary Shareholders’ Meeting held on 27 April 2018. This extension will replace the previous authorization resolution granted at the Extraordinary Shareholders' Meeting of 27 April 2018 and will become effective upon expiration of the three-month period to implement the initial resolution regarding the previous authorization if and to the extent such initial resolution has not been implemented.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2663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5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SIGNATURE</w:t>
      </w:r>
    </w:p>
    <w:p>
      <w:pPr>
        <w:spacing w:after="0" w:line="201" w:lineRule="exact"/>
        <w:rPr>
          <w:sz w:val="20"/>
          <w:szCs w:val="20"/>
          <w:color w:val="auto"/>
        </w:rPr>
      </w:pPr>
    </w:p>
    <w:p>
      <w:pPr>
        <w:ind w:right="640" w:firstLine="277"/>
        <w:spacing w:after="0" w:line="28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7100" w:type="dxa"/>
        <w:tblCellMar>
          <w:top w:w="0" w:type="dxa"/>
          <w:left w:w="0" w:type="dxa"/>
          <w:bottom w:w="0" w:type="dxa"/>
          <w:right w:w="0" w:type="dxa"/>
        </w:tblCellMar>
      </w:tblPr>
      <w:tr>
        <w:trPr>
          <w:trHeight w:val="199"/>
        </w:trPr>
        <w:tc>
          <w:tcPr>
            <w:tcW w:w="1220" w:type="dxa"/>
            <w:vAlign w:val="bottom"/>
            <w:gridSpan w:val="2"/>
          </w:tcPr>
          <w:p>
            <w:pPr>
              <w:spacing w:after="0"/>
              <w:rPr>
                <w:sz w:val="20"/>
                <w:szCs w:val="20"/>
                <w:color w:val="auto"/>
              </w:rPr>
            </w:pPr>
            <w:r>
              <w:rPr>
                <w:rFonts w:ascii="Arial" w:cs="Arial" w:eastAsia="Arial" w:hAnsi="Arial"/>
                <w:sz w:val="15"/>
                <w:szCs w:val="15"/>
                <w:b w:val="1"/>
                <w:bCs w:val="1"/>
                <w:color w:val="auto"/>
              </w:rPr>
              <w:t>AC IMMUNE SA</w:t>
            </w:r>
          </w:p>
        </w:tc>
        <w:tc>
          <w:tcPr>
            <w:tcW w:w="3120" w:type="dxa"/>
            <w:vAlign w:val="bottom"/>
          </w:tcPr>
          <w:p>
            <w:pPr>
              <w:spacing w:after="0"/>
              <w:rPr>
                <w:sz w:val="17"/>
                <w:szCs w:val="17"/>
                <w:color w:val="auto"/>
              </w:rPr>
            </w:pPr>
          </w:p>
        </w:tc>
      </w:tr>
      <w:tr>
        <w:trPr>
          <w:trHeight w:val="554"/>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Andrea Pfeifer</w:t>
            </w:r>
          </w:p>
        </w:tc>
      </w:tr>
      <w:tr>
        <w:trPr>
          <w:trHeight w:val="166"/>
        </w:trPr>
        <w:tc>
          <w:tcPr>
            <w:tcW w:w="460" w:type="dxa"/>
            <w:vAlign w:val="bottom"/>
          </w:tcPr>
          <w:p>
            <w:pPr>
              <w:spacing w:after="0"/>
              <w:rPr>
                <w:sz w:val="14"/>
                <w:szCs w:val="14"/>
                <w:color w:val="auto"/>
              </w:rPr>
            </w:pPr>
          </w:p>
        </w:tc>
        <w:tc>
          <w:tcPr>
            <w:tcW w:w="760" w:type="dxa"/>
            <w:vAlign w:val="bottom"/>
          </w:tcPr>
          <w:p>
            <w:pPr>
              <w:spacing w:after="0" w:line="166" w:lineRule="exact"/>
              <w:rPr>
                <w:sz w:val="20"/>
                <w:szCs w:val="20"/>
                <w:color w:val="auto"/>
              </w:rPr>
            </w:pPr>
            <w:r>
              <w:rPr>
                <w:rFonts w:ascii="Arial" w:cs="Arial" w:eastAsia="Arial" w:hAnsi="Arial"/>
                <w:sz w:val="15"/>
                <w:szCs w:val="15"/>
                <w:color w:val="auto"/>
              </w:rPr>
              <w:t>Name:</w:t>
            </w:r>
          </w:p>
        </w:tc>
        <w:tc>
          <w:tcPr>
            <w:tcW w:w="3120" w:type="dxa"/>
            <w:vAlign w:val="bottom"/>
          </w:tcPr>
          <w:p>
            <w:pPr>
              <w:ind w:left="40"/>
              <w:spacing w:after="0" w:line="166" w:lineRule="exact"/>
              <w:rPr>
                <w:sz w:val="20"/>
                <w:szCs w:val="20"/>
                <w:color w:val="auto"/>
              </w:rPr>
            </w:pPr>
            <w:r>
              <w:rPr>
                <w:rFonts w:ascii="Arial" w:cs="Arial" w:eastAsia="Arial" w:hAnsi="Arial"/>
                <w:sz w:val="15"/>
                <w:szCs w:val="15"/>
                <w:color w:val="auto"/>
              </w:rPr>
              <w:t>Andrea Pfeifer</w:t>
            </w:r>
          </w:p>
        </w:tc>
      </w:tr>
      <w:tr>
        <w:trPr>
          <w:trHeight w:val="195"/>
        </w:trPr>
        <w:tc>
          <w:tcPr>
            <w:tcW w:w="4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3120" w:type="dxa"/>
            <w:vAlign w:val="bottom"/>
          </w:tcPr>
          <w:p>
            <w:pPr>
              <w:ind w:left="40"/>
              <w:spacing w:after="0"/>
              <w:rPr>
                <w:sz w:val="20"/>
                <w:szCs w:val="20"/>
                <w:color w:val="auto"/>
              </w:rPr>
            </w:pPr>
            <w:r>
              <w:rPr>
                <w:rFonts w:ascii="Arial" w:cs="Arial" w:eastAsia="Arial" w:hAnsi="Arial"/>
                <w:sz w:val="15"/>
                <w:szCs w:val="15"/>
                <w:color w:val="auto"/>
              </w:rPr>
              <w:t>Chief Executive Officer</w:t>
            </w:r>
          </w:p>
        </w:tc>
      </w:tr>
      <w:tr>
        <w:trPr>
          <w:trHeight w:val="738"/>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Joerg Hornstein</w:t>
            </w:r>
          </w:p>
        </w:tc>
      </w:tr>
      <w:tr>
        <w:trPr>
          <w:trHeight w:val="166"/>
        </w:trPr>
        <w:tc>
          <w:tcPr>
            <w:tcW w:w="460" w:type="dxa"/>
            <w:vAlign w:val="bottom"/>
          </w:tcPr>
          <w:p>
            <w:pPr>
              <w:spacing w:after="0"/>
              <w:rPr>
                <w:sz w:val="14"/>
                <w:szCs w:val="14"/>
                <w:color w:val="auto"/>
              </w:rPr>
            </w:pPr>
          </w:p>
        </w:tc>
        <w:tc>
          <w:tcPr>
            <w:tcW w:w="760" w:type="dxa"/>
            <w:vAlign w:val="bottom"/>
          </w:tcPr>
          <w:p>
            <w:pPr>
              <w:spacing w:after="0" w:line="166" w:lineRule="exact"/>
              <w:rPr>
                <w:sz w:val="20"/>
                <w:szCs w:val="20"/>
                <w:color w:val="auto"/>
              </w:rPr>
            </w:pPr>
            <w:r>
              <w:rPr>
                <w:rFonts w:ascii="Arial" w:cs="Arial" w:eastAsia="Arial" w:hAnsi="Arial"/>
                <w:sz w:val="15"/>
                <w:szCs w:val="15"/>
                <w:color w:val="auto"/>
              </w:rPr>
              <w:t>Name:</w:t>
            </w:r>
          </w:p>
        </w:tc>
        <w:tc>
          <w:tcPr>
            <w:tcW w:w="3120" w:type="dxa"/>
            <w:vAlign w:val="bottom"/>
          </w:tcPr>
          <w:p>
            <w:pPr>
              <w:ind w:left="40"/>
              <w:spacing w:after="0" w:line="166" w:lineRule="exact"/>
              <w:rPr>
                <w:sz w:val="20"/>
                <w:szCs w:val="20"/>
                <w:color w:val="auto"/>
              </w:rPr>
            </w:pPr>
            <w:r>
              <w:rPr>
                <w:rFonts w:ascii="Arial" w:cs="Arial" w:eastAsia="Arial" w:hAnsi="Arial"/>
                <w:sz w:val="15"/>
                <w:szCs w:val="15"/>
                <w:color w:val="auto"/>
              </w:rPr>
              <w:t>Joerg Hornstein</w:t>
            </w:r>
          </w:p>
        </w:tc>
      </w:tr>
      <w:tr>
        <w:trPr>
          <w:trHeight w:val="195"/>
        </w:trPr>
        <w:tc>
          <w:tcPr>
            <w:tcW w:w="4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3120" w:type="dxa"/>
            <w:vAlign w:val="bottom"/>
          </w:tcPr>
          <w:p>
            <w:pPr>
              <w:ind w:left="40"/>
              <w:spacing w:after="0"/>
              <w:rPr>
                <w:sz w:val="20"/>
                <w:szCs w:val="20"/>
                <w:color w:val="auto"/>
              </w:rPr>
            </w:pPr>
            <w:r>
              <w:rPr>
                <w:rFonts w:ascii="Arial" w:cs="Arial" w:eastAsia="Arial" w:hAnsi="Arial"/>
                <w:sz w:val="15"/>
                <w:szCs w:val="15"/>
                <w:color w:val="auto"/>
              </w:rPr>
              <w:t>Chief Financial Officer</w:t>
            </w:r>
          </w:p>
        </w:tc>
      </w:tr>
    </w:tbl>
    <w:p>
      <w:pPr>
        <w:spacing w:after="0"/>
        <w:rPr>
          <w:sz w:val="20"/>
          <w:szCs w:val="20"/>
          <w:color w:val="auto"/>
        </w:rPr>
      </w:pPr>
      <w:r>
        <w:rPr>
          <w:rFonts w:ascii="Arial" w:cs="Arial" w:eastAsia="Arial" w:hAnsi="Arial"/>
          <w:sz w:val="15"/>
          <w:szCs w:val="15"/>
          <w:color w:val="auto"/>
        </w:rPr>
        <w:t>Date: July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315595</wp:posOffset>
            </wp:positionV>
            <wp:extent cx="72663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9"/>
        </w:trPr>
        <w:tc>
          <w:tcPr>
            <w:tcW w:w="1220" w:type="dxa"/>
            <w:vAlign w:val="bottom"/>
          </w:tcPr>
          <w:p>
            <w:pPr>
              <w:spacing w:after="0"/>
              <w:rPr>
                <w:sz w:val="17"/>
                <w:szCs w:val="17"/>
                <w:color w:val="auto"/>
              </w:rPr>
            </w:pPr>
          </w:p>
        </w:tc>
        <w:tc>
          <w:tcPr>
            <w:tcW w:w="10220" w:type="dxa"/>
            <w:vAlign w:val="bottom"/>
          </w:tcPr>
          <w:p>
            <w:pPr>
              <w:ind w:left="3900"/>
              <w:spacing w:after="0"/>
              <w:rPr>
                <w:sz w:val="20"/>
                <w:szCs w:val="20"/>
                <w:color w:val="auto"/>
              </w:rPr>
            </w:pPr>
            <w:r>
              <w:rPr>
                <w:rFonts w:ascii="Arial" w:cs="Arial" w:eastAsia="Arial" w:hAnsi="Arial"/>
                <w:sz w:val="15"/>
                <w:szCs w:val="15"/>
                <w:b w:val="1"/>
                <w:bCs w:val="1"/>
                <w:color w:val="auto"/>
              </w:rPr>
              <w:t>EXHIBIT INDEX</w:t>
            </w:r>
          </w:p>
        </w:tc>
      </w:tr>
      <w:tr>
        <w:trPr>
          <w:trHeight w:val="369"/>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Exhibit Number</w:t>
            </w:r>
          </w:p>
        </w:tc>
        <w:tc>
          <w:tcPr>
            <w:tcW w:w="10220" w:type="dxa"/>
            <w:vAlign w:val="bottom"/>
            <w:tcBorders>
              <w:bottom w:val="single" w:sz="8" w:color="auto"/>
            </w:tcBorders>
          </w:tcPr>
          <w:p>
            <w:pPr>
              <w:ind w:left="4740"/>
              <w:spacing w:after="0"/>
              <w:rPr>
                <w:sz w:val="20"/>
                <w:szCs w:val="20"/>
                <w:color w:val="auto"/>
              </w:rPr>
            </w:pPr>
            <w:r>
              <w:rPr>
                <w:rFonts w:ascii="Arial" w:cs="Arial" w:eastAsia="Arial" w:hAnsi="Arial"/>
                <w:sz w:val="15"/>
                <w:szCs w:val="15"/>
                <w:b w:val="1"/>
                <w:bCs w:val="1"/>
                <w:color w:val="auto"/>
              </w:rPr>
              <w:t>Description</w:t>
            </w:r>
          </w:p>
        </w:tc>
      </w:tr>
      <w:tr>
        <w:trPr>
          <w:trHeight w:val="166"/>
        </w:trPr>
        <w:tc>
          <w:tcPr>
            <w:tcW w:w="1220" w:type="dxa"/>
            <w:vAlign w:val="bottom"/>
          </w:tcPr>
          <w:p>
            <w:pPr>
              <w:jc w:val="center"/>
              <w:spacing w:after="0" w:line="166" w:lineRule="exact"/>
              <w:rPr>
                <w:sz w:val="20"/>
                <w:szCs w:val="20"/>
                <w:color w:val="auto"/>
              </w:rPr>
            </w:pPr>
            <w:r>
              <w:rPr>
                <w:rFonts w:ascii="Arial" w:cs="Arial" w:eastAsia="Arial" w:hAnsi="Arial"/>
                <w:sz w:val="15"/>
                <w:szCs w:val="15"/>
                <w:color w:val="auto"/>
                <w:w w:val="88"/>
              </w:rPr>
              <w:t>99.1</w:t>
            </w:r>
          </w:p>
        </w:tc>
        <w:tc>
          <w:tcPr>
            <w:tcW w:w="10220" w:type="dxa"/>
            <w:vAlign w:val="bottom"/>
          </w:tcPr>
          <w:p>
            <w:pPr>
              <w:ind w:left="40"/>
              <w:spacing w:after="0" w:line="166" w:lineRule="exact"/>
              <w:rPr>
                <w:sz w:val="20"/>
                <w:szCs w:val="20"/>
                <w:color w:val="auto"/>
              </w:rPr>
            </w:pPr>
            <w:r>
              <w:rPr>
                <w:rFonts w:ascii="Arial" w:cs="Arial" w:eastAsia="Arial" w:hAnsi="Arial"/>
                <w:sz w:val="15"/>
                <w:szCs w:val="15"/>
                <w:color w:val="auto"/>
              </w:rPr>
              <w:t>Annual Ordinary Shareholders’ Meeting presentation</w:t>
            </w:r>
          </w:p>
        </w:tc>
      </w:tr>
      <w:tr>
        <w:trPr>
          <w:trHeight w:val="195"/>
        </w:trPr>
        <w:tc>
          <w:tcPr>
            <w:tcW w:w="1220" w:type="dxa"/>
            <w:vAlign w:val="bottom"/>
          </w:tcPr>
          <w:p>
            <w:pPr>
              <w:jc w:val="center"/>
              <w:spacing w:after="0"/>
              <w:rPr>
                <w:sz w:val="20"/>
                <w:szCs w:val="20"/>
                <w:color w:val="auto"/>
              </w:rPr>
            </w:pPr>
            <w:r>
              <w:rPr>
                <w:rFonts w:ascii="Arial" w:cs="Arial" w:eastAsia="Arial" w:hAnsi="Arial"/>
                <w:sz w:val="15"/>
                <w:szCs w:val="15"/>
                <w:color w:val="auto"/>
                <w:w w:val="88"/>
              </w:rPr>
              <w:t>99.2</w:t>
            </w:r>
          </w:p>
        </w:tc>
        <w:tc>
          <w:tcPr>
            <w:tcW w:w="10220" w:type="dxa"/>
            <w:vAlign w:val="bottom"/>
          </w:tcPr>
          <w:p>
            <w:pPr>
              <w:ind w:left="40"/>
              <w:spacing w:after="0"/>
              <w:rPr>
                <w:sz w:val="20"/>
                <w:szCs w:val="20"/>
                <w:color w:val="auto"/>
              </w:rPr>
            </w:pPr>
            <w:r>
              <w:rPr>
                <w:rFonts w:ascii="Arial" w:cs="Arial" w:eastAsia="Arial" w:hAnsi="Arial"/>
                <w:sz w:val="15"/>
                <w:szCs w:val="15"/>
                <w:color w:val="auto"/>
              </w:rPr>
              <w:t>Press Release dated July 6, 2018</w:t>
            </w:r>
          </w:p>
        </w:tc>
      </w:tr>
      <w:tr>
        <w:trPr>
          <w:trHeight w:val="669"/>
        </w:trPr>
        <w:tc>
          <w:tcPr>
            <w:tcW w:w="12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17" w:right="219" w:bottom="1440" w:gutter="0" w:footer="0" w:header="0"/>
        </w:sectPr>
      </w:pPr>
    </w:p>
    <w:bookmarkStart w:id="5" w:name="page6"/>
    <w:bookmarkEnd w:id="5"/>
    <w:p>
      <w:pPr>
        <w:ind w:left="928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286385</wp:posOffset>
            </wp:positionV>
            <wp:extent cx="7320280" cy="5193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0" w:num="1">
            <w:col w:w="10240"/>
          </w:cols>
          <w:pgMar w:left="1440" w:top="115" w:right="2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320280" cy="5193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193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1450340" cy="4540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0340" cy="45402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808"/>
        <w:spacing w:after="0"/>
        <w:rPr>
          <w:sz w:val="20"/>
          <w:szCs w:val="20"/>
          <w:color w:val="auto"/>
        </w:rPr>
      </w:pPr>
      <w:r>
        <w:rPr>
          <w:rFonts w:ascii="Arial" w:cs="Arial" w:eastAsia="Arial" w:hAnsi="Arial"/>
          <w:sz w:val="18"/>
          <w:szCs w:val="18"/>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auto"/>
        </w:rPr>
        <w:t>AC Immune Announces Results of Annual General Meeting</w:t>
      </w:r>
    </w:p>
    <w:p>
      <w:pPr>
        <w:spacing w:after="0" w:line="261" w:lineRule="exact"/>
        <w:rPr>
          <w:sz w:val="20"/>
          <w:szCs w:val="20"/>
          <w:color w:val="auto"/>
        </w:rPr>
      </w:pPr>
    </w:p>
    <w:p>
      <w:pPr>
        <w:jc w:val="both"/>
        <w:ind w:left="8"/>
        <w:spacing w:after="0" w:line="262" w:lineRule="auto"/>
        <w:rPr>
          <w:sz w:val="20"/>
          <w:szCs w:val="20"/>
          <w:color w:val="auto"/>
        </w:rPr>
      </w:pPr>
      <w:r>
        <w:rPr>
          <w:rFonts w:ascii="Arial" w:cs="Arial" w:eastAsia="Arial" w:hAnsi="Arial"/>
          <w:sz w:val="15"/>
          <w:szCs w:val="15"/>
          <w:b w:val="1"/>
          <w:bCs w:val="1"/>
          <w:color w:val="auto"/>
        </w:rPr>
        <w:t xml:space="preserve">Lausanne, Switzerland, July 6, 2018 </w:t>
      </w:r>
      <w:r>
        <w:rPr>
          <w:rFonts w:ascii="Arial" w:cs="Arial" w:eastAsia="Arial" w:hAnsi="Arial"/>
          <w:sz w:val="15"/>
          <w:szCs w:val="15"/>
          <w:color w:val="auto"/>
        </w:rPr>
        <w:t>– AC Immune SA (NASDAQ: ACIU), a Swiss-based, clinical stage biopharmaceutical company focused on neurodegenerative</w:t>
      </w:r>
      <w:r>
        <w:rPr>
          <w:rFonts w:ascii="Arial" w:cs="Arial" w:eastAsia="Arial" w:hAnsi="Arial"/>
          <w:sz w:val="15"/>
          <w:szCs w:val="15"/>
          <w:b w:val="1"/>
          <w:bCs w:val="1"/>
          <w:color w:val="auto"/>
        </w:rPr>
        <w:t xml:space="preserve"> </w:t>
      </w:r>
      <w:r>
        <w:rPr>
          <w:rFonts w:ascii="Arial" w:cs="Arial" w:eastAsia="Arial" w:hAnsi="Arial"/>
          <w:sz w:val="15"/>
          <w:szCs w:val="15"/>
          <w:color w:val="auto"/>
        </w:rPr>
        <w:t>diseases, today announced that the shareholders of the Company have approved all resolutions as proposed by the Board of Directors at the Company’s Annual General Meeting which took place today in Lausanne, including:</w:t>
      </w:r>
    </w:p>
    <w:p>
      <w:pPr>
        <w:spacing w:after="0" w:line="145"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5"/>
          <w:szCs w:val="15"/>
          <w:color w:val="C00000"/>
        </w:rPr>
      </w:pPr>
      <w:r>
        <w:rPr>
          <w:rFonts w:ascii="Arial" w:cs="Arial" w:eastAsia="Arial" w:hAnsi="Arial"/>
          <w:sz w:val="15"/>
          <w:szCs w:val="15"/>
          <w:color w:val="auto"/>
        </w:rPr>
        <w:t>The annual report and the financial statements for the year 2017</w:t>
      </w:r>
    </w:p>
    <w:p>
      <w:pPr>
        <w:spacing w:after="0" w:line="185" w:lineRule="exact"/>
        <w:rPr>
          <w:rFonts w:ascii="Arial" w:cs="Arial" w:eastAsia="Arial" w:hAnsi="Arial"/>
          <w:sz w:val="15"/>
          <w:szCs w:val="15"/>
          <w:color w:val="C00000"/>
        </w:rPr>
      </w:pPr>
    </w:p>
    <w:p>
      <w:pPr>
        <w:ind w:left="208" w:hanging="208"/>
        <w:spacing w:after="0"/>
        <w:tabs>
          <w:tab w:leader="none" w:pos="208" w:val="left"/>
        </w:tabs>
        <w:numPr>
          <w:ilvl w:val="0"/>
          <w:numId w:val="3"/>
        </w:numPr>
        <w:rPr>
          <w:rFonts w:ascii="Arial" w:cs="Arial" w:eastAsia="Arial" w:hAnsi="Arial"/>
          <w:sz w:val="15"/>
          <w:szCs w:val="15"/>
          <w:color w:val="C00000"/>
        </w:rPr>
      </w:pPr>
      <w:r>
        <w:rPr>
          <w:rFonts w:ascii="Arial" w:cs="Arial" w:eastAsia="Arial" w:hAnsi="Arial"/>
          <w:sz w:val="15"/>
          <w:szCs w:val="15"/>
          <w:color w:val="auto"/>
        </w:rPr>
        <w:t>The appropriation of loss</w:t>
      </w:r>
    </w:p>
    <w:p>
      <w:pPr>
        <w:spacing w:after="0" w:line="185" w:lineRule="exact"/>
        <w:rPr>
          <w:rFonts w:ascii="Arial" w:cs="Arial" w:eastAsia="Arial" w:hAnsi="Arial"/>
          <w:sz w:val="15"/>
          <w:szCs w:val="15"/>
          <w:color w:val="C00000"/>
        </w:rPr>
      </w:pPr>
    </w:p>
    <w:p>
      <w:pPr>
        <w:ind w:left="208" w:hanging="208"/>
        <w:spacing w:after="0"/>
        <w:tabs>
          <w:tab w:leader="none" w:pos="208" w:val="left"/>
        </w:tabs>
        <w:numPr>
          <w:ilvl w:val="0"/>
          <w:numId w:val="3"/>
        </w:numPr>
        <w:rPr>
          <w:rFonts w:ascii="Arial" w:cs="Arial" w:eastAsia="Arial" w:hAnsi="Arial"/>
          <w:sz w:val="15"/>
          <w:szCs w:val="15"/>
          <w:color w:val="C00000"/>
        </w:rPr>
      </w:pPr>
      <w:r>
        <w:rPr>
          <w:rFonts w:ascii="Arial" w:cs="Arial" w:eastAsia="Arial" w:hAnsi="Arial"/>
          <w:sz w:val="15"/>
          <w:szCs w:val="15"/>
          <w:color w:val="auto"/>
        </w:rPr>
        <w:t>The discharge of the members of the Board of Directors and the Executive Committee</w:t>
      </w:r>
    </w:p>
    <w:p>
      <w:pPr>
        <w:spacing w:after="0" w:line="185" w:lineRule="exact"/>
        <w:rPr>
          <w:rFonts w:ascii="Arial" w:cs="Arial" w:eastAsia="Arial" w:hAnsi="Arial"/>
          <w:sz w:val="15"/>
          <w:szCs w:val="15"/>
          <w:color w:val="C00000"/>
        </w:rPr>
      </w:pPr>
    </w:p>
    <w:p>
      <w:pPr>
        <w:ind w:left="208" w:hanging="208"/>
        <w:spacing w:after="0"/>
        <w:tabs>
          <w:tab w:leader="none" w:pos="208" w:val="left"/>
        </w:tabs>
        <w:numPr>
          <w:ilvl w:val="0"/>
          <w:numId w:val="3"/>
        </w:numPr>
        <w:rPr>
          <w:rFonts w:ascii="Arial" w:cs="Arial" w:eastAsia="Arial" w:hAnsi="Arial"/>
          <w:sz w:val="15"/>
          <w:szCs w:val="15"/>
          <w:color w:val="C00000"/>
        </w:rPr>
      </w:pPr>
      <w:r>
        <w:rPr>
          <w:rFonts w:ascii="Arial" w:cs="Arial" w:eastAsia="Arial" w:hAnsi="Arial"/>
          <w:sz w:val="15"/>
          <w:szCs w:val="15"/>
          <w:color w:val="auto"/>
        </w:rPr>
        <w:t>The compensation for the members of the Board of Directors and the Executive Committee</w:t>
      </w:r>
    </w:p>
    <w:p>
      <w:pPr>
        <w:spacing w:after="0" w:line="185" w:lineRule="exact"/>
        <w:rPr>
          <w:rFonts w:ascii="Arial" w:cs="Arial" w:eastAsia="Arial" w:hAnsi="Arial"/>
          <w:sz w:val="15"/>
          <w:szCs w:val="15"/>
          <w:color w:val="C00000"/>
        </w:rPr>
      </w:pPr>
    </w:p>
    <w:p>
      <w:pPr>
        <w:ind w:left="208" w:hanging="208"/>
        <w:spacing w:after="0"/>
        <w:tabs>
          <w:tab w:leader="none" w:pos="208" w:val="left"/>
        </w:tabs>
        <w:numPr>
          <w:ilvl w:val="0"/>
          <w:numId w:val="3"/>
        </w:numPr>
        <w:rPr>
          <w:rFonts w:ascii="Arial" w:cs="Arial" w:eastAsia="Arial" w:hAnsi="Arial"/>
          <w:sz w:val="15"/>
          <w:szCs w:val="15"/>
          <w:color w:val="C00000"/>
        </w:rPr>
      </w:pPr>
      <w:r>
        <w:rPr>
          <w:rFonts w:ascii="Arial" w:cs="Arial" w:eastAsia="Arial" w:hAnsi="Arial"/>
          <w:sz w:val="15"/>
          <w:szCs w:val="15"/>
          <w:color w:val="auto"/>
        </w:rPr>
        <w:t>Re-election of the Members of the Board of Directors and the Members of the Compensation, Nomination and Corporate Governance Committee</w:t>
      </w:r>
    </w:p>
    <w:p>
      <w:pPr>
        <w:spacing w:after="0" w:line="185" w:lineRule="exact"/>
        <w:rPr>
          <w:rFonts w:ascii="Arial" w:cs="Arial" w:eastAsia="Arial" w:hAnsi="Arial"/>
          <w:sz w:val="15"/>
          <w:szCs w:val="15"/>
          <w:color w:val="C00000"/>
        </w:rPr>
      </w:pPr>
    </w:p>
    <w:p>
      <w:pPr>
        <w:ind w:left="208" w:hanging="208"/>
        <w:spacing w:after="0"/>
        <w:tabs>
          <w:tab w:leader="none" w:pos="208" w:val="left"/>
        </w:tabs>
        <w:numPr>
          <w:ilvl w:val="0"/>
          <w:numId w:val="3"/>
        </w:numPr>
        <w:rPr>
          <w:rFonts w:ascii="Arial" w:cs="Arial" w:eastAsia="Arial" w:hAnsi="Arial"/>
          <w:sz w:val="15"/>
          <w:szCs w:val="15"/>
          <w:color w:val="C00000"/>
        </w:rPr>
      </w:pPr>
      <w:r>
        <w:rPr>
          <w:rFonts w:ascii="Arial" w:cs="Arial" w:eastAsia="Arial" w:hAnsi="Arial"/>
          <w:sz w:val="15"/>
          <w:szCs w:val="15"/>
          <w:color w:val="auto"/>
        </w:rPr>
        <w:t>Election of Dr. Werner Lanthaler to the Board of Directors</w:t>
      </w:r>
    </w:p>
    <w:p>
      <w:pPr>
        <w:spacing w:after="0" w:line="185" w:lineRule="exact"/>
        <w:rPr>
          <w:rFonts w:ascii="Arial" w:cs="Arial" w:eastAsia="Arial" w:hAnsi="Arial"/>
          <w:sz w:val="15"/>
          <w:szCs w:val="15"/>
          <w:color w:val="C00000"/>
        </w:rPr>
      </w:pPr>
    </w:p>
    <w:p>
      <w:pPr>
        <w:ind w:left="208" w:hanging="208"/>
        <w:spacing w:after="0"/>
        <w:tabs>
          <w:tab w:leader="none" w:pos="208" w:val="left"/>
        </w:tabs>
        <w:numPr>
          <w:ilvl w:val="0"/>
          <w:numId w:val="3"/>
        </w:numPr>
        <w:rPr>
          <w:rFonts w:ascii="Arial" w:cs="Arial" w:eastAsia="Arial" w:hAnsi="Arial"/>
          <w:sz w:val="15"/>
          <w:szCs w:val="15"/>
          <w:color w:val="C00000"/>
        </w:rPr>
      </w:pPr>
      <w:r>
        <w:rPr>
          <w:rFonts w:ascii="Arial" w:cs="Arial" w:eastAsia="Arial" w:hAnsi="Arial"/>
          <w:sz w:val="15"/>
          <w:szCs w:val="15"/>
          <w:color w:val="auto"/>
        </w:rPr>
        <w:t>Re-election of the independent proxy of the company</w:t>
      </w:r>
    </w:p>
    <w:p>
      <w:pPr>
        <w:spacing w:after="0" w:line="185" w:lineRule="exact"/>
        <w:rPr>
          <w:rFonts w:ascii="Arial" w:cs="Arial" w:eastAsia="Arial" w:hAnsi="Arial"/>
          <w:sz w:val="15"/>
          <w:szCs w:val="15"/>
          <w:color w:val="C00000"/>
        </w:rPr>
      </w:pPr>
    </w:p>
    <w:p>
      <w:pPr>
        <w:ind w:left="208" w:hanging="208"/>
        <w:spacing w:after="0"/>
        <w:tabs>
          <w:tab w:leader="none" w:pos="208" w:val="left"/>
        </w:tabs>
        <w:numPr>
          <w:ilvl w:val="0"/>
          <w:numId w:val="3"/>
        </w:numPr>
        <w:rPr>
          <w:rFonts w:ascii="Arial" w:cs="Arial" w:eastAsia="Arial" w:hAnsi="Arial"/>
          <w:sz w:val="15"/>
          <w:szCs w:val="15"/>
          <w:color w:val="C00000"/>
        </w:rPr>
      </w:pPr>
      <w:r>
        <w:rPr>
          <w:rFonts w:ascii="Arial" w:cs="Arial" w:eastAsia="Arial" w:hAnsi="Arial"/>
          <w:sz w:val="15"/>
          <w:szCs w:val="15"/>
          <w:color w:val="auto"/>
        </w:rPr>
        <w:t>Election of the Auditors</w:t>
      </w:r>
    </w:p>
    <w:p>
      <w:pPr>
        <w:spacing w:after="0" w:line="185" w:lineRule="exact"/>
        <w:rPr>
          <w:rFonts w:ascii="Arial" w:cs="Arial" w:eastAsia="Arial" w:hAnsi="Arial"/>
          <w:sz w:val="15"/>
          <w:szCs w:val="15"/>
          <w:color w:val="C00000"/>
        </w:rPr>
      </w:pPr>
    </w:p>
    <w:p>
      <w:pPr>
        <w:ind w:left="208" w:hanging="208"/>
        <w:spacing w:after="0"/>
        <w:tabs>
          <w:tab w:leader="none" w:pos="208" w:val="left"/>
        </w:tabs>
        <w:numPr>
          <w:ilvl w:val="0"/>
          <w:numId w:val="3"/>
        </w:numPr>
        <w:rPr>
          <w:rFonts w:ascii="Arial" w:cs="Arial" w:eastAsia="Arial" w:hAnsi="Arial"/>
          <w:sz w:val="15"/>
          <w:szCs w:val="15"/>
          <w:color w:val="C00000"/>
        </w:rPr>
      </w:pPr>
      <w:r>
        <w:rPr>
          <w:rFonts w:ascii="Arial" w:cs="Arial" w:eastAsia="Arial" w:hAnsi="Arial"/>
          <w:sz w:val="15"/>
          <w:szCs w:val="15"/>
          <w:color w:val="auto"/>
        </w:rPr>
        <w:t>Extension of authorization for share capital increase</w:t>
      </w:r>
    </w:p>
    <w:p>
      <w:pPr>
        <w:spacing w:after="0" w:line="167" w:lineRule="exact"/>
        <w:rPr>
          <w:sz w:val="20"/>
          <w:szCs w:val="20"/>
          <w:color w:val="auto"/>
        </w:rPr>
      </w:pPr>
    </w:p>
    <w:p>
      <w:pPr>
        <w:ind w:left="8" w:right="20"/>
        <w:spacing w:after="0" w:line="283" w:lineRule="auto"/>
        <w:rPr>
          <w:sz w:val="20"/>
          <w:szCs w:val="20"/>
          <w:color w:val="auto"/>
        </w:rPr>
      </w:pPr>
      <w:r>
        <w:rPr>
          <w:rFonts w:ascii="Arial" w:cs="Arial" w:eastAsia="Arial" w:hAnsi="Arial"/>
          <w:sz w:val="15"/>
          <w:szCs w:val="15"/>
          <w:b w:val="1"/>
          <w:bCs w:val="1"/>
          <w:color w:val="auto"/>
        </w:rPr>
        <w:t xml:space="preserve">Martin Velasco, Chairman of the Board of Directors, </w:t>
      </w:r>
      <w:r>
        <w:rPr>
          <w:rFonts w:ascii="Arial" w:cs="Arial" w:eastAsia="Arial" w:hAnsi="Arial"/>
          <w:sz w:val="15"/>
          <w:szCs w:val="15"/>
          <w:color w:val="auto"/>
        </w:rPr>
        <w:t>commented: “We are very pleased to welcome Dr. Werner Lanthaler to our Board. He has considerable</w:t>
      </w:r>
      <w:r>
        <w:rPr>
          <w:rFonts w:ascii="Arial" w:cs="Arial" w:eastAsia="Arial" w:hAnsi="Arial"/>
          <w:sz w:val="15"/>
          <w:szCs w:val="15"/>
          <w:b w:val="1"/>
          <w:bCs w:val="1"/>
          <w:color w:val="auto"/>
        </w:rPr>
        <w:t xml:space="preserve"> </w:t>
      </w:r>
      <w:r>
        <w:rPr>
          <w:rFonts w:ascii="Arial" w:cs="Arial" w:eastAsia="Arial" w:hAnsi="Arial"/>
          <w:sz w:val="15"/>
          <w:szCs w:val="15"/>
          <w:color w:val="auto"/>
        </w:rPr>
        <w:t>international experience in the life sciences sector and corporate leadership positions, and his appointment will greatly benefit AC Immune.”</w:t>
      </w:r>
    </w:p>
    <w:p>
      <w:pPr>
        <w:spacing w:after="0" w:line="130" w:lineRule="exact"/>
        <w:rPr>
          <w:sz w:val="20"/>
          <w:szCs w:val="20"/>
          <w:color w:val="auto"/>
        </w:rPr>
      </w:pPr>
    </w:p>
    <w:p>
      <w:pPr>
        <w:ind w:left="8"/>
        <w:spacing w:after="0" w:line="258" w:lineRule="auto"/>
        <w:rPr>
          <w:sz w:val="20"/>
          <w:szCs w:val="20"/>
          <w:color w:val="auto"/>
        </w:rPr>
      </w:pPr>
      <w:r>
        <w:rPr>
          <w:rFonts w:ascii="Arial" w:cs="Arial" w:eastAsia="Arial" w:hAnsi="Arial"/>
          <w:sz w:val="15"/>
          <w:szCs w:val="15"/>
          <w:color w:val="auto"/>
        </w:rPr>
        <w:t>He added: “This year marks 15 years since the founding of AC Immune and the company continues to make significant progress in 2018. I want to thank our shareholders for their continued trust and support as we continue to pursue our mission of being a leader in precision medicine for neurodegenerative diseases.”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More information on the Annual General Meeting is available on the Company’s </w:t>
      </w:r>
      <w:r>
        <w:rPr>
          <w:rFonts w:ascii="Arial" w:cs="Arial" w:eastAsia="Arial" w:hAnsi="Arial"/>
          <w:sz w:val="15"/>
          <w:szCs w:val="15"/>
          <w:u w:val="single" w:color="auto"/>
          <w:color w:val="0000FF"/>
        </w:rPr>
        <w:t>website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26630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112" w:right="21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color w:val="auto"/>
        </w:rPr>
        <w:t>About Dr. Werner Lanthaler</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 xml:space="preserve">Dr. Werner Lanthaler is the CEO of Evotec AG, a drug discovery alliance and development partnership company focused on rapidly progressing innovative product approaches with leading pharmaceutical and biotechnology companies, academics, patient advocacy groups and venture capitalists. Since joining Evotec in 2009, Dr. </w:t>
      </w:r>
      <w:r>
        <w:rPr>
          <w:rFonts w:ascii="Arial" w:cs="Arial" w:eastAsia="Arial" w:hAnsi="Arial"/>
          <w:sz w:val="15"/>
          <w:szCs w:val="15"/>
          <w:color w:val="FFFFFF"/>
        </w:rPr>
        <w:t>°</w:t>
      </w:r>
      <w:r>
        <w:rPr>
          <w:rFonts w:ascii="Arial" w:cs="Arial" w:eastAsia="Arial" w:hAnsi="Arial"/>
          <w:sz w:val="15"/>
          <w:szCs w:val="15"/>
          <w:color w:val="000000"/>
        </w:rPr>
        <w:t>Lanthaler has focused the company on collaborating with biotech and pharma companies and academia – supporting biotech innovation. He previously served as Chief</w:t>
      </w:r>
      <w:r>
        <w:rPr>
          <w:rFonts w:ascii="Arial" w:cs="Arial" w:eastAsia="Arial" w:hAnsi="Arial"/>
          <w:sz w:val="15"/>
          <w:szCs w:val="15"/>
          <w:color w:val="FFFFFF"/>
        </w:rPr>
        <w:t xml:space="preserve"> </w:t>
      </w:r>
      <w:r>
        <w:rPr>
          <w:rFonts w:ascii="Arial" w:cs="Arial" w:eastAsia="Arial" w:hAnsi="Arial"/>
          <w:sz w:val="15"/>
          <w:szCs w:val="15"/>
          <w:color w:val="000000"/>
        </w:rPr>
        <w:t>Financial Officer at Intercell AG where he played a key role in many of the company’s major milestones. During his tenure, Intercell undertook an Initial Public Offering and developed from a venture-backed biotechnology company into a global vaccine player. Dr. Lanthaler has also served as Director of the Federation of Austrian Industry, and from 1995 to 1998 was a Senior Management Consultant at McKinsey &amp; Company. Dr. Lanthaler is a Non-Executive Member of the Board of Directors of arGEN-X and is a member of the Supervisory Board of Topas Therapeutics GmbH. He holds a Doctorate in Economics from Vienna University, a Master’s degree in Business Administration from Harvard University, and a degree in Psychology.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AC Immune</w:t>
      </w:r>
    </w:p>
    <w:p>
      <w:pPr>
        <w:spacing w:after="0" w:line="19"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AC Immune is a clinical 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 The most advanced of these is crenezumab, a humanized anti-amyloid-β monoclonal IgG4 antibody that targets monomeric and aggregated forms of amyloid-β, with highest affinity for neurotoxic oligomers. Crenezumab is currently in Phase 3 clinical studies for AD, under a global program conducted by the collaboration partner Genentech (a member of the Roche group). Other collaborations include Biogen, Janssen Pharmaceuticals, Nestlé Institute of Health Sciences, Piramal Imaging and Essex Bio-Technology.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further information,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6630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00" w:type="dxa"/>
            <w:vAlign w:val="bottom"/>
            <w:tcBorders>
              <w:right w:val="single" w:sz="8" w:color="auto"/>
            </w:tcBorders>
            <w:gridSpan w:val="5"/>
          </w:tcPr>
          <w:p>
            <w:pPr>
              <w:ind w:left="80"/>
              <w:spacing w:after="0"/>
              <w:rPr>
                <w:sz w:val="20"/>
                <w:szCs w:val="20"/>
                <w:color w:val="auto"/>
              </w:rPr>
            </w:pPr>
            <w:r>
              <w:rPr>
                <w:rFonts w:ascii="Arial" w:cs="Arial" w:eastAsia="Arial" w:hAnsi="Arial"/>
                <w:sz w:val="15"/>
                <w:szCs w:val="15"/>
                <w:b w:val="1"/>
                <w:bCs w:val="1"/>
                <w:color w:val="auto"/>
              </w:rPr>
              <w:t>In Europe</w:t>
            </w:r>
          </w:p>
        </w:tc>
        <w:tc>
          <w:tcPr>
            <w:tcW w:w="5940" w:type="dxa"/>
            <w:vAlign w:val="bottom"/>
            <w:gridSpan w:val="4"/>
          </w:tcPr>
          <w:p>
            <w:pPr>
              <w:ind w:left="60"/>
              <w:spacing w:after="0"/>
              <w:rPr>
                <w:sz w:val="20"/>
                <w:szCs w:val="20"/>
                <w:color w:val="auto"/>
              </w:rPr>
            </w:pPr>
            <w:r>
              <w:rPr>
                <w:rFonts w:ascii="Arial" w:cs="Arial" w:eastAsia="Arial" w:hAnsi="Arial"/>
                <w:sz w:val="15"/>
                <w:szCs w:val="15"/>
                <w:b w:val="1"/>
                <w:bCs w:val="1"/>
                <w:color w:val="auto"/>
              </w:rPr>
              <w:t>In the US</w:t>
            </w:r>
          </w:p>
        </w:tc>
      </w:tr>
      <w:tr>
        <w:trPr>
          <w:trHeight w:val="173"/>
        </w:trPr>
        <w:tc>
          <w:tcPr>
            <w:tcW w:w="5500" w:type="dxa"/>
            <w:vAlign w:val="bottom"/>
            <w:tcBorders>
              <w:right w:val="single" w:sz="8" w:color="auto"/>
            </w:tcBorders>
            <w:gridSpan w:val="5"/>
          </w:tcPr>
          <w:p>
            <w:pPr>
              <w:ind w:left="80"/>
              <w:spacing w:after="0"/>
              <w:rPr>
                <w:sz w:val="20"/>
                <w:szCs w:val="20"/>
                <w:color w:val="auto"/>
              </w:rPr>
            </w:pPr>
            <w:r>
              <w:rPr>
                <w:rFonts w:ascii="Arial" w:cs="Arial" w:eastAsia="Arial" w:hAnsi="Arial"/>
                <w:sz w:val="15"/>
                <w:szCs w:val="15"/>
                <w:color w:val="auto"/>
              </w:rPr>
              <w:t>Beatrix Benz</w:t>
            </w:r>
          </w:p>
        </w:tc>
        <w:tc>
          <w:tcPr>
            <w:tcW w:w="5940" w:type="dxa"/>
            <w:vAlign w:val="bottom"/>
            <w:gridSpan w:val="4"/>
          </w:tcPr>
          <w:p>
            <w:pPr>
              <w:ind w:left="60"/>
              <w:spacing w:after="0"/>
              <w:rPr>
                <w:sz w:val="20"/>
                <w:szCs w:val="20"/>
                <w:color w:val="auto"/>
              </w:rPr>
            </w:pPr>
            <w:r>
              <w:rPr>
                <w:rFonts w:ascii="Arial" w:cs="Arial" w:eastAsia="Arial" w:hAnsi="Arial"/>
                <w:sz w:val="15"/>
                <w:szCs w:val="15"/>
                <w:color w:val="auto"/>
              </w:rPr>
              <w:t>Lisa Sher</w:t>
            </w:r>
          </w:p>
        </w:tc>
      </w:tr>
      <w:tr>
        <w:trPr>
          <w:trHeight w:val="173"/>
        </w:trPr>
        <w:tc>
          <w:tcPr>
            <w:tcW w:w="5500" w:type="dxa"/>
            <w:vAlign w:val="bottom"/>
            <w:tcBorders>
              <w:right w:val="single" w:sz="8" w:color="auto"/>
            </w:tcBorders>
            <w:gridSpan w:val="5"/>
          </w:tcPr>
          <w:p>
            <w:pPr>
              <w:ind w:left="80"/>
              <w:spacing w:after="0"/>
              <w:rPr>
                <w:sz w:val="20"/>
                <w:szCs w:val="20"/>
                <w:color w:val="auto"/>
              </w:rPr>
            </w:pPr>
            <w:r>
              <w:rPr>
                <w:rFonts w:ascii="Arial" w:cs="Arial" w:eastAsia="Arial" w:hAnsi="Arial"/>
                <w:sz w:val="15"/>
                <w:szCs w:val="15"/>
                <w:color w:val="auto"/>
              </w:rPr>
              <w:t>AC Immune Corporate Communications</w:t>
            </w:r>
          </w:p>
        </w:tc>
        <w:tc>
          <w:tcPr>
            <w:tcW w:w="5940" w:type="dxa"/>
            <w:vAlign w:val="bottom"/>
            <w:gridSpan w:val="4"/>
          </w:tcPr>
          <w:p>
            <w:pPr>
              <w:ind w:left="60"/>
              <w:spacing w:after="0"/>
              <w:rPr>
                <w:sz w:val="20"/>
                <w:szCs w:val="20"/>
                <w:color w:val="auto"/>
              </w:rPr>
            </w:pPr>
            <w:r>
              <w:rPr>
                <w:rFonts w:ascii="Arial" w:cs="Arial" w:eastAsia="Arial" w:hAnsi="Arial"/>
                <w:sz w:val="15"/>
                <w:szCs w:val="15"/>
                <w:color w:val="auto"/>
              </w:rPr>
              <w:t>AC Immune Investor Relations</w:t>
            </w:r>
          </w:p>
        </w:tc>
      </w:tr>
      <w:tr>
        <w:trPr>
          <w:trHeight w:val="173"/>
        </w:trPr>
        <w:tc>
          <w:tcPr>
            <w:tcW w:w="5500" w:type="dxa"/>
            <w:vAlign w:val="bottom"/>
            <w:tcBorders>
              <w:right w:val="single" w:sz="8" w:color="auto"/>
            </w:tcBorders>
            <w:gridSpan w:val="5"/>
          </w:tcPr>
          <w:p>
            <w:pPr>
              <w:ind w:left="80"/>
              <w:spacing w:after="0"/>
              <w:rPr>
                <w:sz w:val="20"/>
                <w:szCs w:val="20"/>
                <w:color w:val="auto"/>
              </w:rPr>
            </w:pPr>
            <w:r>
              <w:rPr>
                <w:rFonts w:ascii="Arial" w:cs="Arial" w:eastAsia="Arial" w:hAnsi="Arial"/>
                <w:sz w:val="15"/>
                <w:szCs w:val="15"/>
                <w:color w:val="auto"/>
              </w:rPr>
              <w:t>Phone: +41 21 345 91 34</w:t>
            </w:r>
          </w:p>
        </w:tc>
        <w:tc>
          <w:tcPr>
            <w:tcW w:w="5940" w:type="dxa"/>
            <w:vAlign w:val="bottom"/>
            <w:gridSpan w:val="4"/>
          </w:tcPr>
          <w:p>
            <w:pPr>
              <w:ind w:left="60"/>
              <w:spacing w:after="0"/>
              <w:rPr>
                <w:sz w:val="20"/>
                <w:szCs w:val="20"/>
                <w:color w:val="auto"/>
              </w:rPr>
            </w:pPr>
            <w:r>
              <w:rPr>
                <w:rFonts w:ascii="Arial" w:cs="Arial" w:eastAsia="Arial" w:hAnsi="Arial"/>
                <w:sz w:val="15"/>
                <w:szCs w:val="15"/>
                <w:color w:val="auto"/>
              </w:rPr>
              <w:t>Phone: +1 970 987 26 54</w:t>
            </w:r>
          </w:p>
        </w:tc>
      </w:tr>
      <w:tr>
        <w:trPr>
          <w:trHeight w:val="151"/>
        </w:trPr>
        <w:tc>
          <w:tcPr>
            <w:tcW w:w="5500" w:type="dxa"/>
            <w:vAlign w:val="bottom"/>
            <w:tcBorders>
              <w:right w:val="single" w:sz="8" w:color="auto"/>
            </w:tcBorders>
            <w:gridSpan w:val="5"/>
          </w:tcPr>
          <w:p>
            <w:pPr>
              <w:ind w:left="80"/>
              <w:spacing w:after="0" w:line="15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beatrix.benz@acimmune.com</w:t>
            </w:r>
          </w:p>
        </w:tc>
        <w:tc>
          <w:tcPr>
            <w:tcW w:w="5940" w:type="dxa"/>
            <w:vAlign w:val="bottom"/>
            <w:gridSpan w:val="4"/>
          </w:tcPr>
          <w:p>
            <w:pPr>
              <w:ind w:left="60"/>
              <w:spacing w:after="0" w:line="15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lisa.sher@acimmune.com</w:t>
            </w:r>
          </w:p>
        </w:tc>
      </w:tr>
      <w:tr>
        <w:trPr>
          <w:trHeight w:val="20"/>
        </w:trPr>
        <w:tc>
          <w:tcPr>
            <w:tcW w:w="620" w:type="dxa"/>
            <w:vAlign w:val="bottom"/>
            <w:tcBorders>
              <w:right w:val="single" w:sz="8" w:color="0000FF"/>
            </w:tcBorders>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8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25"/>
        </w:trPr>
        <w:tc>
          <w:tcPr>
            <w:tcW w:w="5500" w:type="dxa"/>
            <w:vAlign w:val="bottom"/>
            <w:tcBorders>
              <w:right w:val="single" w:sz="8" w:color="auto"/>
            </w:tcBorders>
            <w:gridSpan w:val="5"/>
          </w:tcPr>
          <w:p>
            <w:pPr>
              <w:ind w:left="80"/>
              <w:spacing w:after="0"/>
              <w:rPr>
                <w:sz w:val="20"/>
                <w:szCs w:val="20"/>
                <w:color w:val="auto"/>
              </w:rPr>
            </w:pPr>
            <w:r>
              <w:rPr>
                <w:rFonts w:ascii="Arial" w:cs="Arial" w:eastAsia="Arial" w:hAnsi="Arial"/>
                <w:sz w:val="15"/>
                <w:szCs w:val="15"/>
                <w:color w:val="auto"/>
              </w:rPr>
              <w:t>Nick Miles/Toomas Kull</w:t>
            </w:r>
          </w:p>
        </w:tc>
        <w:tc>
          <w:tcPr>
            <w:tcW w:w="5940" w:type="dxa"/>
            <w:vAlign w:val="bottom"/>
            <w:gridSpan w:val="4"/>
          </w:tcPr>
          <w:p>
            <w:pPr>
              <w:ind w:left="60"/>
              <w:spacing w:after="0"/>
              <w:rPr>
                <w:sz w:val="20"/>
                <w:szCs w:val="20"/>
                <w:color w:val="auto"/>
              </w:rPr>
            </w:pPr>
            <w:r>
              <w:rPr>
                <w:rFonts w:ascii="Arial" w:cs="Arial" w:eastAsia="Arial" w:hAnsi="Arial"/>
                <w:sz w:val="15"/>
                <w:szCs w:val="15"/>
                <w:color w:val="auto"/>
              </w:rPr>
              <w:t>Ted Agne</w:t>
            </w:r>
          </w:p>
        </w:tc>
      </w:tr>
      <w:tr>
        <w:trPr>
          <w:trHeight w:val="173"/>
        </w:trPr>
        <w:tc>
          <w:tcPr>
            <w:tcW w:w="5500" w:type="dxa"/>
            <w:vAlign w:val="bottom"/>
            <w:tcBorders>
              <w:right w:val="single" w:sz="8" w:color="auto"/>
            </w:tcBorders>
            <w:gridSpan w:val="5"/>
          </w:tcPr>
          <w:p>
            <w:pPr>
              <w:ind w:left="80"/>
              <w:spacing w:after="0"/>
              <w:rPr>
                <w:sz w:val="20"/>
                <w:szCs w:val="20"/>
                <w:color w:val="auto"/>
              </w:rPr>
            </w:pPr>
            <w:r>
              <w:rPr>
                <w:rFonts w:ascii="Arial" w:cs="Arial" w:eastAsia="Arial" w:hAnsi="Arial"/>
                <w:sz w:val="15"/>
                <w:szCs w:val="15"/>
                <w:color w:val="auto"/>
              </w:rPr>
              <w:t>Cabinet Privé de Conseils s.a.</w:t>
            </w:r>
          </w:p>
        </w:tc>
        <w:tc>
          <w:tcPr>
            <w:tcW w:w="5940" w:type="dxa"/>
            <w:vAlign w:val="bottom"/>
            <w:gridSpan w:val="4"/>
          </w:tcPr>
          <w:p>
            <w:pPr>
              <w:ind w:left="60"/>
              <w:spacing w:after="0"/>
              <w:rPr>
                <w:sz w:val="20"/>
                <w:szCs w:val="20"/>
                <w:color w:val="auto"/>
              </w:rPr>
            </w:pPr>
            <w:r>
              <w:rPr>
                <w:rFonts w:ascii="Arial" w:cs="Arial" w:eastAsia="Arial" w:hAnsi="Arial"/>
                <w:sz w:val="15"/>
                <w:szCs w:val="15"/>
                <w:color w:val="auto"/>
              </w:rPr>
              <w:t>The Communications Strategy Group Inc.</w:t>
            </w:r>
          </w:p>
        </w:tc>
      </w:tr>
      <w:tr>
        <w:trPr>
          <w:trHeight w:val="173"/>
        </w:trPr>
        <w:tc>
          <w:tcPr>
            <w:tcW w:w="5500" w:type="dxa"/>
            <w:vAlign w:val="bottom"/>
            <w:tcBorders>
              <w:right w:val="single" w:sz="8" w:color="auto"/>
            </w:tcBorders>
            <w:gridSpan w:val="5"/>
          </w:tcPr>
          <w:p>
            <w:pPr>
              <w:ind w:left="80"/>
              <w:spacing w:after="0"/>
              <w:rPr>
                <w:sz w:val="20"/>
                <w:szCs w:val="20"/>
                <w:color w:val="auto"/>
              </w:rPr>
            </w:pPr>
            <w:r>
              <w:rPr>
                <w:rFonts w:ascii="Arial" w:cs="Arial" w:eastAsia="Arial" w:hAnsi="Arial"/>
                <w:sz w:val="15"/>
                <w:szCs w:val="15"/>
                <w:color w:val="auto"/>
              </w:rPr>
              <w:t>Phone: +41 22 552 46 46</w:t>
            </w:r>
          </w:p>
        </w:tc>
        <w:tc>
          <w:tcPr>
            <w:tcW w:w="5940" w:type="dxa"/>
            <w:vAlign w:val="bottom"/>
            <w:gridSpan w:val="4"/>
          </w:tcPr>
          <w:p>
            <w:pPr>
              <w:ind w:left="60"/>
              <w:spacing w:after="0"/>
              <w:rPr>
                <w:sz w:val="20"/>
                <w:szCs w:val="20"/>
                <w:color w:val="auto"/>
              </w:rPr>
            </w:pPr>
            <w:r>
              <w:rPr>
                <w:rFonts w:ascii="Arial" w:cs="Arial" w:eastAsia="Arial" w:hAnsi="Arial"/>
                <w:sz w:val="15"/>
                <w:szCs w:val="15"/>
                <w:color w:val="auto"/>
              </w:rPr>
              <w:t>Phone: +1 781 631 3117</w:t>
            </w:r>
          </w:p>
        </w:tc>
      </w:tr>
      <w:tr>
        <w:trPr>
          <w:trHeight w:val="151"/>
        </w:trPr>
        <w:tc>
          <w:tcPr>
            <w:tcW w:w="5500" w:type="dxa"/>
            <w:vAlign w:val="bottom"/>
            <w:tcBorders>
              <w:right w:val="single" w:sz="8" w:color="auto"/>
            </w:tcBorders>
            <w:gridSpan w:val="5"/>
          </w:tcPr>
          <w:p>
            <w:pPr>
              <w:ind w:left="80"/>
              <w:spacing w:after="0" w:line="15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miles@cpc-pr.com</w:t>
            </w:r>
          </w:p>
        </w:tc>
        <w:tc>
          <w:tcPr>
            <w:tcW w:w="5940" w:type="dxa"/>
            <w:vAlign w:val="bottom"/>
            <w:gridSpan w:val="4"/>
          </w:tcPr>
          <w:p>
            <w:pPr>
              <w:ind w:left="60"/>
              <w:spacing w:after="0" w:line="151"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edagne@comstratgroup.com</w:t>
            </w:r>
          </w:p>
        </w:tc>
      </w:tr>
      <w:tr>
        <w:trPr>
          <w:trHeight w:val="153"/>
        </w:trPr>
        <w:tc>
          <w:tcPr>
            <w:tcW w:w="620" w:type="dxa"/>
            <w:vAlign w:val="bottom"/>
          </w:tcPr>
          <w:p>
            <w:pPr>
              <w:spacing w:after="0"/>
              <w:rPr>
                <w:sz w:val="13"/>
                <w:szCs w:val="13"/>
                <w:color w:val="auto"/>
              </w:rPr>
            </w:pPr>
          </w:p>
        </w:tc>
        <w:tc>
          <w:tcPr>
            <w:tcW w:w="1240" w:type="dxa"/>
            <w:vAlign w:val="bottom"/>
            <w:tcBorders>
              <w:top w:val="single" w:sz="8" w:color="0000FF"/>
            </w:tcBorders>
            <w:gridSpan w:val="2"/>
          </w:tcPr>
          <w:p>
            <w:pPr>
              <w:spacing w:after="0" w:line="153" w:lineRule="exact"/>
              <w:rPr>
                <w:sz w:val="20"/>
                <w:szCs w:val="20"/>
                <w:color w:val="auto"/>
              </w:rPr>
            </w:pPr>
            <w:r>
              <w:rPr>
                <w:rFonts w:ascii="Arial" w:cs="Arial" w:eastAsia="Arial" w:hAnsi="Arial"/>
                <w:sz w:val="15"/>
                <w:szCs w:val="15"/>
                <w:color w:val="0000FF"/>
              </w:rPr>
              <w:t>kull@cpc-pr.com</w:t>
            </w:r>
          </w:p>
        </w:tc>
        <w:tc>
          <w:tcPr>
            <w:tcW w:w="3640" w:type="dxa"/>
            <w:vAlign w:val="bottom"/>
            <w:tcBorders>
              <w:right w:val="single" w:sz="8" w:color="auto"/>
            </w:tcBorders>
            <w:gridSpan w:val="2"/>
          </w:tcPr>
          <w:p>
            <w:pPr>
              <w:spacing w:after="0"/>
              <w:rPr>
                <w:sz w:val="13"/>
                <w:szCs w:val="13"/>
                <w:color w:val="auto"/>
              </w:rPr>
            </w:pPr>
          </w:p>
        </w:tc>
        <w:tc>
          <w:tcPr>
            <w:tcW w:w="580" w:type="dxa"/>
            <w:vAlign w:val="bottom"/>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380" w:type="dxa"/>
            <w:vAlign w:val="bottom"/>
          </w:tcPr>
          <w:p>
            <w:pPr>
              <w:spacing w:after="0"/>
              <w:rPr>
                <w:sz w:val="13"/>
                <w:szCs w:val="13"/>
                <w:color w:val="auto"/>
              </w:rPr>
            </w:pPr>
          </w:p>
        </w:tc>
      </w:tr>
      <w:tr>
        <w:trPr>
          <w:trHeight w:val="84"/>
        </w:trPr>
        <w:tc>
          <w:tcPr>
            <w:tcW w:w="620" w:type="dxa"/>
            <w:vAlign w:val="bottom"/>
          </w:tcPr>
          <w:p>
            <w:pPr>
              <w:spacing w:after="0"/>
              <w:rPr>
                <w:sz w:val="7"/>
                <w:szCs w:val="7"/>
                <w:color w:val="auto"/>
              </w:rPr>
            </w:pPr>
          </w:p>
        </w:tc>
        <w:tc>
          <w:tcPr>
            <w:tcW w:w="1140" w:type="dxa"/>
            <w:vAlign w:val="bottom"/>
            <w:tcBorders>
              <w:top w:val="single" w:sz="8" w:color="0000FF"/>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380" w:type="dxa"/>
            <w:vAlign w:val="bottom"/>
          </w:tcPr>
          <w:p>
            <w:pPr>
              <w:spacing w:after="0"/>
              <w:rPr>
                <w:sz w:val="7"/>
                <w:szCs w:val="7"/>
                <w:color w:val="auto"/>
              </w:rPr>
            </w:pPr>
          </w:p>
        </w:tc>
      </w:tr>
      <w:tr>
        <w:trPr>
          <w:trHeight w:val="681"/>
        </w:trPr>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-1720850</wp:posOffset>
            </wp:positionV>
            <wp:extent cx="7266305" cy="1282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6305" cy="1282065"/>
                    </a:xfrm>
                    <a:prstGeom prst="rect">
                      <a:avLst/>
                    </a:prstGeom>
                    <a:noFill/>
                  </pic:spPr>
                </pic:pic>
              </a:graphicData>
            </a:graphic>
          </wp:anchor>
        </w:drawing>
      </w:r>
    </w:p>
    <w:sectPr>
      <w:pgSz w:w="11900" w:h="16838" w:orient="portrait"/>
      <w:cols w:equalWidth="0" w:num="1">
        <w:col w:w="11440"/>
      </w:cols>
      <w:pgMar w:left="240" w:top="5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1"/>
    </w:lvl>
  </w:abstractNum>
  <w:abstractNum w:abstractNumId="1">
    <w:nsid w:val="74B0DC51"/>
    <w:multiLevelType w:val="hybridMultilevel"/>
    <w:lvl w:ilvl="0">
      <w:lvlJc w:val="left"/>
      <w:lvlText w:val="%1."/>
      <w:numFmt w:val="upp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2019-12-08T14:29:30Z</dcterms:created>
  <dcterms:modified xsi:type="dcterms:W3CDTF">2019-12-08T14:29:30Z</dcterms:modified>
</cp:coreProperties>
</file>