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591820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00" w:top="1035" w:right="1259" w:bottom="1440" w:gutter="0" w:footer="0" w:header="0"/>
        </w:sectPr>
      </w:pPr>
    </w:p>
    <w:bookmarkStart w:id="1" w:name="page2"/>
    <w:bookmarkEnd w:id="1"/>
    <w:p>
      <w:pPr>
        <w:ind w:right="20"/>
        <w:spacing w:after="0" w:line="266" w:lineRule="auto"/>
        <w:rPr>
          <w:sz w:val="20"/>
          <w:szCs w:val="20"/>
          <w:color w:val="auto"/>
        </w:rPr>
      </w:pPr>
      <w:r>
        <w:rPr>
          <w:rFonts w:ascii="Times New Roman" w:cs="Times New Roman" w:eastAsia="Times New Roman" w:hAnsi="Times New Roman"/>
          <w:sz w:val="18"/>
          <w:szCs w:val="18"/>
          <w:color w:val="auto"/>
        </w:rPr>
        <w:t>On December 15, 2023, AC Immune SA (the “Company”) entered into an underwriting agreement (the “Underwriting Agreement”) with Jefferies LLC and Leerink Partners LLC, as representatives of the underwriters listed on Schedule A thereto (the “Underwriters”), relating to the issuance and sale (the “Offering”) of 14,300,000 of the Company’s common shares (“Common Shares”), nominal value CHF 0.02 per share.</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price to the public in the Offering is $3.50 per Common Share such that the Offering raised gross proceeds of approximately $50.1 million. The net proceeds to the Company from the Offering are expected to be approximately $46.3 million, after deducting underwriting discounts and other estimated offering expenses payable by the Company.</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registration statement on Form F-3 (Registration Statement No. 333-255576) previously filed with the Securities and Exchange Commission and a prospectus supplement thereunder.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pursuant to the terms of the Underwriting Agreement and related “lock-up” agreements, the Company and each director and certain executive officers of the Company have agreed, subject to certain exceptions, not to sell, transfer or otherwise dispose of securities of the Company during the 60-day period following the date of the Underwriting Agreement.</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Underwriting Agreement is filed as Exhibit 1.1 to this report, and the description of the terms of the Underwriting Agreement is qualified in its entirety by reference to such exhibit.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copy of the opinion of Bär &amp; Karrer AG, Swiss counsel for the Company, relating to the validity of the common shares issued and sold in the Offering is attached as Exhibit 5.1 hereto.</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 on Form F-3 (Registration Number 333-255576)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039"/>
          </w:cols>
          <w:pgMar w:left="420" w:top="536" w:right="1440" w:bottom="1440" w:gutter="0" w:footer="0" w:header="0"/>
        </w:sect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36830</wp:posOffset>
            </wp:positionV>
            <wp:extent cx="714057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760" w:space="720"/>
            <w:col w:w="4559"/>
          </w:cols>
          <w:pgMar w:left="420" w:top="536" w:right="1440" w:bottom="1440" w:gutter="0" w:footer="0" w:header="0"/>
          <w:type w:val="continuous"/>
        </w:sectPr>
      </w:pPr>
    </w:p>
    <w:p>
      <w:pPr>
        <w:ind w:left="200"/>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7"/>
          <w:szCs w:val="17"/>
          <w:u w:val="single" w:color="auto"/>
          <w:color w:val="0000EE"/>
        </w:rPr>
        <w:t>Underwriting Agreement, dated December 15, 2023, among AC Immune SA and Jefferies LLC and Leerink Partners LLC</w:t>
      </w:r>
    </w:p>
    <w:p>
      <w:pPr>
        <w:spacing w:after="0" w:line="77" w:lineRule="exact"/>
        <w:rPr>
          <w:sz w:val="20"/>
          <w:szCs w:val="20"/>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u w:val="single" w:color="auto"/>
          <w:color w:val="0000EE"/>
        </w:rPr>
        <w:t>Opinion of Bär &amp; Karrer AG</w:t>
      </w:r>
    </w:p>
    <w:p>
      <w:pPr>
        <w:spacing w:after="0" w:line="77"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Bär &amp; Karrer AG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39"/>
          </w:cols>
          <w:pgMar w:left="420" w:top="536"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Interim 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December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14,300,000 Common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05"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Introductory. </w:t>
      </w:r>
      <w:r>
        <w:rPr>
          <w:rFonts w:ascii="Times New Roman" w:cs="Times New Roman" w:eastAsia="Times New Roman" w:hAnsi="Times New Roman"/>
          <w:sz w:val="17"/>
          <w:szCs w:val="17"/>
          <w:color w:val="auto"/>
        </w:rPr>
        <w:t>AC Immune SA, a company established in Ecublens, Canton of Vaud, Switzerland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sell to the several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underwriters named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an aggregate of 14,300,000 shares of its registered shares, nominal value CHF 0.02 per share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 14,300,000 Shares to be sold by the Company are called the “</w:t>
      </w:r>
      <w:r>
        <w:rPr>
          <w:rFonts w:ascii="Times New Roman" w:cs="Times New Roman" w:eastAsia="Times New Roman" w:hAnsi="Times New Roman"/>
          <w:sz w:val="17"/>
          <w:szCs w:val="17"/>
          <w:b w:val="1"/>
          <w:bCs w:val="1"/>
          <w:color w:val="auto"/>
        </w:rPr>
        <w:t>Offered Shares</w:t>
      </w:r>
      <w:r>
        <w:rPr>
          <w:rFonts w:ascii="Times New Roman" w:cs="Times New Roman" w:eastAsia="Times New Roman" w:hAnsi="Times New Roman"/>
          <w:sz w:val="17"/>
          <w:szCs w:val="17"/>
          <w:color w:val="auto"/>
        </w:rPr>
        <w:t>” and shall comprise 14,300,000 newly issued Shares.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and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 as the context requires.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F-3, File No. 333-255576,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 Rule 462(b) Registration Statement.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Shares and the offering thereof (the “</w:t>
      </w:r>
      <w:r>
        <w:rPr>
          <w:rFonts w:ascii="Times New Roman" w:cs="Times New Roman" w:eastAsia="Times New Roman" w:hAnsi="Times New Roman"/>
          <w:sz w:val="18"/>
          <w:szCs w:val="18"/>
          <w:b w:val="1"/>
          <w:bCs w:val="1"/>
          <w:color w:val="auto"/>
        </w:rPr>
        <w:t>Final 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Shares or in the form first made available to the Underwriters by the Company to meet requests of purchasers pursuant to Rule 173 under the Securities Act.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7:30 a.m. (New York City time) on December 15, 2023.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Base Prospectus, as amended or supplemented immediately prior to the Applicable Time, together with the free writing prospectuses, if any, identified in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and the pricing information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2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 of the Offered Shares contemplated hereby that is a “written communication” (as defined in Rule 405 under the Securities Act).</w:t>
      </w:r>
    </w:p>
    <w:p>
      <w:pPr>
        <w:spacing w:after="0" w:line="15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any preliminary prospectus, the Base Prospectus, the Time of Sale Prospectus or the Prospectus, as the case may be. All references in this Agreement to amendments or supplements to the Registration Statement,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any preliminary prospectus, the Base Prospectus, or the Prospectus, as the case may be. All references in this Agreement to (i)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Shares as contemplated by Section 5(n) of this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right="24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Representations and Warranties of the Company. </w:t>
      </w:r>
      <w:r>
        <w:rPr>
          <w:rFonts w:ascii="Times New Roman" w:cs="Times New Roman" w:eastAsia="Times New Roman" w:hAnsi="Times New Roman"/>
          <w:sz w:val="18"/>
          <w:szCs w:val="18"/>
          <w:color w:val="auto"/>
        </w:rPr>
        <w:t>The Company hereby represents, warrants and covenants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Underwriter, as of the date of this Agreement, and as of the Closing Date (as hereinafter defined), if any, as follows:</w:t>
      </w:r>
    </w:p>
    <w:p>
      <w:pPr>
        <w:spacing w:after="0" w:line="155" w:lineRule="exact"/>
        <w:rPr>
          <w:sz w:val="20"/>
          <w:szCs w:val="20"/>
          <w:color w:val="auto"/>
        </w:rPr>
      </w:pPr>
    </w:p>
    <w:p>
      <w:pPr>
        <w:ind w:right="120" w:firstLine="656"/>
        <w:spacing w:after="0" w:line="254" w:lineRule="auto"/>
        <w:tabs>
          <w:tab w:leader="none" w:pos="158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20-F for the year ended December 31, 2022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the Company met the then-applicable requirements for use of Form F-3 under the Securities Act. The Company meets the requirements for use of Form F-3 under the Securities Act pursuant to General Instruction I.A.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85" w:lineRule="exact"/>
        <w:rPr>
          <w:rFonts w:ascii="Times New Roman" w:cs="Times New Roman" w:eastAsia="Times New Roman" w:hAnsi="Times New Roman"/>
          <w:sz w:val="18"/>
          <w:szCs w:val="18"/>
          <w:b w:val="1"/>
          <w:bCs w:val="1"/>
          <w:color w:val="auto"/>
        </w:rPr>
      </w:pPr>
    </w:p>
    <w:p>
      <w:pPr>
        <w:ind w:firstLine="656"/>
        <w:spacing w:after="0" w:line="262" w:lineRule="auto"/>
        <w:tabs>
          <w:tab w:leader="none" w:pos="154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preliminary prospectus and the Prospectus when filed complied in all material respects with the applicable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t>at the time it became or becomes effective, complied and will comply in all material respects with the applicable provisions of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such information only consists of the information described in Section 11(b) below. There are no contracts or other documents required to be described in the Time of Sale Prospectus or the Prospectus or to be filed as an exhibit to the Registration Statement which have not been described or filed as required.</w:t>
      </w:r>
    </w:p>
    <w:p>
      <w:pPr>
        <w:spacing w:after="0" w:line="186" w:lineRule="exact"/>
        <w:rPr>
          <w:sz w:val="20"/>
          <w:szCs w:val="20"/>
          <w:color w:val="auto"/>
        </w:rPr>
      </w:pPr>
    </w:p>
    <w:p>
      <w:pPr>
        <w:ind w:right="20" w:firstLine="656"/>
        <w:spacing w:after="0" w:line="253" w:lineRule="auto"/>
        <w:tabs>
          <w:tab w:leader="none" w:pos="150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(which consent shall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85" w:lineRule="exact"/>
        <w:rPr>
          <w:rFonts w:ascii="Times New Roman" w:cs="Times New Roman" w:eastAsia="Times New Roman" w:hAnsi="Times New Roman"/>
          <w:sz w:val="18"/>
          <w:szCs w:val="18"/>
          <w:b w:val="1"/>
          <w:bCs w:val="1"/>
          <w:color w:val="auto"/>
        </w:rPr>
      </w:pPr>
    </w:p>
    <w:p>
      <w:pPr>
        <w:ind w:right="80" w:firstLine="656"/>
        <w:spacing w:after="0" w:line="262" w:lineRule="auto"/>
        <w:tabs>
          <w:tab w:leader="none" w:pos="153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completion of the Underwriters’ distribution of the Offered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(which consent shall not be unreasonably withheld), and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76" w:lineRule="exact"/>
        <w:rPr>
          <w:rFonts w:ascii="Times New Roman" w:cs="Times New Roman" w:eastAsia="Times New Roman" w:hAnsi="Times New Roman"/>
          <w:sz w:val="18"/>
          <w:szCs w:val="18"/>
          <w:b w:val="1"/>
          <w:bCs w:val="1"/>
          <w:color w:val="auto"/>
        </w:rPr>
      </w:pPr>
    </w:p>
    <w:p>
      <w:pPr>
        <w:ind w:left="1580" w:hanging="924"/>
        <w:spacing w:after="0"/>
        <w:tabs>
          <w:tab w:leader="none" w:pos="1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right="140" w:firstLine="656"/>
        <w:spacing w:after="0" w:line="286" w:lineRule="auto"/>
        <w:tabs>
          <w:tab w:leader="none" w:pos="153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when registered with the Commercial Register of the Canton of Vaud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by the Company against payment</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 w:name="page8"/>
    <w:bookmarkEnd w:id="7"/>
    <w:p>
      <w:pPr>
        <w:ind w:right="560"/>
        <w:spacing w:after="0" w:line="289" w:lineRule="auto"/>
        <w:rPr>
          <w:sz w:val="20"/>
          <w:szCs w:val="20"/>
          <w:color w:val="auto"/>
        </w:rPr>
      </w:pPr>
      <w:r>
        <w:rPr>
          <w:rFonts w:ascii="Times New Roman" w:cs="Times New Roman" w:eastAsia="Times New Roman" w:hAnsi="Times New Roman"/>
          <w:sz w:val="17"/>
          <w:szCs w:val="17"/>
          <w:color w:val="auto"/>
        </w:rPr>
        <w:t>therefor pursuant to this Agreement, will be duly authorized for issuance and sale pursuant to this Agreement, validly issued, fully paid-in and nonassessable, and, other than as expressly set forth in this Agreement or the Time of Sale Prospectus or the Prospectus, the issuance and sale of the Offered Shares is not subject to any pre-emptive rights, rights of first refusal or other similar rights to subscribe for or purchase the Offered Shares.</w:t>
      </w:r>
    </w:p>
    <w:p>
      <w:pPr>
        <w:spacing w:after="0" w:line="154" w:lineRule="exact"/>
        <w:rPr>
          <w:sz w:val="20"/>
          <w:szCs w:val="20"/>
          <w:color w:val="auto"/>
        </w:rPr>
      </w:pPr>
    </w:p>
    <w:p>
      <w:pPr>
        <w:ind w:right="60" w:firstLine="656"/>
        <w:spacing w:after="0" w:line="257" w:lineRule="auto"/>
        <w:tabs>
          <w:tab w:leader="none" w:pos="14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disclosed in the Time of Sale Prospectus and the Prospectus, there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 (collectively, “registration rights”), and any person to whom the Company has granted registration rights has agreed not to exercise such rights until after the expiration of the Lock-Up Period referred to in Section 5(p) hereof.</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7" w:lineRule="auto"/>
        <w:tabs>
          <w:tab w:leader="none" w:pos="145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 in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disclosed in the Registration Statement, the Time of Sale Prospectus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since the end of the period covered by the latest audited financial statements included in the Registration Statement, the Time of Sale Prospectus and the Prospectus,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55" w:lineRule="auto"/>
        <w:tabs>
          <w:tab w:leader="none" w:pos="15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PricewaterhouseCoopers SA, which has expressed its opinion with respect to the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term as used in this Agreement includes the related notes thereto) filed with the Commission as a part of the Registration Statement, the Time of Sale Prospectus and the Prospectus, was, at the time of expressing such opinion,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CO, the Swiss Audit Supervision Act (</w:t>
      </w:r>
      <w:r>
        <w:rPr>
          <w:rFonts w:ascii="Times New Roman" w:cs="Times New Roman" w:eastAsia="Times New Roman" w:hAnsi="Times New Roman"/>
          <w:sz w:val="18"/>
          <w:szCs w:val="18"/>
          <w:i w:val="1"/>
          <w:iCs w:val="1"/>
          <w:color w:val="auto"/>
        </w:rPr>
        <w:t>Revisionsaufsichtsgesetz</w:t>
      </w:r>
      <w:r>
        <w:rPr>
          <w:rFonts w:ascii="Times New Roman" w:cs="Times New Roman" w:eastAsia="Times New Roman" w:hAnsi="Times New Roman"/>
          <w:sz w:val="18"/>
          <w:szCs w:val="18"/>
          <w:color w:val="auto"/>
        </w:rPr>
        <w:t>) and any ordinances promulgated thereunder.</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9" w:lineRule="auto"/>
        <w:tabs>
          <w:tab w:leader="none" w:pos="157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consolidated financial statements included or incorporated by reference in each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of Sale Prospectus and the Prospectus present fairly in all material respects the consolidated financial position of the Company and its subsidiaries as of the dates shown and consolidated results of operations and cash flows for the periods shown, and such consolidated financial statements have been prepared in conformity with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(the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applied on a consistent basis.</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62" w:lineRule="auto"/>
        <w:tabs>
          <w:tab w:leader="none" w:pos="15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Internal Controls and Compliance with Sarbanes-Oxley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the applicable provisions of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and the Exchange Act. The Company maintains a system of internal controls, including, but not limited to, disclosure controls and procedures, internal controls over accounting matters and financial reporting, an internal audit function and legal and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IFRS as issued by the ISAB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thereto. The Internal Controls are overseen by the Audit &amp; Finance Committee (the “</w:t>
      </w:r>
      <w:r>
        <w:rPr>
          <w:rFonts w:ascii="Times New Roman" w:cs="Times New Roman" w:eastAsia="Times New Roman" w:hAnsi="Times New Roman"/>
          <w:sz w:val="18"/>
          <w:szCs w:val="18"/>
          <w:b w:val="1"/>
          <w:bCs w:val="1"/>
          <w:color w:val="auto"/>
        </w:rPr>
        <w:t>Audit &amp; Finance Committee</w:t>
      </w:r>
      <w:r>
        <w:rPr>
          <w:rFonts w:ascii="Times New Roman" w:cs="Times New Roman" w:eastAsia="Times New Roman" w:hAnsi="Times New Roman"/>
          <w:sz w:val="18"/>
          <w:szCs w:val="18"/>
          <w:color w:val="auto"/>
        </w:rPr>
        <w:t>”) of the Board in accordance with Exchange Act. Except as disclosed in the Time of Sale Prospectus and the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any violation of, or failure to comply with, Sarbanes-Oxley, the Exchange Act and the rules of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any matter which, if determined adversely, would have a Material Adverse Change.</w:t>
      </w:r>
    </w:p>
    <w:p>
      <w:pPr>
        <w:spacing w:after="0" w:line="187" w:lineRule="exact"/>
        <w:rPr>
          <w:sz w:val="20"/>
          <w:szCs w:val="20"/>
          <w:color w:val="auto"/>
        </w:rPr>
      </w:pPr>
    </w:p>
    <w:p>
      <w:pPr>
        <w:ind w:firstLine="656"/>
        <w:spacing w:after="0" w:line="268" w:lineRule="auto"/>
        <w:tabs>
          <w:tab w:leader="none" w:pos="14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been duly incorporated and is duly organized and validly existing under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Switzerland, with full power and authority (corporate and other) to own its properties and conduct its business as described in the Registration Statement, the Time of Sale Prospectus and the Prospectus.</w:t>
      </w:r>
    </w:p>
    <w:p>
      <w:pPr>
        <w:spacing w:after="0" w:line="170"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only subsidiary (as defined in Rule 405 under the Securities Act) is AC Immune USA, Inc.</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53" w:lineRule="auto"/>
        <w:tabs>
          <w:tab w:leader="none" w:pos="144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September 30, 2023, the issued and outstanding share capital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 capital as well as the conditional share capital of the Company are as set forth in the Registration Statement, the Time of Sale Prospectus and the Prospectus under the caption “Capitalization” (other than for subsequent issuances, if any, pursuant to employee benefit plans, pursuant to the Company’s existing “at the market” program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and the Federal Act on the Amendment of the Swiss Civil Code Part Five: The Code of Obligations (the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or other rights convertible into or exchangeable or exercisable for, any capital stock of the Company other than those described in the Registration Statement, the Time of Sale Prospectus and the Prospectus. The descriptions of the Company’s stock option, stock bonus and other stock plans or similar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185" w:lineRule="exact"/>
        <w:rPr>
          <w:rFonts w:ascii="Times New Roman" w:cs="Times New Roman" w:eastAsia="Times New Roman" w:hAnsi="Times New Roman"/>
          <w:sz w:val="18"/>
          <w:szCs w:val="18"/>
          <w:b w:val="1"/>
          <w:bCs w:val="1"/>
          <w:color w:val="auto"/>
        </w:rPr>
      </w:pPr>
    </w:p>
    <w:p>
      <w:pPr>
        <w:ind w:right="160" w:firstLine="656"/>
        <w:spacing w:after="0" w:line="286" w:lineRule="auto"/>
        <w:tabs>
          <w:tab w:leader="none" w:pos="148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are registered pursuant to Section 12(b) or 12(g) of the Exchange Act and are listed on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Company has taken no action designed to, or likely to</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9" w:name="page10"/>
    <w:bookmarkEnd w:id="9"/>
    <w:p>
      <w:pPr>
        <w:ind w:right="60"/>
        <w:spacing w:after="0" w:line="266" w:lineRule="auto"/>
        <w:rPr>
          <w:sz w:val="20"/>
          <w:szCs w:val="20"/>
          <w:color w:val="auto"/>
        </w:rPr>
      </w:pPr>
      <w:r>
        <w:rPr>
          <w:rFonts w:ascii="Times New Roman" w:cs="Times New Roman" w:eastAsia="Times New Roman" w:hAnsi="Times New Roman"/>
          <w:sz w:val="18"/>
          <w:szCs w:val="18"/>
          <w:color w:val="auto"/>
        </w:rPr>
        <w:t>have the effect of, terminating the registration of the Shares under the Exchange Act or delisting the Shares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172" w:lineRule="exact"/>
        <w:rPr>
          <w:sz w:val="20"/>
          <w:szCs w:val="20"/>
          <w:color w:val="auto"/>
        </w:rPr>
      </w:pPr>
    </w:p>
    <w:p>
      <w:pPr>
        <w:ind w:right="140" w:firstLine="656"/>
        <w:spacing w:after="0" w:line="259" w:lineRule="auto"/>
        <w:tabs>
          <w:tab w:leader="none" w:pos="144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or registration with, any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governmental agency or body or any court) is required for the consummation of the transactions contemplated by this Agreement in connection with the offering, the issuance and sale of the Offered Shares by the Company,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40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Defaults and Conflicts Resulting from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execution, delivery and performance of this Agreement,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and sale of the Offered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As used herein,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85" w:lineRule="exact"/>
        <w:rPr>
          <w:rFonts w:ascii="Times New Roman" w:cs="Times New Roman" w:eastAsia="Times New Roman" w:hAnsi="Times New Roman"/>
          <w:sz w:val="18"/>
          <w:szCs w:val="18"/>
          <w:b w:val="1"/>
          <w:bCs w:val="1"/>
          <w:color w:val="auto"/>
        </w:rPr>
      </w:pPr>
    </w:p>
    <w:p>
      <w:pPr>
        <w:ind w:right="120" w:firstLine="656"/>
        <w:spacing w:after="0" w:line="262" w:lineRule="auto"/>
        <w:tabs>
          <w:tab w:leader="none" w:pos="136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Existing Defaults and Conflicts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not in violation of its articles of association or similar organizational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documents 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176" w:lineRule="exact"/>
        <w:rPr>
          <w:rFonts w:ascii="Times New Roman" w:cs="Times New Roman" w:eastAsia="Times New Roman" w:hAnsi="Times New Roman"/>
          <w:sz w:val="18"/>
          <w:szCs w:val="18"/>
          <w:b w:val="1"/>
          <w:bCs w:val="1"/>
          <w:color w:val="auto"/>
        </w:rPr>
      </w:pPr>
    </w:p>
    <w:p>
      <w:pPr>
        <w:ind w:right="380" w:firstLine="656"/>
        <w:spacing w:after="0" w:line="286" w:lineRule="auto"/>
        <w:tabs>
          <w:tab w:leader="none" w:pos="144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Laws. </w:t>
      </w:r>
      <w:r>
        <w:rPr>
          <w:rFonts w:ascii="Times New Roman" w:cs="Times New Roman" w:eastAsia="Times New Roman" w:hAnsi="Times New Roman"/>
          <w:sz w:val="18"/>
          <w:szCs w:val="18"/>
          <w:color w:val="auto"/>
        </w:rPr>
        <w:t>The Company has been and is in compliance with all applicable laws, rules and regulations, except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to be so in compliance could not be expected, individually or in the aggregate,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48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disclosed in the Registration Statement, the Time of Sale Prospectus or the Prospectus, there are no pending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Shares; and no such actions, suits or proceedings (including any inquiries or investigations by any court or governmental agency or body, domestic or foreign) are, to the Company’s knowledge, threatened or contemplated.</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p>
      <w:pPr>
        <w:ind w:right="520" w:firstLine="656"/>
        <w:spacing w:after="0" w:line="286" w:lineRule="auto"/>
        <w:tabs>
          <w:tab w:leader="none" w:pos="1447"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Labor Dispute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labor dispute with the employees of the Company exists or, to the knowledge of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imminent that would reasonably be expected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408"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owns, possesses or can acquire on reasonable terms all trademarks, trade names, patent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rights, copyrights, domain names, licenses, trade secrets, inventions, technology, know-how and other intellectual property and similar proprietary rights, including registrations and applications for registration thereof (collectively,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described in the Time of Sale Prospectus and, to the knowledge of the Company and except as disclosed in the Time of Sale Prospectus and the Prospectus, owns all Intellectual Property Rights necessary or material to the conduct of the business now conducted or proposed in the Time of Sale Prospectus to be conducted by it. Except in the case of clauses (i)–(iv) below as would not, individually or in the aggregate, reasonably be expected to have a Material Adverse Effect,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w:t>
      </w:r>
    </w:p>
    <w:p>
      <w:pPr>
        <w:spacing w:after="0" w:line="4" w:lineRule="exact"/>
        <w:rPr>
          <w:rFonts w:ascii="Times New Roman" w:cs="Times New Roman" w:eastAsia="Times New Roman" w:hAnsi="Times New Roman"/>
          <w:sz w:val="17"/>
          <w:szCs w:val="17"/>
          <w:b w:val="1"/>
          <w:bCs w:val="1"/>
          <w:color w:val="auto"/>
        </w:rPr>
      </w:pPr>
    </w:p>
    <w:p>
      <w:pPr>
        <w:ind w:right="20" w:firstLine="8"/>
        <w:spacing w:after="0" w:line="25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w:t>
      </w:r>
    </w:p>
    <w:p>
      <w:pPr>
        <w:spacing w:after="0" w:line="184" w:lineRule="exact"/>
        <w:rPr>
          <w:rFonts w:ascii="Times New Roman" w:cs="Times New Roman" w:eastAsia="Times New Roman" w:hAnsi="Times New Roman"/>
          <w:sz w:val="18"/>
          <w:szCs w:val="18"/>
          <w:color w:val="auto"/>
        </w:rPr>
      </w:pPr>
    </w:p>
    <w:p>
      <w:pPr>
        <w:ind w:right="80" w:firstLine="656"/>
        <w:spacing w:after="0" w:line="257" w:lineRule="auto"/>
        <w:tabs>
          <w:tab w:leader="none" w:pos="1368"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Possession of Licenses and Permits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possesses, and is in compliance with the terms of, all adequate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authorizations, franchises, licenses and permits, including, without limitation,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equivalent foreign regulatory authorities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necessary or material to the conduct of the business now conducted or proposed in the Registration Statement, the Time of Sale Prospectus or the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182" w:lineRule="exact"/>
        <w:rPr>
          <w:rFonts w:ascii="Times New Roman" w:cs="Times New Roman" w:eastAsia="Times New Roman" w:hAnsi="Times New Roman"/>
          <w:sz w:val="18"/>
          <w:szCs w:val="18"/>
          <w:b w:val="1"/>
          <w:bCs w:val="1"/>
          <w:color w:val="auto"/>
        </w:rPr>
      </w:pPr>
    </w:p>
    <w:p>
      <w:pPr>
        <w:jc w:val="both"/>
        <w:ind w:right="100" w:firstLine="656"/>
        <w:spacing w:after="0" w:line="259" w:lineRule="auto"/>
        <w:tabs>
          <w:tab w:leader="none" w:pos="1357"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Title to Property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does not own any real property. Except as disclosed in the Registration Statement, the Time of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or the Prospectus, the Company has good and marketable title to all other material properties and assets owned by it, in each case free from liens, charges, encumbrances and defects that would reasonably be expected to have a Material Adverse Effect and, except as disclosed in the Registration Statement, the Time of Sale Prospectus or the Prospectus, the Company holds any leased real or personal property under valid and enforceable leases with no terms or provisions that would reasonably be expected to have a Material Adverse Effect.</w:t>
      </w:r>
    </w:p>
    <w:p>
      <w:pPr>
        <w:spacing w:after="0" w:line="179" w:lineRule="exact"/>
        <w:rPr>
          <w:rFonts w:ascii="Times New Roman" w:cs="Times New Roman" w:eastAsia="Times New Roman" w:hAnsi="Times New Roman"/>
          <w:sz w:val="18"/>
          <w:szCs w:val="18"/>
          <w:b w:val="1"/>
          <w:bCs w:val="1"/>
          <w:color w:val="auto"/>
        </w:rPr>
      </w:pPr>
    </w:p>
    <w:p>
      <w:pPr>
        <w:ind w:right="80" w:firstLine="656"/>
        <w:spacing w:after="0" w:line="259" w:lineRule="auto"/>
        <w:tabs>
          <w:tab w:leader="none" w:pos="1397"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filed all federal, state, local and non-U.S. tax returns that are required to be filed by it or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extensions thereof (except in any case in which the failure so to file would not have a Material Adverse Effect); and except as disclosed in the Time of Sale Prospectus and the Prospectus, the Company has paid all taxes (including any assessments, fines or penalties) shown as due thereon, except for any such taxes, assessments, fines or penalties currently being contested in good faith or as would not, individually or in the aggregate, have a Material Adverse Effect.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1" w:name="page12"/>
    <w:bookmarkEnd w:id="11"/>
    <w:p>
      <w:pPr>
        <w:ind w:right="20" w:firstLine="656"/>
        <w:spacing w:after="0" w:line="255" w:lineRule="auto"/>
        <w:tabs>
          <w:tab w:leader="none" w:pos="135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insured by insurers with appropriately rated claims paying abilities against such losses and risks and in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4" w:lineRule="exact"/>
        <w:rPr>
          <w:rFonts w:ascii="Times New Roman" w:cs="Times New Roman" w:eastAsia="Times New Roman" w:hAnsi="Times New Roman"/>
          <w:sz w:val="18"/>
          <w:szCs w:val="18"/>
          <w:b w:val="1"/>
          <w:bCs w:val="1"/>
          <w:color w:val="auto"/>
        </w:rPr>
      </w:pPr>
    </w:p>
    <w:p>
      <w:pPr>
        <w:ind w:right="20" w:firstLine="656"/>
        <w:spacing w:after="0" w:line="256" w:lineRule="auto"/>
        <w:tabs>
          <w:tab w:leader="none" w:pos="131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Compliance with Environmental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not in violation of any statute, any rule, regulation, decision or order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182" w:lineRule="exact"/>
        <w:rPr>
          <w:rFonts w:ascii="Times New Roman" w:cs="Times New Roman" w:eastAsia="Times New Roman" w:hAnsi="Times New Roman"/>
          <w:sz w:val="18"/>
          <w:szCs w:val="18"/>
          <w:b w:val="1"/>
          <w:bCs w:val="1"/>
          <w:color w:val="auto"/>
        </w:rPr>
      </w:pPr>
    </w:p>
    <w:p>
      <w:pPr>
        <w:jc w:val="both"/>
        <w:ind w:right="100" w:firstLine="656"/>
        <w:spacing w:after="0" w:line="268" w:lineRule="auto"/>
        <w:tabs>
          <w:tab w:leader="none" w:pos="127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and, after giving effect to the offering and sale of the Offered Shares and the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proceeds thereof as described in the Registration Statement, the Time of Sale Prospectus or the Prospectus, will not be an “investment company” as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35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 constituted or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reasonably be expected to cause or result in the stabilization or manipulation of the price of any security of the Company to facilitate the sale or resale of the Offered Shares.</w:t>
      </w:r>
    </w:p>
    <w:p>
      <w:pPr>
        <w:spacing w:after="0" w:line="170" w:lineRule="exact"/>
        <w:rPr>
          <w:rFonts w:ascii="Times New Roman" w:cs="Times New Roman" w:eastAsia="Times New Roman" w:hAnsi="Times New Roman"/>
          <w:sz w:val="18"/>
          <w:szCs w:val="18"/>
          <w:b w:val="1"/>
          <w:bCs w:val="1"/>
          <w:color w:val="auto"/>
        </w:rPr>
      </w:pPr>
    </w:p>
    <w:p>
      <w:pPr>
        <w:ind w:right="60" w:firstLine="656"/>
        <w:spacing w:after="0" w:line="254" w:lineRule="auto"/>
        <w:tabs>
          <w:tab w:leader="none" w:pos="139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Market Abuse</w:t>
      </w:r>
      <w:r>
        <w:rPr>
          <w:rFonts w:ascii="Times New Roman" w:cs="Times New Roman" w:eastAsia="Times New Roman" w:hAnsi="Times New Roman"/>
          <w:sz w:val="18"/>
          <w:szCs w:val="18"/>
          <w:color w:val="auto"/>
        </w:rPr>
        <w:t>. The Company has not taken, directly or indirectly, in relation to the offering of the Offered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any action or engaged in any course of conduct in breach of, and has taken adequate measures and has adequate procedures in place in order to ensure compliance with, and none of the issue and sale of the Offered Shares and the consummation of the transactions contemplated by this Agreement will constitute a violation by the Company of, any applicable European Union, Swiss, United States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or any other authority. Neither the Company nor any person acting on its or their behalf (which, for the avoidance of doubt, shall not include the Underwriters or their affiliates or persons acting on their behalf, as to whom no representation, warranty or undertaking is given), has taken or omitted to take any action nor will take any action or omit to take any action which may result in the loss by any of the Underwriters of the ability to rely on any stabilization safe harbor.</w:t>
      </w:r>
    </w:p>
    <w:p>
      <w:pPr>
        <w:spacing w:after="0" w:line="188" w:lineRule="exact"/>
        <w:rPr>
          <w:rFonts w:ascii="Times New Roman" w:cs="Times New Roman" w:eastAsia="Times New Roman" w:hAnsi="Times New Roman"/>
          <w:sz w:val="18"/>
          <w:szCs w:val="18"/>
          <w:b w:val="1"/>
          <w:bCs w:val="1"/>
          <w:color w:val="auto"/>
        </w:rPr>
      </w:pPr>
    </w:p>
    <w:p>
      <w:pPr>
        <w:jc w:val="both"/>
        <w:ind w:right="480" w:firstLine="656"/>
        <w:spacing w:after="0" w:line="317" w:lineRule="auto"/>
        <w:tabs>
          <w:tab w:leader="none" w:pos="135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Related-Party Transactions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There are no business relationships or related-party transactions involving the Company or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person required to be described in the Registration Statement, the Time of Sale Prospectus or the Prospectus that have not been described as required.</w:t>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ind w:right="260" w:firstLine="656"/>
        <w:spacing w:after="0" w:line="259" w:lineRule="auto"/>
        <w:tabs>
          <w:tab w:leader="none" w:pos="131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knowledge, its officers and directors and the holders of any securities (debt or equity) of the Company or options to acquire any securities of the Company in connection with the offering of the Offered Shares is true, complete, correct and compliant with the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or NASD Conduct Rules is true, complete and correct.</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27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color w:val="auto"/>
        </w:rPr>
        <w:t>. Any third-party statistical and market-related data included in the Registration Statement,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Sale Prospectus or the Prospectus or any written testing-the-waters communication are based on or derived from sources that the Company believes to be reliable and accurate.</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68" w:lineRule="auto"/>
        <w:tabs>
          <w:tab w:leader="none" w:pos="1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to the best of the Company’s knowledge, any employee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0" w:lineRule="exact"/>
        <w:rPr>
          <w:rFonts w:ascii="Times New Roman" w:cs="Times New Roman" w:eastAsia="Times New Roman" w:hAnsi="Times New Roman"/>
          <w:sz w:val="18"/>
          <w:szCs w:val="18"/>
          <w:b w:val="1"/>
          <w:bCs w:val="1"/>
          <w:color w:val="auto"/>
        </w:rPr>
      </w:pPr>
    </w:p>
    <w:p>
      <w:pPr>
        <w:ind w:right="100" w:firstLine="656"/>
        <w:spacing w:after="0" w:line="254" w:lineRule="auto"/>
        <w:tabs>
          <w:tab w:leader="none" w:pos="135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Foreign Corrupt Practices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to the knowledge of the Company, any director, officer, agent,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8" w:lineRule="exact"/>
        <w:rPr>
          <w:rFonts w:ascii="Times New Roman" w:cs="Times New Roman" w:eastAsia="Times New Roman" w:hAnsi="Times New Roman"/>
          <w:sz w:val="18"/>
          <w:szCs w:val="18"/>
          <w:b w:val="1"/>
          <w:bCs w:val="1"/>
          <w:color w:val="auto"/>
        </w:rPr>
      </w:pPr>
    </w:p>
    <w:p>
      <w:pPr>
        <w:ind w:right="80" w:firstLine="656"/>
        <w:spacing w:after="0" w:line="257" w:lineRule="auto"/>
        <w:tabs>
          <w:tab w:leader="none" w:pos="126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operations of the Company are, and have been conducted at all times, in compliance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75" w:lineRule="auto"/>
        <w:tabs>
          <w:tab w:leader="none" w:pos="1273"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b w:val="1"/>
          <w:bCs w:val="1"/>
          <w:i w:val="1"/>
          <w:iCs w:val="1"/>
          <w:color w:val="auto"/>
        </w:rPr>
        <w:t>Sanctions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Neither the Company nor, to the knowledge of the Company, after due inquiry, any director, officer, agent, employee, affiliate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person acting on behalf of the Company is currently subject to any sanctions administered by the Office of Foreign Assets Control of the U.S. Treasury Department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or the U.S. Department of State, the United Nations Security Council, the European Union, His Majesty’s Treasury of the United Kingdom, the State Secretariat for Economic Affairs of Switzerland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currently is the subject to</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ind w:right="720"/>
        <w:spacing w:after="0" w:line="282" w:lineRule="auto"/>
        <w:rPr>
          <w:sz w:val="20"/>
          <w:szCs w:val="20"/>
          <w:color w:val="auto"/>
        </w:rPr>
      </w:pPr>
      <w:r>
        <w:rPr>
          <w:rFonts w:ascii="Times New Roman" w:cs="Times New Roman" w:eastAsia="Times New Roman" w:hAnsi="Times New Roman"/>
          <w:sz w:val="18"/>
          <w:szCs w:val="18"/>
          <w:color w:val="auto"/>
        </w:rPr>
        <w:t>any Sanctions or in any other manner that will result in a violation by any person (including any person participating in the transaction whether as underwriter, advisor, investor or otherwise) of Sanctions.</w:t>
      </w:r>
    </w:p>
    <w:p>
      <w:pPr>
        <w:spacing w:after="0" w:line="158" w:lineRule="exact"/>
        <w:rPr>
          <w:sz w:val="20"/>
          <w:szCs w:val="20"/>
          <w:color w:val="auto"/>
        </w:rPr>
      </w:pPr>
    </w:p>
    <w:p>
      <w:pPr>
        <w:ind w:right="620" w:firstLine="575"/>
        <w:spacing w:after="0" w:line="268" w:lineRule="auto"/>
        <w:tabs>
          <w:tab w:leader="none" w:pos="128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No Finder’s Fee</w:t>
      </w:r>
      <w:r>
        <w:rPr>
          <w:rFonts w:ascii="Times New Roman" w:cs="Times New Roman" w:eastAsia="Times New Roman" w:hAnsi="Times New Roman"/>
          <w:sz w:val="18"/>
          <w:szCs w:val="18"/>
          <w:color w:val="auto"/>
        </w:rPr>
        <w:t>. Except as disclosed in the Registration Statement, the Time of Sale Prospectus or the Prospectus, there are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171" w:lineRule="exact"/>
        <w:rPr>
          <w:sz w:val="20"/>
          <w:szCs w:val="20"/>
          <w:color w:val="auto"/>
        </w:rPr>
      </w:pPr>
    </w:p>
    <w:p>
      <w:pPr>
        <w:ind w:left="1320" w:hanging="664"/>
        <w:spacing w:after="0"/>
        <w:tabs>
          <w:tab w:leader="none" w:pos="1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(xl)</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(xli)</w:t>
      </w:r>
      <w:r>
        <w:rPr>
          <w:sz w:val="20"/>
          <w:szCs w:val="20"/>
          <w:color w:val="auto"/>
        </w:rPr>
        <w:tab/>
      </w:r>
      <w:r>
        <w:rPr>
          <w:rFonts w:ascii="Times New Roman" w:cs="Times New Roman" w:eastAsia="Times New Roman" w:hAnsi="Times New Roman"/>
          <w:sz w:val="18"/>
          <w:szCs w:val="18"/>
          <w:b w:val="1"/>
          <w:bCs w:val="1"/>
          <w:i w:val="1"/>
          <w:iCs w:val="1"/>
          <w:color w:val="auto"/>
        </w:rPr>
        <w:t>Clinical Trials</w:t>
      </w:r>
      <w:r>
        <w:rPr>
          <w:rFonts w:ascii="Times New Roman" w:cs="Times New Roman" w:eastAsia="Times New Roman" w:hAnsi="Times New Roman"/>
          <w:sz w:val="18"/>
          <w:szCs w:val="18"/>
          <w:color w:val="auto"/>
        </w:rPr>
        <w:t>. The preclinical and clinical studies conducted by the Company, and to the knowledge of the Company, the preclinical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clinical studies conducted on behalf of, or sponsored by, the Company, that are described in, or the results of which are referred to in, the Time of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were and, if still pending, are being conducted in all material respects in accordance with protocols, procedures and controls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appropriate regulatory authorities for each such test or study, as the case may be, and with standard medical and scientific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except in each case where failure to so conduct would not reasonably be expected to have a Material Adverse Effect; each description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such studies contained in the Time of Sale Prospectus and the Prospectus is accurate and complete in all material respects and fairly presents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derived from such studies, and the Company has no knowledge of any other studies or tests the results of which are inconsistent with, or otherwise 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question, the results described or referred to in the Time of Sale Prospectus and the Prospectus; the Company has not received any notices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from the FDA or any committee thereof or from any other U.S. or foreign government or regulatory authority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requiring the termination, suspension or material modification of any preclinical or clinical studies that are described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Time of Sale Prospectus or the Prospectus, other than ordinary course communications with respect to modifications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design and implementation of such studies; and the Company has operated and currently is in compliance in all respects with all applicable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and policies of the Regulatory Authorities except as would not reasonably be expected to have a Material Adverse Effect.</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(xlii) </w:t>
      </w:r>
      <w:r>
        <w:rPr>
          <w:rFonts w:ascii="Times New Roman" w:cs="Times New Roman" w:eastAsia="Times New Roman" w:hAnsi="Times New Roman"/>
          <w:sz w:val="18"/>
          <w:szCs w:val="18"/>
          <w:b w:val="1"/>
          <w:bCs w:val="1"/>
          <w:i w:val="1"/>
          <w:iCs w:val="1"/>
          <w:color w:val="auto"/>
        </w:rPr>
        <w:t>Healthcare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would not reasonably be expected to have a Material Adverse Effect,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and is currently in compliance with all applicable Health Care Laws (defined herein), and has not engaged in activities which are, as applicable, cause for false claims liability, civil penalties, or mandatory or permissive exclusion from Medicare, Medicaid, or any other state or federal health care program.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Federal Food, Drug, and Cosmetic Act (21 U.S.C. §§ 301 et seq.); the federal Anti-Kickback Statute (42 U.S.C. § 1320a-7b(b)); the civil False Claims Act (31 U.S.C. §§ 3729 et seq.); the criminal False Claims Act (42 U.S.C.</w:t>
      </w:r>
    </w:p>
    <w:p>
      <w:pPr>
        <w:spacing w:after="0" w:line="3" w:lineRule="exact"/>
        <w:rPr>
          <w:sz w:val="20"/>
          <w:szCs w:val="20"/>
          <w:color w:val="auto"/>
        </w:rPr>
      </w:pPr>
    </w:p>
    <w:p>
      <w:pPr>
        <w:ind w:right="40" w:firstLine="8"/>
        <w:spacing w:after="0" w:line="251"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1320a-7b(a)); all criminal laws relating to health care fraud and abuse, including but not limited to 18 U.S.C. Sections 286, 287, 1035, 1347 and 1349, and the health care fraud criminal provisions under the Health Insurance Portability and Accountability Act of 1996 (42 U.S.C. § 1320d et seq.)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the exclusion laws (42 U.S.C. § 1320a-7); the civil monetary penalties law (42 U.S.C. § 1320a-7a); the Physician Payment Sunshine Act (42 U.S.C. § 1320a-7h); HIPAA, as amended by the Health Information Technology for Economic and Clinical Health Act (42 U.S.C. §§ 17921 et seq.); the Medicare statute (Title XVIII of the Social Security Act); the Medicaid statute (Title XIX of the Social Security Act); the regulations promulgated pursuant to such laws and any other similar local, state or federal law and regulations. The Company has not received any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Form 483, notice of adverse finding, warning letter, untitled letter or other correspondence, communication or notice from the U.S. Food and Drug Administration or any other governmental or regulatory authority alleging or asserting material noncompliance with any Health Care Laws, and, to the</w:t>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8"/>
          <w:szCs w:val="18"/>
          <w:color w:val="auto"/>
        </w:rPr>
        <w:t>Company’s knowledge, no claim, action, suit, proceeding, hearing, enforcement, investigation, arbitration or other action is threatened. The Company is not a party to nor does it have any ongoing reporting obligations pursuant to any corporate integrity agreements, deferred prosecution agreements, monitoring agreements, consent decrees, settlement orders, plans of correction or similar agreements with or imposed by any governmental or regulatory authority. The Company, or any of its employees, officers, directors or agents has not been excluded, suspended or debarred from participation in any U.S. federal health care program or human clinical research, or, to the Company’s knowledge, is subject to a governmental inquiry, investigation, proceeding, or other similar action that would reasonably be expected to result in debarment, suspension or exclusion.</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(xliii) </w:t>
      </w:r>
      <w:r>
        <w:rPr>
          <w:rFonts w:ascii="Times New Roman" w:cs="Times New Roman" w:eastAsia="Times New Roman" w:hAnsi="Times New Roman"/>
          <w:sz w:val="18"/>
          <w:szCs w:val="18"/>
          <w:b w:val="1"/>
          <w:bCs w:val="1"/>
          <w:i w:val="1"/>
          <w:iCs w:val="1"/>
          <w:color w:val="auto"/>
        </w:rPr>
        <w:t>Healthcare Product Manufacturing</w:t>
      </w:r>
      <w:r>
        <w:rPr>
          <w:rFonts w:ascii="Times New Roman" w:cs="Times New Roman" w:eastAsia="Times New Roman" w:hAnsi="Times New Roman"/>
          <w:sz w:val="18"/>
          <w:szCs w:val="18"/>
          <w:color w:val="auto"/>
        </w:rPr>
        <w:t>. The manufacture of the Company’s clinical products and product candidates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being conducted in compliance in all material respects with all applicable Good Manufacturing Practices standards, and to the extent of any US clinical trials on Company products, with all applicable Health Care Laws, including, without limitation, the FDA’s current good manufacturing practice regulations at 21 CFR Part 820, and, to the extent applicable to clinical trials on Company products outside of the United States, the respective counterparts thereof promulgated by governmental authorities in countries outside the United States. The Company has not had any manufacturing site (whether Company-owned or, to the Company’s knowledge, that of a third party manufacturer for the Company’s product candidates) subject to a governmental authority (including FDA or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shutdown or import or export prohibition, nor received any FDA, EMA or other governmental authority “warning letters,” or “untitled letters” alleging or asserting material noncompliance with any applicable Health Care Laws, requests to make material changes to the Company’s product 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190"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(xliv) </w:t>
      </w:r>
      <w:r>
        <w:rPr>
          <w:rFonts w:ascii="Times New Roman" w:cs="Times New Roman" w:eastAsia="Times New Roman" w:hAnsi="Times New Roman"/>
          <w:sz w:val="18"/>
          <w:szCs w:val="18"/>
          <w:b w:val="1"/>
          <w:bCs w:val="1"/>
          <w:i w:val="1"/>
          <w:iCs w:val="1"/>
          <w:color w:val="auto"/>
        </w:rPr>
        <w:t>No Imminent Insolvency, Overindebtedness or Capital Loss</w:t>
      </w:r>
      <w:r>
        <w:rPr>
          <w:rFonts w:ascii="Times New Roman" w:cs="Times New Roman" w:eastAsia="Times New Roman" w:hAnsi="Times New Roman"/>
          <w:sz w:val="18"/>
          <w:szCs w:val="18"/>
          <w:color w:val="auto"/>
        </w:rPr>
        <w:t>. The Company is not subject to imminent insolvency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article 725 CO and is not overindebted within the meaning of article 725b CO. The Company is not suffering from capital loss within the meaning of article 725a CO.</w:t>
      </w:r>
    </w:p>
    <w:p>
      <w:pPr>
        <w:spacing w:after="0" w:line="17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(xlv)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color w:val="auto"/>
        </w:rPr>
        <w:t>. Except as would not, individually or in the aggregate, reasonably be expected to have a Material Adverse Effect: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respects as required in connection with, the operation of the business of the Company as currently conducted, to the Company’s knowledge, free and clear of all bugs, errors, defects, Trojan horses, time bombs, malware and other corruptants; (ii) the Company has implemented and maintained commercially reasonable physical, technical and administrative controls, policies, procedures, and safeguards to maintain and protect their confidential information and the integrity, continuous operation, redundancy and security of all IT Systems and data, including Personal Data (as defined hereinafter)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2016/679; or (D) any information which would qualify as “protected health information” under the Health Insurance Portability and Accountability Act of 1996, as amended by the Health Information Technology for Economic and Clinical Health Act); (iii) to the Company’s knowledge, there have been no breaches, violations, outages or unauthorized uses of or accesses to same, except for those that have been remedied</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right="280"/>
        <w:spacing w:after="0" w:line="258" w:lineRule="auto"/>
        <w:rPr>
          <w:sz w:val="20"/>
          <w:szCs w:val="20"/>
          <w:color w:val="auto"/>
        </w:rPr>
      </w:pPr>
      <w:r>
        <w:rPr>
          <w:rFonts w:ascii="Times New Roman" w:cs="Times New Roman" w:eastAsia="Times New Roman" w:hAnsi="Times New Roman"/>
          <w:sz w:val="18"/>
          <w:szCs w:val="18"/>
          <w:color w:val="auto"/>
        </w:rPr>
        <w:t>without cost or liability or the duty to notify any other person, nor any incidents under internal review or investigations relating to the same; and (iv) the Company is presently in compliance with all applicable laws or statutes, including all applicable state and federal data privacy and security laws and regulations,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(xlvi) </w:t>
      </w:r>
      <w:r>
        <w:rPr>
          <w:rFonts w:ascii="Times New Roman" w:cs="Times New Roman" w:eastAsia="Times New Roman" w:hAnsi="Times New Roman"/>
          <w:sz w:val="18"/>
          <w:szCs w:val="18"/>
          <w:b w:val="1"/>
          <w:bCs w:val="1"/>
          <w:i w:val="1"/>
          <w:iCs w:val="1"/>
          <w:color w:val="auto"/>
        </w:rPr>
        <w:t>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the Commercial Register has not been blocked and no challenge of the resolutions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and no other action, complaint or dispute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is pending and, to the best of the Company's knowledge, no Action has been publicly announced or credibly threatened, in each case against or in connection with the transactions contemplated under this Agreement or their consummation; and no laws or regulations and no decision, order, injunction or decree of any court, arbitral tribunal, authority or administrative or regulatory body or commission or exchange exists that has or may have the effect of making illegal or otherwise preventing or prohibiting, or that seeks to enjoin, restrain, impede or levy a substantial difficulty on the transactions contemplated under this Agreement or their consummation.</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8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Purchase, Sale and Delivery of the Offered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59" w:lineRule="auto"/>
        <w:tabs>
          <w:tab w:leader="none" w:pos="157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14,300,000 Offered Shares. On the basis of the representations, warranties and agreements herein contained, and upon the terms but subject to the conditions herein set forth, the Underwriters agree, severally and not jointly, to purchase from the Company on the Closing Date (as defined below) the respective number of Offered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Offered Share to be paid by the several Underwriters to the Company shall be $3.29 per share.</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54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the Offered Shares to the Underwriters and payment for the Offered Shares shall be made at the offices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Paul Hastings LLP (or such other place as may be agreed to by the Company and the Representatives) at 9:00 a.m. New York City time, on December 19, 2023, or such other time and date as the Representatives shall designate by notice to the Company (the time and date of such closing is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and otherwise in accordance with Section 2(d) and Section 2(e).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11(d).</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68" w:lineRule="auto"/>
        <w:tabs>
          <w:tab w:leader="none" w:pos="15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 in the United States, initially on the terms set forth in the Registration Statement, the Time of Sale Prospectus and the Prospectus, their respective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portions of the Offered Shares as soon after this Agreement has been executed as the Representatives, in their sole judgment, have determined is advisable and practicable.</w:t>
      </w:r>
    </w:p>
    <w:p>
      <w:pPr>
        <w:spacing w:after="0" w:line="158" w:lineRule="exact"/>
        <w:rPr>
          <w:sz w:val="20"/>
          <w:szCs w:val="20"/>
          <w:color w:val="auto"/>
        </w:rPr>
      </w:pPr>
    </w:p>
    <w:p>
      <w:pPr>
        <w:ind w:right="100" w:firstLine="656"/>
        <w:spacing w:after="0" w:line="257" w:lineRule="auto"/>
        <w:tabs>
          <w:tab w:leader="none" w:pos="154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for the Offered Shares shall be made at the Closing Date by wire transfer of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funds to the order of the Company. It is understood that the Representatives have been authorized, for their own accounts and the accounts of the several Underwriters, to accept delivery of and receipt for the Offered Shares, and make payment of the purchase price for the Offered Shares the Underwriters have agreed to purchase. Jefferies individually, not as the Representative of the Underwriters, may (but shall not be obligated to) make payment for any Offered Shares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56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Underwriters, through the facilities of The Depositary Trust Company, the Offered Shares in uncertificated form at the Closing Date, against release of a wire transfer of immediately available funds for the amount of the purchase price for the Offered Shares, with any transfer taxes payable in connection with the delivery of the Offered Shares to the Representatives for the accounts of the several Underwriters duly paid by the Representatives. The Offered Shares shall be registered in such names and denominations as the Representatives shall have requested at least one full business day prior to the Closing Date. Time shall be of the essence, and delivery at the time and place specified in this Agreement is a further condition to the obligations of the Underwriters.</w:t>
      </w:r>
    </w:p>
    <w:p>
      <w:pPr>
        <w:spacing w:after="0" w:line="182" w:lineRule="exact"/>
        <w:rPr>
          <w:rFonts w:ascii="Times New Roman" w:cs="Times New Roman" w:eastAsia="Times New Roman" w:hAnsi="Times New Roman"/>
          <w:sz w:val="18"/>
          <w:szCs w:val="18"/>
          <w:b w:val="1"/>
          <w:bCs w:val="1"/>
          <w:color w:val="auto"/>
        </w:rPr>
      </w:pPr>
    </w:p>
    <w:p>
      <w:pPr>
        <w:ind w:right="60" w:firstLine="656"/>
        <w:spacing w:after="0" w:line="259" w:lineRule="auto"/>
        <w:tabs>
          <w:tab w:leader="none" w:pos="159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Board Resolutions prior to Execution of this Agreement. </w:t>
      </w:r>
      <w:r>
        <w:rPr>
          <w:rFonts w:ascii="Times New Roman" w:cs="Times New Roman" w:eastAsia="Times New Roman" w:hAnsi="Times New Roman"/>
          <w:sz w:val="18"/>
          <w:szCs w:val="18"/>
          <w:color w:val="auto"/>
        </w:rPr>
        <w:t>The Company confirms that the Board or its relevant committee has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case of a committee, based on a valid and appropriate delegation by the Board), on or prior to the date hereof, taken appropriate resolutions to implement and complete the transactions contemplated hereunder, in particular (i) to authorize the execution of, and the performance by the Company of its obligations under, this Agreement; (ii) to authorize the issuance of the Offered Shares as contemplated by this Agreement; (iii) to determine the size of any issuance and the price per Offered Shares; and (iv) to approve the Final Prospectus Supplement.</w:t>
      </w:r>
    </w:p>
    <w:p>
      <w:pPr>
        <w:spacing w:after="0" w:line="179"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Capital Increase and the Delivery of Offered Shares.</w:t>
      </w:r>
    </w:p>
    <w:p>
      <w:pPr>
        <w:spacing w:after="0" w:line="225" w:lineRule="exact"/>
        <w:rPr>
          <w:sz w:val="20"/>
          <w:szCs w:val="20"/>
          <w:color w:val="auto"/>
        </w:rPr>
      </w:pPr>
    </w:p>
    <w:p>
      <w:pPr>
        <w:ind w:left="1580" w:hanging="924"/>
        <w:spacing w:after="0"/>
        <w:tabs>
          <w:tab w:leader="none" w:pos="1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Capital Increase. </w:t>
      </w:r>
      <w:r>
        <w:rPr>
          <w:rFonts w:ascii="Times New Roman" w:cs="Times New Roman" w:eastAsia="Times New Roman" w:hAnsi="Times New Roman"/>
          <w:sz w:val="18"/>
          <w:szCs w:val="18"/>
          <w:color w:val="auto"/>
        </w:rPr>
        <w:t>The Company confirms that</w:t>
      </w:r>
    </w:p>
    <w:p>
      <w:pPr>
        <w:spacing w:after="0" w:line="229" w:lineRule="exact"/>
        <w:rPr>
          <w:sz w:val="20"/>
          <w:szCs w:val="20"/>
          <w:color w:val="auto"/>
        </w:rPr>
      </w:pPr>
    </w:p>
    <w:p>
      <w:pPr>
        <w:ind w:right="20" w:firstLine="656"/>
        <w:spacing w:after="0" w:line="266" w:lineRule="auto"/>
        <w:tabs>
          <w:tab w:leader="none" w:pos="158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articles of association authorize the Board to effect a share capital increase in a maximum amount of CHF 400,000.00 by issuing up to 20,000,000 Shares, whereby the statutory pre-emptive rights of the existing shareholders of the Company may be excluded, such authorization having been granted by resolution of the ordinary shareholders' meeting held on June 24, 2022 (the “</w:t>
      </w:r>
      <w:r>
        <w:rPr>
          <w:rFonts w:ascii="Times New Roman" w:cs="Times New Roman" w:eastAsia="Times New Roman" w:hAnsi="Times New Roman"/>
          <w:sz w:val="18"/>
          <w:szCs w:val="18"/>
          <w:b w:val="1"/>
          <w:bCs w:val="1"/>
          <w:color w:val="auto"/>
        </w:rPr>
        <w:t>Shareholders’ Resolution</w:t>
      </w:r>
      <w:r>
        <w:rPr>
          <w:rFonts w:ascii="Times New Roman" w:cs="Times New Roman" w:eastAsia="Times New Roman" w:hAnsi="Times New Roman"/>
          <w:sz w:val="18"/>
          <w:szCs w:val="18"/>
          <w:color w:val="auto"/>
        </w:rPr>
        <w:t>”); and</w:t>
      </w:r>
    </w:p>
    <w:p>
      <w:pPr>
        <w:spacing w:after="0" w:line="173" w:lineRule="exact"/>
        <w:rPr>
          <w:rFonts w:ascii="Times New Roman" w:cs="Times New Roman" w:eastAsia="Times New Roman" w:hAnsi="Times New Roman"/>
          <w:sz w:val="18"/>
          <w:szCs w:val="18"/>
          <w:b w:val="1"/>
          <w:bCs w:val="1"/>
          <w:color w:val="auto"/>
        </w:rPr>
      </w:pPr>
    </w:p>
    <w:p>
      <w:pPr>
        <w:ind w:firstLine="656"/>
        <w:spacing w:after="0" w:line="261" w:lineRule="auto"/>
        <w:tabs>
          <w:tab w:leader="none" w:pos="154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11, 2023 the Board has resolved on an increase of the share capital of the Company (</w:t>
      </w:r>
      <w:r>
        <w:rPr>
          <w:rFonts w:ascii="Times New Roman" w:cs="Times New Roman" w:eastAsia="Times New Roman" w:hAnsi="Times New Roman"/>
          <w:sz w:val="18"/>
          <w:szCs w:val="18"/>
          <w:i w:val="1"/>
          <w:iCs w:val="1"/>
          <w:color w:val="auto"/>
        </w:rPr>
        <w:t>Durchführungsbeschluss</w:t>
      </w:r>
      <w:r>
        <w:rPr>
          <w:rFonts w:ascii="Times New Roman" w:cs="Times New Roman" w:eastAsia="Times New Roman" w:hAnsi="Times New Roman"/>
          <w:sz w:val="18"/>
          <w:szCs w:val="18"/>
          <w:color w:val="auto"/>
        </w:rPr>
        <w:t>) from CHF 1,794,907.30 by an amount of up to CHF 330,000 by issuing up to 16,500,000 new Shares, at an issue price of CHF 0.02 per Share, to be fully paid in in cash, from the Company’s authorized share capital, whereby all statutory pre-emptive rights to which the shareholders of the Company are entitled under Swiss law have been validly excluded.</w:t>
      </w:r>
    </w:p>
    <w:p>
      <w:pPr>
        <w:spacing w:after="0" w:line="178" w:lineRule="exact"/>
        <w:rPr>
          <w:sz w:val="20"/>
          <w:szCs w:val="20"/>
          <w:color w:val="auto"/>
        </w:rPr>
      </w:pPr>
    </w:p>
    <w:p>
      <w:pPr>
        <w:ind w:right="140" w:firstLine="656"/>
        <w:spacing w:after="0" w:line="268" w:lineRule="auto"/>
        <w:tabs>
          <w:tab w:leader="none" w:pos="154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Board Resolution and Registration of Capital Increase. </w:t>
      </w:r>
      <w:r>
        <w:rPr>
          <w:rFonts w:ascii="Times New Roman" w:cs="Times New Roman" w:eastAsia="Times New Roman" w:hAnsi="Times New Roman"/>
          <w:sz w:val="18"/>
          <w:szCs w:val="18"/>
          <w:color w:val="auto"/>
        </w:rPr>
        <w:t>Before 3:00 a.m. New York City time on the last business day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preceding the Closing Date, or such other time and date as agreed between the Company and the Representatives, the Board (or a committee or a Board member duly authorized by the Board) will:</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ind w:firstLine="656"/>
        <w:spacing w:after="0" w:line="284" w:lineRule="auto"/>
        <w:tabs>
          <w:tab w:leader="none" w:pos="158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a report (</w:t>
      </w:r>
      <w:r>
        <w:rPr>
          <w:rFonts w:ascii="Times New Roman" w:cs="Times New Roman" w:eastAsia="Times New Roman" w:hAnsi="Times New Roman"/>
          <w:sz w:val="18"/>
          <w:szCs w:val="18"/>
          <w:i w:val="1"/>
          <w:iCs w:val="1"/>
          <w:color w:val="auto"/>
        </w:rPr>
        <w:t>Kapitalerhöhungsbericht</w:t>
      </w:r>
      <w:r>
        <w:rPr>
          <w:rFonts w:ascii="Times New Roman" w:cs="Times New Roman" w:eastAsia="Times New Roman" w:hAnsi="Times New Roman"/>
          <w:sz w:val="18"/>
          <w:szCs w:val="18"/>
          <w:color w:val="auto"/>
        </w:rPr>
        <w:t>) on the authorized capital increase of the Company from CHF 1,794,907.30 by an amount of CHF 286,000 by issuing 14,300,000 new Shares, at an issue price of CHF 0.02 per Share (“</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 in accordance with Swiss statutory law;</w:t>
      </w:r>
    </w:p>
    <w:p>
      <w:pPr>
        <w:spacing w:after="0" w:line="160" w:lineRule="exact"/>
        <w:rPr>
          <w:rFonts w:ascii="Times New Roman" w:cs="Times New Roman" w:eastAsia="Times New Roman" w:hAnsi="Times New Roman"/>
          <w:sz w:val="18"/>
          <w:szCs w:val="18"/>
          <w:b w:val="1"/>
          <w:bCs w:val="1"/>
          <w:color w:val="auto"/>
        </w:rPr>
      </w:pPr>
    </w:p>
    <w:p>
      <w:pPr>
        <w:ind w:right="400" w:firstLine="656"/>
        <w:spacing w:after="0" w:line="282" w:lineRule="auto"/>
        <w:tabs>
          <w:tab w:leader="none" w:pos="154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resolve in the form of a duly notarized deed on the Capital Increase and make all amendments to the articles of association of the Company necessary in connection with the Capital Increase (</w:t>
      </w:r>
      <w:r>
        <w:rPr>
          <w:rFonts w:ascii="Times New Roman" w:cs="Times New Roman" w:eastAsia="Times New Roman" w:hAnsi="Times New Roman"/>
          <w:sz w:val="18"/>
          <w:szCs w:val="18"/>
          <w:i w:val="1"/>
          <w:iCs w:val="1"/>
          <w:color w:val="auto"/>
        </w:rPr>
        <w:t>Feststellungs- und Statutenänderungsbeschluss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b w:val="1"/>
          <w:bCs w:val="1"/>
          <w:color w:val="auto"/>
        </w:rPr>
      </w:pPr>
    </w:p>
    <w:p>
      <w:pPr>
        <w:ind w:right="100" w:firstLine="656"/>
        <w:spacing w:after="0" w:line="282" w:lineRule="auto"/>
        <w:tabs>
          <w:tab w:leader="none" w:pos="150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thereafter, but no later than 3:00 a.m. New York City time on the last business day immediately preceding the Closing Date, file the documents necessary for the registration of the Capital Increase with the Commercial Register of the Canton of Vaud;</w:t>
      </w:r>
    </w:p>
    <w:p>
      <w:pPr>
        <w:spacing w:after="0" w:line="158" w:lineRule="exact"/>
        <w:rPr>
          <w:sz w:val="20"/>
          <w:szCs w:val="20"/>
          <w:color w:val="auto"/>
        </w:rPr>
      </w:pPr>
    </w:p>
    <w:p>
      <w:pPr>
        <w:ind w:right="140" w:firstLine="656"/>
        <w:spacing w:after="0" w:line="268" w:lineRule="auto"/>
        <w:tabs>
          <w:tab w:leader="none" w:pos="15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Offered Shares. </w:t>
      </w:r>
      <w:r>
        <w:rPr>
          <w:rFonts w:ascii="Times New Roman" w:cs="Times New Roman" w:eastAsia="Times New Roman" w:hAnsi="Times New Roman"/>
          <w:sz w:val="18"/>
          <w:szCs w:val="18"/>
          <w:color w:val="auto"/>
        </w:rPr>
        <w:t>As soon as practicable after the registration of the Capital Increase in the Commercial Register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Canton of Vaud, but in no event later than 10:00 a.m. New York City time on the last business day immediately preceding the Closing Date, the Company will:</w:t>
      </w:r>
    </w:p>
    <w:p>
      <w:pPr>
        <w:spacing w:after="0" w:line="175" w:lineRule="exact"/>
        <w:rPr>
          <w:sz w:val="20"/>
          <w:szCs w:val="20"/>
          <w:color w:val="auto"/>
        </w:rPr>
      </w:pPr>
    </w:p>
    <w:p>
      <w:pPr>
        <w:ind w:left="1600" w:hanging="944"/>
        <w:spacing w:after="0"/>
        <w:tabs>
          <w:tab w:leader="none" w:pos="16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 to the Representatives and the share registrar of the Company, (A) a copy of the certified excerpt of the journal entry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Tagesregister</w:t>
      </w:r>
      <w:r>
        <w:rPr>
          <w:rFonts w:ascii="Times New Roman" w:cs="Times New Roman" w:eastAsia="Times New Roman" w:hAnsi="Times New Roman"/>
          <w:sz w:val="18"/>
          <w:szCs w:val="18"/>
          <w:color w:val="auto"/>
        </w:rPr>
        <w:t>) or a copy of the certified excerpt from the Commercial Register of the Canton of Vaud evidencing the registration of the Capital Increase in the Commercial Register of the Canton of Vaud and the issuance of 14,300,000 Offered Shares, (B) a copy of the certified updated articles of association of the Company evidencing the issuance of 14,300,000 Offered Shares and the respective changes to the Company’s articles of association, (C) copy of an assignment declaration evidencing the assignment of 14,300,000 Offered Shares from AC Immune USA, Inc. to the Company (D) a copy of the excerpt of the Company’s duly signed book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evidencing the entry of the Offered Shares and the holder of the Offered Shares, and (E) a copy of the excerpts of the Company’s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(in the form of screenshots or account statements from Computershare Trust Company, N.A.) evidencing the Offered Shares; and</w:t>
      </w:r>
    </w:p>
    <w:p>
      <w:pPr>
        <w:spacing w:after="0" w:line="188" w:lineRule="exact"/>
        <w:rPr>
          <w:sz w:val="20"/>
          <w:szCs w:val="20"/>
          <w:color w:val="auto"/>
        </w:rPr>
      </w:pPr>
    </w:p>
    <w:p>
      <w:pPr>
        <w:ind w:right="480" w:firstLine="656"/>
        <w:spacing w:after="0" w:line="282" w:lineRule="auto"/>
        <w:tabs>
          <w:tab w:leader="none" w:pos="154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all (other) steps necessary to ensure that the Offered Shares will be (A) duly transferred to the Underwriters, and (B) freely transferable (subject to any applicable restrictions set forth in the articles of association of the Company) on the Closing Date.</w:t>
      </w:r>
    </w:p>
    <w:p>
      <w:pPr>
        <w:spacing w:after="0" w:line="158"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Additional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Covenants of the Company. </w:t>
      </w:r>
      <w:r>
        <w:rPr>
          <w:rFonts w:ascii="Times New Roman" w:cs="Times New Roman" w:eastAsia="Times New Roman" w:hAnsi="Times New Roman"/>
          <w:sz w:val="18"/>
          <w:szCs w:val="18"/>
          <w:color w:val="auto"/>
        </w:rPr>
        <w:t>The Company further covenants and agrees with each Underwriter as follows:</w:t>
      </w:r>
    </w:p>
    <w:p>
      <w:pPr>
        <w:spacing w:after="0" w:line="225" w:lineRule="exact"/>
        <w:rPr>
          <w:sz w:val="20"/>
          <w:szCs w:val="20"/>
          <w:color w:val="auto"/>
        </w:rPr>
      </w:pPr>
    </w:p>
    <w:p>
      <w:pPr>
        <w:ind w:right="120" w:firstLine="656"/>
        <w:spacing w:after="0" w:line="259" w:lineRule="auto"/>
        <w:tabs>
          <w:tab w:leader="none" w:pos="1577"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Registration Statement, Time of Sale Prospectus and Prospectus. </w:t>
      </w:r>
      <w:r>
        <w:rPr>
          <w:rFonts w:ascii="Times New Roman" w:cs="Times New Roman" w:eastAsia="Times New Roman" w:hAnsi="Times New Roman"/>
          <w:sz w:val="18"/>
          <w:szCs w:val="18"/>
          <w:color w:val="auto"/>
        </w:rPr>
        <w:t>The Company shall furnish to you in New York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jc w:val="both"/>
        <w:ind w:right="220" w:firstLine="656"/>
        <w:spacing w:after="0" w:line="268" w:lineRule="auto"/>
        <w:tabs>
          <w:tab w:leader="none" w:pos="154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is required by the Securities Act to be delivered (whether physically or through compliance with Rule 172 under the Securities Act or any similar rule), the Company (i) will furnish to the Representatives for review, a reasonable period of time prior to the</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184" w:lineRule="exact"/>
        <w:rPr>
          <w:sz w:val="20"/>
          <w:szCs w:val="20"/>
          <w:color w:val="auto"/>
        </w:rPr>
      </w:pPr>
    </w:p>
    <w:p>
      <w:pPr>
        <w:ind w:firstLine="656"/>
        <w:spacing w:after="0" w:line="252" w:lineRule="auto"/>
        <w:tabs>
          <w:tab w:leader="none" w:pos="15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Free Writing Prospectuses. </w:t>
      </w:r>
      <w:r>
        <w:rPr>
          <w:rFonts w:ascii="Times New Roman" w:cs="Times New Roman" w:eastAsia="Times New Roman" w:hAnsi="Times New Roman"/>
          <w:sz w:val="18"/>
          <w:szCs w:val="18"/>
          <w:color w:val="auto"/>
        </w:rPr>
        <w:t>The Company shall furnish to the Representatives for review, a reasonable amount of time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93"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54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Filing of Underwriter Free Writing Prospectuses. </w:t>
      </w:r>
      <w:r>
        <w:rPr>
          <w:rFonts w:ascii="Times New Roman" w:cs="Times New Roman" w:eastAsia="Times New Roman" w:hAnsi="Times New Roman"/>
          <w:sz w:val="18"/>
          <w:szCs w:val="18"/>
          <w:color w:val="auto"/>
        </w:rPr>
        <w:t>The Company shall not take any action that would result in an Underwriter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59" w:lineRule="auto"/>
        <w:tabs>
          <w:tab w:leader="none" w:pos="15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Time of Sale Prospectus. </w:t>
      </w:r>
      <w:r>
        <w:rPr>
          <w:rFonts w:ascii="Times New Roman" w:cs="Times New Roman" w:eastAsia="Times New Roman" w:hAnsi="Times New Roman"/>
          <w:sz w:val="18"/>
          <w:szCs w:val="18"/>
          <w:color w:val="auto"/>
        </w:rPr>
        <w:t>If the Time of Sale Prospectus is being used to solicit offers to buy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18"/>
          <w:szCs w:val="18"/>
          <w:color w:val="auto"/>
        </w:rPr>
        <w:t>conflicts with the information contained in the Registration Statement, or if, in the opinion of counsel for the Underwriters, it is necessary to amend or supplement the Time of Sale Prospectus to comply with applicable law, the Company shall (subject to Section 5(b) and Section 5(c)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85" w:lineRule="exact"/>
        <w:rPr>
          <w:sz w:val="20"/>
          <w:szCs w:val="20"/>
          <w:color w:val="auto"/>
        </w:rPr>
      </w:pPr>
    </w:p>
    <w:p>
      <w:pPr>
        <w:ind w:firstLine="656"/>
        <w:spacing w:after="0" w:line="253" w:lineRule="auto"/>
        <w:tabs>
          <w:tab w:leader="none" w:pos="159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the Company shall promptly advise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89" w:lineRule="exact"/>
        <w:rPr>
          <w:rFonts w:ascii="Times New Roman" w:cs="Times New Roman" w:eastAsia="Times New Roman" w:hAnsi="Times New Roman"/>
          <w:sz w:val="18"/>
          <w:szCs w:val="18"/>
          <w:b w:val="1"/>
          <w:bCs w:val="1"/>
          <w:color w:val="auto"/>
        </w:rPr>
      </w:pPr>
    </w:p>
    <w:p>
      <w:pPr>
        <w:ind w:right="40" w:firstLine="656"/>
        <w:spacing w:after="0" w:line="253" w:lineRule="auto"/>
        <w:tabs>
          <w:tab w:leader="none" w:pos="157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any event shall occur or condition exist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5(b) and Section 5(c)))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5(b) and Section 5(c).</w:t>
      </w:r>
    </w:p>
    <w:p>
      <w:pPr>
        <w:spacing w:after="0" w:line="189" w:lineRule="exact"/>
        <w:rPr>
          <w:rFonts w:ascii="Times New Roman" w:cs="Times New Roman" w:eastAsia="Times New Roman" w:hAnsi="Times New Roman"/>
          <w:sz w:val="18"/>
          <w:szCs w:val="18"/>
          <w:b w:val="1"/>
          <w:bCs w:val="1"/>
          <w:color w:val="auto"/>
        </w:rPr>
      </w:pPr>
    </w:p>
    <w:p>
      <w:pPr>
        <w:ind w:right="80" w:firstLine="656"/>
        <w:spacing w:after="0" w:line="286" w:lineRule="auto"/>
        <w:tabs>
          <w:tab w:leader="none" w:pos="154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for sale under (or obtain exemptions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from the application of) the state securities or blue sky laws or Canadian provincial securities laws (or other foreign laws as the Representatives shall reasonably request)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8" w:lineRule="exact"/>
        <w:rPr>
          <w:sz w:val="20"/>
          <w:szCs w:val="20"/>
          <w:color w:val="auto"/>
        </w:rPr>
      </w:pPr>
    </w:p>
    <w:p>
      <w:pPr>
        <w:ind w:right="240" w:firstLine="656"/>
        <w:spacing w:after="0" w:line="286" w:lineRule="auto"/>
        <w:tabs>
          <w:tab w:leader="none" w:pos="1582"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the manner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caption “Use of Proceeds” in the Registration Statement, the Time of Sale Prospectus and the Prospectus.</w:t>
      </w:r>
    </w:p>
    <w:p>
      <w:pPr>
        <w:spacing w:after="0" w:line="154" w:lineRule="exact"/>
        <w:rPr>
          <w:rFonts w:ascii="Times New Roman" w:cs="Times New Roman" w:eastAsia="Times New Roman" w:hAnsi="Times New Roman"/>
          <w:sz w:val="18"/>
          <w:szCs w:val="18"/>
          <w:b w:val="1"/>
          <w:bCs w:val="1"/>
          <w:color w:val="auto"/>
        </w:rPr>
      </w:pPr>
    </w:p>
    <w:p>
      <w:pPr>
        <w:ind w:left="1600" w:hanging="944"/>
        <w:spacing w:after="0"/>
        <w:tabs>
          <w:tab w:leader="none" w:pos="160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b w:val="1"/>
          <w:bCs w:val="1"/>
          <w:color w:val="auto"/>
        </w:rPr>
      </w:pPr>
    </w:p>
    <w:p>
      <w:pPr>
        <w:jc w:val="both"/>
        <w:ind w:right="140" w:firstLine="656"/>
        <w:spacing w:after="0" w:line="262" w:lineRule="auto"/>
        <w:tabs>
          <w:tab w:leader="none" w:pos="1542"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make generally available (which may be satisfied by filing with the Commission’s EDGAR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76" w:lineRule="exact"/>
        <w:rPr>
          <w:rFonts w:ascii="Times New Roman" w:cs="Times New Roman" w:eastAsia="Times New Roman" w:hAnsi="Times New Roman"/>
          <w:sz w:val="18"/>
          <w:szCs w:val="18"/>
          <w:b w:val="1"/>
          <w:bCs w:val="1"/>
          <w:color w:val="auto"/>
        </w:rPr>
      </w:pPr>
    </w:p>
    <w:p>
      <w:pPr>
        <w:ind w:right="40" w:firstLine="656"/>
        <w:spacing w:after="0" w:line="259" w:lineRule="auto"/>
        <w:tabs>
          <w:tab w:leader="none" w:pos="1582"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 the 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79" w:lineRule="exact"/>
        <w:rPr>
          <w:rFonts w:ascii="Times New Roman" w:cs="Times New Roman" w:eastAsia="Times New Roman" w:hAnsi="Times New Roman"/>
          <w:sz w:val="18"/>
          <w:szCs w:val="18"/>
          <w:b w:val="1"/>
          <w:bCs w:val="1"/>
          <w:color w:val="auto"/>
        </w:rPr>
      </w:pPr>
    </w:p>
    <w:p>
      <w:pPr>
        <w:ind w:left="1520" w:hanging="864"/>
        <w:spacing w:after="0"/>
        <w:tabs>
          <w:tab w:leader="none" w:pos="15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use its best efforts to list, subject to notice of issuance, the Offered Shares on Nasdaq.</w:t>
      </w:r>
    </w:p>
    <w:p>
      <w:pPr>
        <w:spacing w:after="0" w:line="225" w:lineRule="exact"/>
        <w:rPr>
          <w:rFonts w:ascii="Times New Roman" w:cs="Times New Roman" w:eastAsia="Times New Roman" w:hAnsi="Times New Roman"/>
          <w:sz w:val="18"/>
          <w:szCs w:val="18"/>
          <w:b w:val="1"/>
          <w:bCs w:val="1"/>
          <w:color w:val="auto"/>
        </w:rPr>
      </w:pPr>
    </w:p>
    <w:p>
      <w:pPr>
        <w:ind w:right="40" w:firstLine="656"/>
        <w:spacing w:after="0" w:line="268" w:lineRule="auto"/>
        <w:tabs>
          <w:tab w:leader="none" w:pos="1542"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Company to Provide Copy of the Prospectus in Form That May be Downloaded from the Internet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requested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Representatives, the Company shall cause to be prepared and delivered, at its expense, within one business day from the effective date of this Agreement, to the Representatives an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to be used by the Underwriters in connection with the offering and sale of the Offered Shares. As used herein, the term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4"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in or convertible into a paper</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 w:name="page22"/>
    <w:bookmarkEnd w:id="21"/>
    <w:p>
      <w:pPr>
        <w:ind w:right="80"/>
        <w:spacing w:after="0" w:line="258" w:lineRule="auto"/>
        <w:rPr>
          <w:sz w:val="20"/>
          <w:szCs w:val="20"/>
          <w:color w:val="auto"/>
        </w:rPr>
      </w:pPr>
      <w:r>
        <w:rPr>
          <w:rFonts w:ascii="Times New Roman" w:cs="Times New Roman" w:eastAsia="Times New Roman" w:hAnsi="Times New Roman"/>
          <w:sz w:val="18"/>
          <w:szCs w:val="18"/>
          <w:color w:val="auto"/>
        </w:rPr>
        <w:t>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79" w:lineRule="exact"/>
        <w:rPr>
          <w:sz w:val="20"/>
          <w:szCs w:val="20"/>
          <w:color w:val="auto"/>
        </w:rPr>
      </w:pPr>
    </w:p>
    <w:p>
      <w:pPr>
        <w:ind w:left="1580" w:hanging="924"/>
        <w:spacing w:after="0"/>
        <w:tabs>
          <w:tab w:leader="none" w:pos="15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right="120" w:firstLine="656"/>
        <w:spacing w:after="0" w:line="254" w:lineRule="auto"/>
        <w:tabs>
          <w:tab w:leader="none" w:pos="154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 on Sale of Securities</w:t>
      </w:r>
      <w:r>
        <w:rPr>
          <w:rFonts w:ascii="Times New Roman" w:cs="Times New Roman" w:eastAsia="Times New Roman" w:hAnsi="Times New Roman"/>
          <w:sz w:val="18"/>
          <w:szCs w:val="18"/>
          <w:color w:val="auto"/>
        </w:rPr>
        <w:t>. For the period specified below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take any of the following actions with respect to its Shares or any shares convertible into or exchangeable or exercisable for any of its Shares (“</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(i) offer, sell, issue, contract to sell, pledge or otherwise dispose of Lock-Up Shares, (ii) offer, sell, issue, contract to sell, contract to purchase or grant any option, right or warrant to purchase Lock-Up Shares, (iii) enter into any swap, hedge or any other agreement that transfers, in whole or in part, the economic consequences of ownership of Lock-Up Shares, (iv) establish or increase a put equivalent position or liquidate or decrease a call equivalent position in Lock-Up Shares within the meaning of Section 16 of the Exchange Act or (v) file with the Commission a registration statement under the Securities Act relating to Lock-Up Shares, or publicly disclose the intention to take any such action, without the prior written consent of the Representatives. The Lock-Up Period will commence on the date hereof and continue through and including the 60th day following the date of the Prospectus or such earlier date that the Representatives consent to in writing.</w:t>
      </w:r>
    </w:p>
    <w:p>
      <w:pPr>
        <w:spacing w:after="0" w:line="19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The restrictions contained in the preceding paragraph shall not apply to (a) the Shares to be issued or sold hereunder; (b) the issuance by the Company of Shares upon the exercise of an option or warrant or the conversion of a security outstanding on the date hereof or described in the Time of Sale Prospectus and the Prospectus; (c) the issuance by the Company of any options or warrants pursuant to any employee equity incentive plan or share ownership plan existing on the date hereof or described in the Time of Sale Prospectus and the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Time of Sale Prospectus and the Prospectus; (e) the transfer of Shares or any securities convertible into or exchangeable for Shares pursuant to a bona fide third-party tender offer, merger, consolidation or other similar transaction that is approved by the board of directors of the Company, made to all holders of Shares, involving a Change of Control (as defined below) after the completion of the offering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Shares or any securities convertible into or exchangeable for Shares shall remain subject to the restrictions contained in the preceding paragraph; (f) the sale or issuance of or entry into an agreement to sell or issue Shares or securities convertible into or exercisable for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 (vi) the filing of a Registration Statement with respect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or securities convertible into or exercisable for Shares (on an as-converted or as-exercised basis, as the case may be) that the Company may sell or issue or agree to sell or issue pursuant to this subclause (f) shall not exceed 10% of the total number of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recipient of Shares or securities convertible into or exercisable for Stock pursuant to this subclause (f)</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shall, on or prior to such issuance, execute a lock-up letter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with respect to the remaining portion of the Lock-Up Period or (g) the sale and issuance by the Company of Shares in connection with sales under an “at-the-market” equity offering program pursuant to an</w:t>
      </w:r>
    </w:p>
    <w:p>
      <w:pPr>
        <w:ind w:right="120"/>
        <w:spacing w:after="0" w:line="209" w:lineRule="auto"/>
        <w:rPr>
          <w:sz w:val="20"/>
          <w:szCs w:val="20"/>
          <w:color w:val="auto"/>
        </w:rPr>
      </w:pPr>
      <w:r>
        <w:rPr>
          <w:rFonts w:ascii="Times New Roman" w:cs="Times New Roman" w:eastAsia="Times New Roman" w:hAnsi="Times New Roman"/>
          <w:sz w:val="18"/>
          <w:szCs w:val="18"/>
          <w:color w:val="auto"/>
        </w:rPr>
        <w:t>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“Sale Agreement”) between the Company and Jefferies LLC dated as of September 8, 2020, provided no sales shall be made under the Sale Agreement until the thirtieth day following the date of the Prospectus.</w:t>
      </w:r>
    </w:p>
    <w:p>
      <w:pPr>
        <w:spacing w:after="0" w:line="196"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18"/>
          <w:szCs w:val="18"/>
          <w:color w:val="auto"/>
        </w:rPr>
        <w:t>For purposes of the foregoing paragraph,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during the Lock-Up Period, the Company will enforce its shareholders’ obligations to comply with any and all restrictions on the sale, pledge or transfer of the Company’s Shares pursuant to any shareholders’ agreement by and among the Company and its shareholders.</w:t>
      </w:r>
    </w:p>
    <w:p>
      <w:pPr>
        <w:spacing w:after="0" w:line="158" w:lineRule="exact"/>
        <w:rPr>
          <w:sz w:val="20"/>
          <w:szCs w:val="20"/>
          <w:color w:val="auto"/>
        </w:rPr>
      </w:pPr>
    </w:p>
    <w:p>
      <w:pPr>
        <w:jc w:val="both"/>
        <w:ind w:right="60" w:firstLine="656"/>
        <w:spacing w:after="0" w:line="278" w:lineRule="auto"/>
        <w:tabs>
          <w:tab w:leader="none" w:pos="1542"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Future Reports to the Representatives. </w:t>
      </w:r>
      <w:r>
        <w:rPr>
          <w:rFonts w:ascii="Times New Roman" w:cs="Times New Roman" w:eastAsia="Times New Roman" w:hAnsi="Times New Roman"/>
          <w:sz w:val="17"/>
          <w:szCs w:val="17"/>
          <w:color w:val="auto"/>
        </w:rPr>
        <w:t>During the period of one (1) year hereafter, the Company will furnish to the Representatives,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 Jefferies LLC, at 520 Madison Avenue, New York, New York 10022, Attention: Global Head of Syndicate, c/o Leerink Partners LLC, at 1301 Avenue</w:t>
      </w:r>
    </w:p>
    <w:p>
      <w:pPr>
        <w:spacing w:after="0" w:line="1"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7"/>
          <w:szCs w:val="17"/>
          <w:color w:val="auto"/>
        </w:rPr>
        <w:t>of the Americas,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10019, Attention: Stuart Nayman, Esq. and, upon request, to each of the other Underwriters, as soon as practicable after the end of each fiscal year, a copy of its annual report to shareholders for such year; and the Company will furnish to the Representatives</w:t>
      </w:r>
    </w:p>
    <w:p>
      <w:pPr>
        <w:ind w:right="240" w:firstLine="8"/>
        <w:spacing w:after="0" w:line="253"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EDGAR, it is not required to furnish such reports or statements to the Underwriters.</w:t>
      </w:r>
    </w:p>
    <w:p>
      <w:pPr>
        <w:spacing w:after="0" w:line="184" w:lineRule="exact"/>
        <w:rPr>
          <w:rFonts w:ascii="Times New Roman" w:cs="Times New Roman" w:eastAsia="Times New Roman" w:hAnsi="Times New Roman"/>
          <w:sz w:val="18"/>
          <w:szCs w:val="18"/>
          <w:color w:val="auto"/>
        </w:rPr>
      </w:pPr>
    </w:p>
    <w:p>
      <w:pPr>
        <w:ind w:right="260" w:firstLine="656"/>
        <w:spacing w:after="0" w:line="286" w:lineRule="auto"/>
        <w:tabs>
          <w:tab w:leader="none" w:pos="1567"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in such a manner as would require the Company to register as an investment company under the Investment Company Act.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68" w:lineRule="auto"/>
        <w:tabs>
          <w:tab w:leader="none" w:pos="1602"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Absence of Manipulation</w:t>
      </w:r>
      <w:r>
        <w:rPr>
          <w:rFonts w:ascii="Times New Roman" w:cs="Times New Roman" w:eastAsia="Times New Roman" w:hAnsi="Times New Roman"/>
          <w:sz w:val="18"/>
          <w:szCs w:val="18"/>
          <w:color w:val="auto"/>
        </w:rPr>
        <w:t>. The Company will not take, directly or indirectly, any action designed to or that would constitute or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might reasonably be expected to cause or result in, stabilization or manipulation of the price of any securities of the Company to facilitate the sale or resale of the Offered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is made in this Section with respect to the Underwriters.</w:t>
      </w:r>
    </w:p>
    <w:p>
      <w:pPr>
        <w:spacing w:after="0" w:line="17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 Payment of Expenses. </w:t>
      </w:r>
      <w:r>
        <w:rPr>
          <w:rFonts w:ascii="Times New Roman" w:cs="Times New Roman" w:eastAsia="Times New Roman" w:hAnsi="Times New Roman"/>
          <w:sz w:val="18"/>
          <w:szCs w:val="18"/>
          <w:color w:val="auto"/>
        </w:rPr>
        <w:t>The Company will pay all expenses incident to the performance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but not limited to any filing fees and other expenses (including fees and disbursements of counsel to the Underwriters) incurred in connection with qualification of the Offered Shares for sale under the laws of such jurisdictions as the Representatives designate and the preparation and printing of memoranda relating thereto in an amount not to exceed $10,000, costs and expenses related to the review by FINRA of the Offered Shares (including filing fees and the fees and expenses of counsel for the Underwriters relating to such review in an amount not to exceed $30,000), costs and expenses relating to investor presentations or any Road Show in connection with the offering and sale of the Offered Shares including, without limitation, any travel expenses of the Company’s officers and employees and any other expenses of the Company including fees and expenses incident to listing the Offered Shares on the New York Stock Exchange, American Stock Exchange,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3" w:name="page24"/>
    <w:bookmarkEnd w:id="23"/>
    <w:p>
      <w:pPr>
        <w:ind w:right="60"/>
        <w:spacing w:after="0" w:line="258" w:lineRule="auto"/>
        <w:rPr>
          <w:sz w:val="20"/>
          <w:szCs w:val="20"/>
          <w:color w:val="auto"/>
        </w:rPr>
      </w:pPr>
      <w:r>
        <w:rPr>
          <w:rFonts w:ascii="Times New Roman" w:cs="Times New Roman" w:eastAsia="Times New Roman" w:hAnsi="Times New Roman"/>
          <w:sz w:val="18"/>
          <w:szCs w:val="18"/>
          <w:color w:val="auto"/>
        </w:rPr>
        <w:t>Nasdaq and other national and foreign exchanges, fees and expenses in connection with the registration of the Offered Shares under the Exchange Act, and expenses incurred in distributing the Registration Statement, the Time of Sale Prospectus, the Prospectus (including any amendments and supplements thereto) to the Underwriters and for expenses incurred for preparing, printing and distributing any free writing prospectuses to investors or prospective investors. Notwithstanding the foregoing, each of the several Underwriters will pay its own costs and expenses relating to any investor presentations or Road Show.</w:t>
      </w:r>
    </w:p>
    <w:p>
      <w:pPr>
        <w:spacing w:after="0" w:line="179" w:lineRule="exact"/>
        <w:rPr>
          <w:sz w:val="20"/>
          <w:szCs w:val="20"/>
          <w:color w:val="auto"/>
        </w:rPr>
      </w:pPr>
    </w:p>
    <w:p>
      <w:pPr>
        <w:ind w:right="30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 Covenant of the Underwriters. </w:t>
      </w:r>
      <w:r>
        <w:rPr>
          <w:rFonts w:ascii="Times New Roman" w:cs="Times New Roman" w:eastAsia="Times New Roman" w:hAnsi="Times New Roman"/>
          <w:sz w:val="18"/>
          <w:szCs w:val="18"/>
          <w:color w:val="auto"/>
        </w:rPr>
        <w:t>Each Underwriter severally and not jointly covenants with the Company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6"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8. Conditions of the Obligations of the Underwriters. </w:t>
      </w:r>
      <w:r>
        <w:rPr>
          <w:rFonts w:ascii="Times New Roman" w:cs="Times New Roman" w:eastAsia="Times New Roman" w:hAnsi="Times New Roman"/>
          <w:sz w:val="18"/>
          <w:szCs w:val="18"/>
          <w:color w:val="auto"/>
        </w:rPr>
        <w:t>The respective obligations of the several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to subscribe, and to purchase and pay for, the Offered Shares as provided herein shall be subject to the accuracy of the representations and warranties on the part of the Company set forth in Section 1 hereof as of the date hereof and as of the Closing Date as though then made to the timely performance by the Company of its covenants and other obligations hereunder and the delivery by the Company of documents satisfactory to the Underwriters evidencing such timely performance, including without limitation the documents mentioned in this Agreement, and to each of the following additional conditions:</w:t>
      </w:r>
    </w:p>
    <w:p>
      <w:pPr>
        <w:spacing w:after="0" w:line="399" w:lineRule="exact"/>
        <w:rPr>
          <w:sz w:val="20"/>
          <w:szCs w:val="20"/>
          <w:color w:val="auto"/>
        </w:rPr>
      </w:pPr>
    </w:p>
    <w:p>
      <w:pPr>
        <w:ind w:right="100" w:firstLine="656"/>
        <w:spacing w:after="0" w:line="278" w:lineRule="auto"/>
        <w:tabs>
          <w:tab w:leader="none" w:pos="1577"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Comfort Letter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date hereof, the Representatives shall have received from PricewaterhouseCoopers SA, the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independent registered public accountants,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consolidated financial statements and certain financial information contained in the Registration Statement, the Time of Sale Prospectus, and each free writing prospectus, if any.</w:t>
      </w:r>
    </w:p>
    <w:p>
      <w:pPr>
        <w:spacing w:after="0" w:line="163" w:lineRule="exact"/>
        <w:rPr>
          <w:rFonts w:ascii="Times New Roman" w:cs="Times New Roman" w:eastAsia="Times New Roman" w:hAnsi="Times New Roman"/>
          <w:sz w:val="17"/>
          <w:szCs w:val="17"/>
          <w:b w:val="1"/>
          <w:bCs w:val="1"/>
          <w:color w:val="auto"/>
        </w:rPr>
      </w:pPr>
    </w:p>
    <w:p>
      <w:pPr>
        <w:ind w:left="1560" w:hanging="904"/>
        <w:spacing w:after="0"/>
        <w:tabs>
          <w:tab w:leader="none" w:pos="15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p>
    <w:p>
      <w:pPr>
        <w:spacing w:after="0" w:line="229" w:lineRule="exact"/>
        <w:rPr>
          <w:rFonts w:ascii="Times New Roman" w:cs="Times New Roman" w:eastAsia="Times New Roman" w:hAnsi="Times New Roman"/>
          <w:sz w:val="18"/>
          <w:szCs w:val="18"/>
          <w:b w:val="1"/>
          <w:bCs w:val="1"/>
          <w:color w:val="auto"/>
        </w:rPr>
      </w:pPr>
    </w:p>
    <w:p>
      <w:pPr>
        <w:ind w:left="660" w:right="80" w:firstLine="644"/>
        <w:spacing w:after="0" w:line="281" w:lineRule="auto"/>
        <w:tabs>
          <w:tab w:leader="none" w:pos="2242"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64" w:lineRule="exact"/>
        <w:rPr>
          <w:rFonts w:ascii="Times New Roman" w:cs="Times New Roman" w:eastAsia="Times New Roman" w:hAnsi="Times New Roman"/>
          <w:sz w:val="17"/>
          <w:szCs w:val="17"/>
          <w:color w:val="auto"/>
        </w:rPr>
      </w:pPr>
    </w:p>
    <w:p>
      <w:pPr>
        <w:ind w:left="660" w:firstLine="644"/>
        <w:spacing w:after="0" w:line="282" w:lineRule="auto"/>
        <w:tabs>
          <w:tab w:leader="none" w:pos="22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1" w:lineRule="exact"/>
        <w:rPr>
          <w:rFonts w:ascii="Times New Roman" w:cs="Times New Roman" w:eastAsia="Times New Roman" w:hAnsi="Times New Roman"/>
          <w:sz w:val="18"/>
          <w:szCs w:val="18"/>
          <w:color w:val="auto"/>
        </w:rPr>
      </w:pPr>
    </w:p>
    <w:p>
      <w:pPr>
        <w:ind w:left="660" w:right="580" w:firstLine="644"/>
        <w:spacing w:after="0" w:line="282" w:lineRule="auto"/>
        <w:tabs>
          <w:tab w:leader="none" w:pos="21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filing has been made with FINRA, FINRA shall have raised no objection to the fairness and reasonableness of the underwriting terms and arrangements.</w:t>
      </w:r>
    </w:p>
    <w:p>
      <w:pPr>
        <w:spacing w:after="0" w:line="157" w:lineRule="exact"/>
        <w:rPr>
          <w:rFonts w:ascii="Times New Roman" w:cs="Times New Roman" w:eastAsia="Times New Roman" w:hAnsi="Times New Roman"/>
          <w:sz w:val="18"/>
          <w:szCs w:val="18"/>
          <w:color w:val="auto"/>
        </w:rPr>
      </w:pPr>
    </w:p>
    <w:p>
      <w:pPr>
        <w:ind w:right="280" w:firstLine="656"/>
        <w:spacing w:after="0" w:line="286" w:lineRule="auto"/>
        <w:tabs>
          <w:tab w:leader="none" w:pos="156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Material Adverse Change. </w:t>
      </w:r>
      <w:r>
        <w:rPr>
          <w:rFonts w:ascii="Times New Roman" w:cs="Times New Roman" w:eastAsia="Times New Roman" w:hAnsi="Times New Roman"/>
          <w:sz w:val="18"/>
          <w:szCs w:val="18"/>
          <w:color w:val="auto"/>
        </w:rPr>
        <w:t>Subsequent to the execution and delivery of this Agreement and through and including the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there shall not have occurred (i) any change in the</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condition (financial or otherwise), results of operations, business or properties or prospects of the Company which, in the judgment of the Representatives, is material and adverse and makes it impractical or inadvisable to market the Offered Shares;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Shares, whether in the primary market or in respect of dealings in the secondary market; (iii) any suspension or material limitation of trading in securities generally on the New York Stock Exchange or Nasdaq,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Shares or to enforce contracts for the sale of the Offered Shares.</w:t>
      </w:r>
    </w:p>
    <w:p>
      <w:pPr>
        <w:spacing w:after="0" w:line="188" w:lineRule="exact"/>
        <w:rPr>
          <w:sz w:val="20"/>
          <w:szCs w:val="20"/>
          <w:color w:val="auto"/>
        </w:rPr>
      </w:pPr>
    </w:p>
    <w:p>
      <w:pPr>
        <w:ind w:firstLine="656"/>
        <w:spacing w:after="0" w:line="286" w:lineRule="auto"/>
        <w:tabs>
          <w:tab w:leader="none" w:pos="154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U.S. Counsel for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Closing Date, the Representatives shall have received the opinion of Davis Polk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Wardwell LLP, U.S. counsel for the Company, dated as of such date, in form and substance satisfactory to the Representatives.</w:t>
      </w:r>
    </w:p>
    <w:p>
      <w:pPr>
        <w:spacing w:after="0" w:line="154" w:lineRule="exact"/>
        <w:rPr>
          <w:rFonts w:ascii="Times New Roman" w:cs="Times New Roman" w:eastAsia="Times New Roman" w:hAnsi="Times New Roman"/>
          <w:sz w:val="18"/>
          <w:szCs w:val="18"/>
          <w:b w:val="1"/>
          <w:bCs w:val="1"/>
          <w:color w:val="auto"/>
        </w:rPr>
      </w:pPr>
    </w:p>
    <w:p>
      <w:pPr>
        <w:ind w:right="440" w:firstLine="656"/>
        <w:spacing w:after="0" w:line="286" w:lineRule="auto"/>
        <w:tabs>
          <w:tab w:leader="none" w:pos="15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Opinion of Swiss Counsel for the Company. </w:t>
      </w:r>
      <w:r>
        <w:rPr>
          <w:rFonts w:ascii="Times New Roman" w:cs="Times New Roman" w:eastAsia="Times New Roman" w:hAnsi="Times New Roman"/>
          <w:sz w:val="18"/>
          <w:szCs w:val="18"/>
          <w:color w:val="auto"/>
        </w:rPr>
        <w:t>On the Closing Date, the Representatives shall have received the opinion of Bär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Karrer AG, Swiss counsel for the Company, dated as of such date, in form and substance satisfactory to the Representatives.</w:t>
      </w:r>
    </w:p>
    <w:p>
      <w:pPr>
        <w:spacing w:after="0" w:line="154" w:lineRule="exact"/>
        <w:rPr>
          <w:rFonts w:ascii="Times New Roman" w:cs="Times New Roman" w:eastAsia="Times New Roman" w:hAnsi="Times New Roman"/>
          <w:sz w:val="18"/>
          <w:szCs w:val="18"/>
          <w:b w:val="1"/>
          <w:bCs w:val="1"/>
          <w:color w:val="auto"/>
        </w:rPr>
      </w:pPr>
    </w:p>
    <w:p>
      <w:pPr>
        <w:ind w:right="280" w:firstLine="656"/>
        <w:spacing w:after="0" w:line="268" w:lineRule="auto"/>
        <w:tabs>
          <w:tab w:leader="none" w:pos="15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Opinions of Intellectual Property Counsel for the Company</w:t>
      </w:r>
      <w:r>
        <w:rPr>
          <w:rFonts w:ascii="Times New Roman" w:cs="Times New Roman" w:eastAsia="Times New Roman" w:hAnsi="Times New Roman"/>
          <w:sz w:val="18"/>
          <w:szCs w:val="18"/>
          <w:color w:val="auto"/>
        </w:rPr>
        <w:t>. On the Closing Date, the Representatives shall have the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opinion of each of (i) Boult Wade Tennant LLP, (ii) Ice Miller LLP, (iii) McNeill Baur PLLC and (iv) Vossius &amp; Partner Patentanwaelte Rechtsanwaelte mbB, each intellectual property counsel for the Company, in form and substance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right="180" w:firstLine="656"/>
        <w:spacing w:after="0" w:line="262" w:lineRule="auto"/>
        <w:tabs>
          <w:tab w:leader="none" w:pos="157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U.S.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Closing Date, the Representatives shall have received such opinion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opinions of Paul Hastings LLP, U.S. counsel for the Underwriters, with respect to such matters as the Representatives may require, in form and substance satisfactory to the Underwriters and dated as of such date, and the Company shall have furnished to such counsel such documents as they reasonably request for the purpose of enabling them to pass upon such matters.</w:t>
      </w:r>
    </w:p>
    <w:p>
      <w:pPr>
        <w:spacing w:after="0" w:line="176" w:lineRule="exact"/>
        <w:rPr>
          <w:rFonts w:ascii="Times New Roman" w:cs="Times New Roman" w:eastAsia="Times New Roman" w:hAnsi="Times New Roman"/>
          <w:sz w:val="18"/>
          <w:szCs w:val="18"/>
          <w:b w:val="1"/>
          <w:bCs w:val="1"/>
          <w:color w:val="auto"/>
        </w:rPr>
      </w:pPr>
    </w:p>
    <w:p>
      <w:pPr>
        <w:ind w:right="300" w:firstLine="656"/>
        <w:spacing w:after="0" w:line="262" w:lineRule="auto"/>
        <w:tabs>
          <w:tab w:leader="none" w:pos="154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Swiss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Closing Date, the Representatives shall have received such opinion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opinions of Homburger AG, Swiss counsel for the Underwriters, with respect to such matters as the Representatives may require, in form and substance satisfactory to the Underwriters and dated as of such date, and the Company shall have furnished to such counsel such documents as they reasonably request for the purpose of enabling them to pass upon such matters.</w:t>
      </w:r>
    </w:p>
    <w:p>
      <w:pPr>
        <w:spacing w:after="0" w:line="176" w:lineRule="exact"/>
        <w:rPr>
          <w:rFonts w:ascii="Times New Roman" w:cs="Times New Roman" w:eastAsia="Times New Roman" w:hAnsi="Times New Roman"/>
          <w:sz w:val="18"/>
          <w:szCs w:val="18"/>
          <w:b w:val="1"/>
          <w:bCs w:val="1"/>
          <w:color w:val="auto"/>
        </w:rPr>
      </w:pPr>
    </w:p>
    <w:p>
      <w:pPr>
        <w:ind w:right="120" w:firstLine="656"/>
        <w:spacing w:after="0" w:line="257" w:lineRule="auto"/>
        <w:tabs>
          <w:tab w:leader="none" w:pos="158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shall have received a certificate, dated the Closing Date, of an executive officer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the Closing Date; no stop order suspending the effectiveness of any Registration Statement has been issued and no proceedings for that purpose have been instituted or, to the best of their knowledge and after reasonable investigation, are contemplated by the Commission; the Rule 462(b) Registration Statement (if any) satisfying the requirements of</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100"/>
        <w:spacing w:after="0" w:line="258" w:lineRule="auto"/>
        <w:rPr>
          <w:sz w:val="20"/>
          <w:szCs w:val="20"/>
          <w:color w:val="auto"/>
        </w:rPr>
      </w:pPr>
      <w:r>
        <w:rPr>
          <w:rFonts w:ascii="Times New Roman" w:cs="Times New Roman" w:eastAsia="Times New Roman" w:hAnsi="Times New Roman"/>
          <w:sz w:val="18"/>
          <w:szCs w:val="18"/>
          <w:color w:val="auto"/>
        </w:rPr>
        <w:t>subparagraphs (1) and (3) of Rule 462(b) was timely filed pursuant to Rule 462(b), including payment of the applicable filing fee in accordance with Rule 111(a) or (b) of Regulation S-T of the Commission; and, subsequent to the date of the most recent financial statements in the Registration Statement, the Time of Sale Prospectus and the Prospectus, there has been no material adverse change in the condition (financial or otherwise), results of operations, business, properties or prospects of the Company except as set forth in the Registration Statement, the Time of Sale Prospectus and the Prospectus or as described in such certificate.</w:t>
      </w:r>
    </w:p>
    <w:p>
      <w:pPr>
        <w:spacing w:after="0" w:line="179" w:lineRule="exact"/>
        <w:rPr>
          <w:sz w:val="20"/>
          <w:szCs w:val="20"/>
          <w:color w:val="auto"/>
        </w:rPr>
      </w:pPr>
    </w:p>
    <w:p>
      <w:pPr>
        <w:ind w:left="1600" w:hanging="944"/>
        <w:spacing w:after="0"/>
        <w:tabs>
          <w:tab w:leader="none" w:pos="16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0" w:firstLine="656"/>
        <w:spacing w:after="0" w:line="259" w:lineRule="auto"/>
        <w:tabs>
          <w:tab w:leader="none" w:pos="154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Closing Date, the Representatives shall have received PricewaterhouseCoopers SA,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current independent registered public accountants, letters dated such date, in form and substance satisfactory to the Representatives, which letter shall: (i) reaffirm the statements made in the letter furnished by each such firm pursuant to Section 8(a), except that the specified date referred to therein for the carrying out of procedures shall be no more than three business days prior to the Closing Date; and (ii) cover certain financial information contained in the Prospectus.</w:t>
      </w:r>
    </w:p>
    <w:p>
      <w:pPr>
        <w:spacing w:after="0" w:line="179" w:lineRule="exact"/>
        <w:rPr>
          <w:rFonts w:ascii="Times New Roman" w:cs="Times New Roman" w:eastAsia="Times New Roman" w:hAnsi="Times New Roman"/>
          <w:sz w:val="18"/>
          <w:szCs w:val="18"/>
          <w:b w:val="1"/>
          <w:bCs w:val="1"/>
          <w:color w:val="auto"/>
        </w:rPr>
      </w:pPr>
    </w:p>
    <w:p>
      <w:pPr>
        <w:ind w:right="20" w:firstLine="656"/>
        <w:spacing w:after="0" w:line="317" w:lineRule="auto"/>
        <w:tabs>
          <w:tab w:leader="none" w:pos="1582"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Lock-Up Agreements. </w:t>
      </w:r>
      <w:r>
        <w:rPr>
          <w:rFonts w:ascii="Times New Roman" w:cs="Times New Roman" w:eastAsia="Times New Roman" w:hAnsi="Times New Roman"/>
          <w:sz w:val="17"/>
          <w:szCs w:val="17"/>
          <w:color w:val="auto"/>
        </w:rPr>
        <w:t>On or prior to the date hereof, the Company shall have furnished to the Representatives an agreement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from each of the persons listed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each such agreement shall be in full force and effect on the Closing Date.</w:t>
      </w:r>
    </w:p>
    <w:p>
      <w:pPr>
        <w:spacing w:after="0" w:line="131" w:lineRule="exact"/>
        <w:rPr>
          <w:rFonts w:ascii="Times New Roman" w:cs="Times New Roman" w:eastAsia="Times New Roman" w:hAnsi="Times New Roman"/>
          <w:sz w:val="17"/>
          <w:szCs w:val="17"/>
          <w:b w:val="1"/>
          <w:bCs w:val="1"/>
          <w:color w:val="auto"/>
        </w:rPr>
      </w:pPr>
    </w:p>
    <w:p>
      <w:pPr>
        <w:jc w:val="both"/>
        <w:ind w:right="240" w:firstLine="656"/>
        <w:spacing w:after="0" w:line="268" w:lineRule="auto"/>
        <w:tabs>
          <w:tab w:leader="none" w:pos="150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right="20" w:firstLine="656"/>
        <w:spacing w:after="0" w:line="257" w:lineRule="auto"/>
        <w:tabs>
          <w:tab w:leader="none" w:pos="154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the Closing Date, the Representatives and counsel for the Underwriters shall have received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compliance with or performance of any of the conditions, agreements or covenants,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2" w:lineRule="exact"/>
        <w:rPr>
          <w:rFonts w:ascii="Times New Roman" w:cs="Times New Roman" w:eastAsia="Times New Roman" w:hAnsi="Times New Roman"/>
          <w:sz w:val="18"/>
          <w:szCs w:val="18"/>
          <w:b w:val="1"/>
          <w:bCs w:val="1"/>
          <w:color w:val="auto"/>
        </w:rPr>
      </w:pPr>
    </w:p>
    <w:p>
      <w:pPr>
        <w:ind w:right="540" w:firstLine="656"/>
        <w:spacing w:after="0" w:line="286" w:lineRule="auto"/>
        <w:tabs>
          <w:tab w:leader="none" w:pos="157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Registration in Commercial Register. </w:t>
      </w:r>
      <w:r>
        <w:rPr>
          <w:rFonts w:ascii="Times New Roman" w:cs="Times New Roman" w:eastAsia="Times New Roman" w:hAnsi="Times New Roman"/>
          <w:sz w:val="18"/>
          <w:szCs w:val="18"/>
          <w:color w:val="auto"/>
        </w:rPr>
        <w:t>On the Closing Date, the Capital Increase shall have been registered in the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 of the Canton of Vaud.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any condition specified in this Section 8 is not satisfied when and as required to be satisfied, this Agreement may be terminated by the Representatives by notice from the Representatives to the Company at any time on or prior to the Closing Date, which termination shall be without liability on the part of any party to any other party, except that Section 6, Section 9, Section 11 and Section 12 (and other Sections of this Agreement as referenced in the aforementioned Sections) shall at all times be effective and shall survive such termination. The Company shall inform the Representatives immediately upon becoming aware of any fact or matter that constitutes or could reasonably be expected to constitute or result in a non-satisfaction of any of the conditions specified in this Section 8.</w:t>
      </w:r>
    </w:p>
    <w:p>
      <w:pPr>
        <w:spacing w:after="0" w:line="183" w:lineRule="exact"/>
        <w:rPr>
          <w:sz w:val="20"/>
          <w:szCs w:val="20"/>
          <w:color w:val="auto"/>
        </w:rPr>
      </w:pPr>
    </w:p>
    <w:p>
      <w:pPr>
        <w:ind w:right="160" w:firstLine="1296"/>
        <w:spacing w:after="0" w:line="278" w:lineRule="auto"/>
        <w:rPr>
          <w:sz w:val="20"/>
          <w:szCs w:val="20"/>
          <w:color w:val="auto"/>
        </w:rPr>
      </w:pPr>
      <w:r>
        <w:rPr>
          <w:rFonts w:ascii="Times New Roman" w:cs="Times New Roman" w:eastAsia="Times New Roman" w:hAnsi="Times New Roman"/>
          <w:sz w:val="18"/>
          <w:szCs w:val="18"/>
          <w:b w:val="1"/>
          <w:bCs w:val="1"/>
          <w:color w:val="auto"/>
        </w:rPr>
        <w:t>Section 9. Reimbursement of Underwriters’ Expenses</w:t>
      </w:r>
      <w:r>
        <w:rPr>
          <w:rFonts w:ascii="Times New Roman" w:cs="Times New Roman" w:eastAsia="Times New Roman" w:hAnsi="Times New Roman"/>
          <w:sz w:val="18"/>
          <w:szCs w:val="18"/>
          <w:color w:val="auto"/>
        </w:rPr>
        <w:t>. If this Agreement is terminated by the Representatives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 Section 11(d) or Section 14, or if the sale to the Underwriters of the Offered Shares on the Closing Date is not consummated because of any refusal,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6" w:name="page27"/>
    <w:bookmarkEnd w:id="26"/>
    <w:p>
      <w:pPr>
        <w:ind w:right="120"/>
        <w:spacing w:after="0" w:line="258" w:lineRule="auto"/>
        <w:rPr>
          <w:sz w:val="20"/>
          <w:szCs w:val="20"/>
          <w:color w:val="auto"/>
        </w:rPr>
      </w:pPr>
      <w:r>
        <w:rPr>
          <w:rFonts w:ascii="Times New Roman" w:cs="Times New Roman" w:eastAsia="Times New Roman" w:hAnsi="Times New Roman"/>
          <w:sz w:val="18"/>
          <w:szCs w:val="18"/>
          <w:color w:val="auto"/>
        </w:rPr>
        <w:t>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reasonable and documented out-of-pocket expenses that shall have been actually and reasonably incurred by the Representatives and the Underwriters in connection with the proposed purchase and the offering and sale of the Offered Shares, including, but not limited to, reasonable fees and disbursements of counsel, printing expenses, reasonable travel expenses, postage, facsimile and telephone charges.</w:t>
      </w:r>
    </w:p>
    <w:p>
      <w:pPr>
        <w:spacing w:after="0" w:line="179" w:lineRule="exact"/>
        <w:rPr>
          <w:sz w:val="20"/>
          <w:szCs w:val="20"/>
          <w:color w:val="auto"/>
        </w:rPr>
      </w:pPr>
    </w:p>
    <w:p>
      <w:pPr>
        <w:ind w:left="130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8"/>
          <w:szCs w:val="18"/>
          <w:b w:val="1"/>
          <w:bCs w:val="1"/>
          <w:color w:val="auto"/>
        </w:rPr>
        <w:t>Effectiveness of this Agreement</w:t>
      </w:r>
      <w:r>
        <w:rPr>
          <w:rFonts w:ascii="Times New Roman" w:cs="Times New Roman" w:eastAsia="Times New Roman" w:hAnsi="Times New Roman"/>
          <w:sz w:val="18"/>
          <w:szCs w:val="18"/>
          <w:color w:val="auto"/>
        </w:rPr>
        <w:t>. This Agreement shall become effective upon the execution and delivery hereof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w:t>
      </w:r>
    </w:p>
    <w:p>
      <w:pPr>
        <w:spacing w:after="0" w:line="203" w:lineRule="exact"/>
        <w:rPr>
          <w:sz w:val="20"/>
          <w:szCs w:val="20"/>
          <w:color w:val="auto"/>
        </w:rPr>
      </w:pPr>
    </w:p>
    <w:p>
      <w:pPr>
        <w:ind w:left="130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2" w:lineRule="auto"/>
        <w:tabs>
          <w:tab w:leader="none" w:pos="157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Switzerland or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or the Prospectus (or any amendment or supplement to the foregoing), or (iii) any act or failure to act or any alleged act or failure to act by any Underwriter in connection with, or relating in any manner to, the Offered Shares or the offering contemplated hereby, and which is included as part of or referred to in any loss, claim, damage, liability or action arising out of or based upon any matter covered by clause (i), (ii) or (iii) above;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or the Prospectus (or any amendment or supplement thereto), it being understood and agreed that the only such information consists of the information described in Section 11(b) below. The indemnity agreement and the obligations and liabilities of the Company set forth in this Section 11(a) shall be in addition to any liabilities that the Company may otherwise have.</w:t>
      </w:r>
    </w:p>
    <w:p>
      <w:pPr>
        <w:spacing w:after="0" w:line="183" w:lineRule="exact"/>
        <w:rPr>
          <w:rFonts w:ascii="Times New Roman" w:cs="Times New Roman" w:eastAsia="Times New Roman" w:hAnsi="Times New Roman"/>
          <w:sz w:val="18"/>
          <w:szCs w:val="18"/>
          <w:b w:val="1"/>
          <w:bCs w:val="1"/>
          <w:color w:val="auto"/>
        </w:rPr>
      </w:pPr>
    </w:p>
    <w:p>
      <w:pPr>
        <w:ind w:right="300" w:firstLine="656"/>
        <w:spacing w:after="0" w:line="286" w:lineRule="auto"/>
        <w:tabs>
          <w:tab w:leader="none" w:pos="154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 harmless the Company, each of its directors, each of its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spacing w:after="0" w:line="251" w:lineRule="auto"/>
        <w:rPr>
          <w:sz w:val="20"/>
          <w:szCs w:val="20"/>
          <w:color w:val="auto"/>
        </w:rPr>
      </w:pPr>
      <w:r>
        <w:rPr>
          <w:rFonts w:ascii="Times New Roman" w:cs="Times New Roman" w:eastAsia="Times New Roman" w:hAnsi="Times New Roman"/>
          <w:sz w:val="18"/>
          <w:szCs w:val="18"/>
          <w:color w:val="auto"/>
        </w:rPr>
        <w:t>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concession and reallowance figures appearing in the sixth paragraph under the caption “Underwriting” and the information relating to stabilizing transactions, syndicate covering transactions and penalty bids contained in the paragraphs under the caption “Underwriting—Stabilization” in the Final Prospectus Supplement. The indemnity agreement set forth in this Section 11(b) shall be in addition to any liabilities that each Underwriter may otherwise have.</w:t>
      </w:r>
    </w:p>
    <w:p>
      <w:pPr>
        <w:spacing w:after="0" w:line="202" w:lineRule="exact"/>
        <w:rPr>
          <w:sz w:val="20"/>
          <w:szCs w:val="20"/>
          <w:color w:val="auto"/>
        </w:rPr>
      </w:pPr>
    </w:p>
    <w:p>
      <w:pPr>
        <w:ind w:firstLine="656"/>
        <w:spacing w:after="0" w:line="253" w:lineRule="auto"/>
        <w:tabs>
          <w:tab w:leader="none" w:pos="156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after receipt by an indemnified party under this Section 11 of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commencement of any action, such indemnified party will, if a claim in respect thereof is to be made against an indemnifying party under this Section 11,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8" w:name="page29"/>
    <w:bookmarkEnd w:id="28"/>
    <w:p>
      <w:pPr>
        <w:ind w:right="80"/>
        <w:spacing w:after="0" w:line="268" w:lineRule="auto"/>
        <w:rPr>
          <w:sz w:val="20"/>
          <w:szCs w:val="20"/>
          <w:color w:val="auto"/>
        </w:rPr>
      </w:pPr>
      <w:r>
        <w:rPr>
          <w:rFonts w:ascii="Times New Roman" w:cs="Times New Roman" w:eastAsia="Times New Roman" w:hAnsi="Times New Roman"/>
          <w:sz w:val="17"/>
          <w:szCs w:val="17"/>
          <w:color w:val="auto"/>
        </w:rPr>
        <w:t>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11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11(a) above) or by the Company (in the case of counsel for the indemnified parties referred to in Section 11(b) above)) or</w:t>
      </w:r>
    </w:p>
    <w:p>
      <w:pPr>
        <w:ind w:right="240" w:firstLine="8"/>
        <w:spacing w:after="0" w:line="253"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w:t>
      </w:r>
    </w:p>
    <w:p>
      <w:pPr>
        <w:spacing w:after="0" w:line="184" w:lineRule="exact"/>
        <w:rPr>
          <w:rFonts w:ascii="Times New Roman" w:cs="Times New Roman" w:eastAsia="Times New Roman" w:hAnsi="Times New Roman"/>
          <w:sz w:val="18"/>
          <w:szCs w:val="18"/>
          <w:color w:val="auto"/>
        </w:rPr>
      </w:pPr>
    </w:p>
    <w:p>
      <w:pPr>
        <w:ind w:right="20" w:firstLine="656"/>
        <w:spacing w:after="0" w:line="255" w:lineRule="auto"/>
        <w:tabs>
          <w:tab w:leader="none" w:pos="1542"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indemnifying party under this Section 11 shall not be liable for any settlement of any proceeding effected without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12. Contribution</w:t>
      </w:r>
      <w:r>
        <w:rPr>
          <w:rFonts w:ascii="Times New Roman" w:cs="Times New Roman" w:eastAsia="Times New Roman" w:hAnsi="Times New Roman"/>
          <w:sz w:val="18"/>
          <w:szCs w:val="18"/>
          <w:color w:val="auto"/>
        </w:rPr>
        <w:t>. If the indemnification provided for in Section 11 is for any reason held to be unavailable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other hand, and the parties’ relative intent, knowledge, access to information and opportunity to correct or prevent such statement or omission.</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11(c) any reasonable and properly documented legal or other fees or expenses reasonably incurred by such party in connection with investigating or defending any action or claim. The provisions set forth in Section 11(c) with respect to notice of commencement of any action shall apply if a claim for contribution is to be made under this Section 12;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11(c) for purposes of indemnification.</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12 were determined by pro rata allocation (even if the Underwriters were treated as one entity for such purpose) or by any other method of allocation which does not take account of the equitable considerations referred to in this Section 12.</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12,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12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12,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4"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13.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Closing Date any one or more of the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Offered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Offered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6, Section 9, Section 11 and Section 12 (and other Sections of this Agreement as referenced in the aforementioned Sections) shall at all times be effective and shall survive such termination. In any such case either the Representatives or the Company shall have the right to postpone the Closing Date, but in no event for longer than seven days in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order that the required changes, if any, to the Registration Statement and the Prospectus or any other documents or arrangements may be effected.</w:t>
      </w:r>
    </w:p>
    <w:p>
      <w:pPr>
        <w:spacing w:after="0" w:line="22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13. Any action taken under this Section 13 shall not relieve any defaulting Underwriter from liability in respect of any default of such Underwriter under this Agreement.</w:t>
      </w:r>
    </w:p>
    <w:p>
      <w:pPr>
        <w:spacing w:after="0" w:line="17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Section 14.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Closing Date, this Agreement may be terminated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Representatives by notice given to the Company if at any time: (i) trading or quotation in any of the Company’s securities shall have been suspended or limited by the Commission or by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Representatives may interfere materially with the conduct of the business and operations of the Company regardless of whether or not such loss shall have been insured. Any termination pursuant to this Section 14 shall be without liability on the part of (a) the Company to any Underwriter, except that the Company shall be obligated to reimburse the expenses of the Representatives and the Underwriters pursuant to Section 6 or Section 9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11 and Section 12 (and other Sections of this Agreement as referenced in the aforementioned Sections) shall at all times be effective and shall survive such termination.</w:t>
      </w:r>
    </w:p>
    <w:p>
      <w:pPr>
        <w:spacing w:after="0" w:line="183"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15. No Advisory or Fiduciary Relationship. </w:t>
      </w:r>
      <w:r>
        <w:rPr>
          <w:rFonts w:ascii="Times New Roman" w:cs="Times New Roman" w:eastAsia="Times New Roman" w:hAnsi="Times New Roman"/>
          <w:sz w:val="18"/>
          <w:szCs w:val="18"/>
          <w:color w:val="auto"/>
        </w:rPr>
        <w:t>The Company acknowledges and agrees that (a) the purchase and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Section 16.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other statements of the Company, of its officers and of the several Underwriters set forth in or made pursuant to this Agreement will remain in full force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ind w:right="220"/>
        <w:spacing w:after="0" w:line="266" w:lineRule="auto"/>
        <w:rPr>
          <w:sz w:val="20"/>
          <w:szCs w:val="20"/>
          <w:color w:val="auto"/>
        </w:rPr>
      </w:pPr>
      <w:r>
        <w:rPr>
          <w:rFonts w:ascii="Times New Roman" w:cs="Times New Roman" w:eastAsia="Times New Roman" w:hAnsi="Times New Roman"/>
          <w:sz w:val="18"/>
          <w:szCs w:val="18"/>
          <w:color w:val="auto"/>
        </w:rPr>
        <w:t>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2" w:lineRule="exact"/>
        <w:rPr>
          <w:sz w:val="20"/>
          <w:szCs w:val="20"/>
          <w:color w:val="auto"/>
        </w:rPr>
      </w:pPr>
    </w:p>
    <w:p>
      <w:pPr>
        <w:ind w:right="380" w:firstLine="1296"/>
        <w:spacing w:after="0" w:line="302" w:lineRule="auto"/>
        <w:rPr>
          <w:sz w:val="20"/>
          <w:szCs w:val="20"/>
          <w:color w:val="auto"/>
        </w:rPr>
      </w:pPr>
      <w:r>
        <w:rPr>
          <w:rFonts w:ascii="Times New Roman" w:cs="Times New Roman" w:eastAsia="Times New Roman" w:hAnsi="Times New Roman"/>
          <w:sz w:val="18"/>
          <w:szCs w:val="18"/>
          <w:b w:val="1"/>
          <w:bCs w:val="1"/>
          <w:color w:val="auto"/>
        </w:rPr>
        <w:t>Section 17. Notices</w:t>
      </w:r>
      <w:r>
        <w:rPr>
          <w:rFonts w:ascii="Times New Roman" w:cs="Times New Roman" w:eastAsia="Times New Roman" w:hAnsi="Times New Roman"/>
          <w:sz w:val="18"/>
          <w:szCs w:val="18"/>
          <w:color w:val="auto"/>
        </w:rPr>
        <w:t>. All communications hereunder shall be in writing and shall be mailed, hand delivered or telecopied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to the parties hereto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Representatives: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New York 10022, USA</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(646) 619-4437</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630"/>
        </w:trPr>
        <w:tc>
          <w:tcPr>
            <w:tcW w:w="2640" w:type="dxa"/>
            <w:vAlign w:val="bottom"/>
          </w:tcPr>
          <w:p>
            <w:pPr>
              <w:spacing w:after="0"/>
              <w:rPr>
                <w:sz w:val="24"/>
                <w:szCs w:val="24"/>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Leerink Partners LLC</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1301 Avenue of the Americas, 12th Floor</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(646) 499-7051</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Stuart R. Nayman, Esq.</w:t>
            </w:r>
          </w:p>
        </w:tc>
      </w:tr>
      <w:tr>
        <w:trPr>
          <w:trHeight w:val="441"/>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copies to:</w:t>
            </w: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Paul Hastings LLP</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MetLife Building</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200 Park Avenue</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New York, New York 10166, USA</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(212) 319-4090</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Siavosh Salimi and William Magioncalda</w:t>
            </w:r>
          </w:p>
        </w:tc>
      </w:tr>
      <w:tr>
        <w:trPr>
          <w:trHeight w:val="414"/>
        </w:trPr>
        <w:tc>
          <w:tcPr>
            <w:tcW w:w="2640" w:type="dxa"/>
            <w:vAlign w:val="bottom"/>
          </w:tcPr>
          <w:p>
            <w:pPr>
              <w:spacing w:after="0"/>
              <w:rPr>
                <w:sz w:val="24"/>
                <w:szCs w:val="24"/>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Homburger AG</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Prime Tower</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Hardstrasse 201</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8005 Zurich, Switzerland</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+41 (0)43 222 15 00</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Dr. iur. Benjamin Leisinger</w:t>
            </w:r>
          </w:p>
        </w:tc>
      </w:tr>
      <w:tr>
        <w:trPr>
          <w:trHeight w:val="441"/>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If to the Company:</w:t>
            </w: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 Immune SA</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EPFL Innovation Park Building B</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1050 Lausanne, Switzerland</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+41 21 345 91 20</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Chief Financial Officer</w:t>
            </w:r>
          </w:p>
        </w:tc>
      </w:tr>
      <w:tr>
        <w:trPr>
          <w:trHeight w:val="414"/>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copies to:</w:t>
            </w: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Bär &amp; Karrer AG</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Brandschenkestrasse 90</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8002 Zurich, Switzerland</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Facsimile: +41 58 261 50 01</w:t>
            </w:r>
          </w:p>
        </w:tc>
      </w:tr>
      <w:tr>
        <w:trPr>
          <w:trHeight w:val="234"/>
        </w:trPr>
        <w:tc>
          <w:tcPr>
            <w:tcW w:w="2640" w:type="dxa"/>
            <w:vAlign w:val="bottom"/>
          </w:tcPr>
          <w:p>
            <w:pPr>
              <w:spacing w:after="0"/>
              <w:rPr>
                <w:sz w:val="20"/>
                <w:szCs w:val="20"/>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Attention: Prof. Dr. iur. Rolf Watter</w:t>
            </w:r>
          </w:p>
        </w:tc>
      </w:tr>
      <w:tr>
        <w:trPr>
          <w:trHeight w:val="540"/>
        </w:trPr>
        <w:tc>
          <w:tcPr>
            <w:tcW w:w="26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40"/>
          </w:cols>
          <w:pgMar w:left="320" w:top="540" w:right="339" w:bottom="1440" w:gutter="0" w:footer="0" w:header="0"/>
        </w:sectPr>
      </w:pPr>
    </w:p>
    <w:bookmarkStart w:id="32" w:name="page33"/>
    <w:bookmarkEnd w:id="32"/>
    <w:p>
      <w:pPr>
        <w:ind w:left="32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 York, NY 10017, USA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derek.dostal@davispolk.com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Facsimile: (212) 701-5322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Derek Dostal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18.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substitute Underwriters pursuant to Section 13 hereof, and to the benefit of the affiliates, directors, officers, employees, agents and controlling persons referred to in Section 11 and Section 12 , and in each case their respective successors,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Shares as such from any of the Underwriters merely by reason of such purchase.</w:t>
      </w:r>
    </w:p>
    <w:p>
      <w:pPr>
        <w:spacing w:after="0" w:line="176"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Section 19. Partial Unenforceability</w:t>
      </w:r>
      <w:r>
        <w:rPr>
          <w:rFonts w:ascii="Times New Roman" w:cs="Times New Roman" w:eastAsia="Times New Roman" w:hAnsi="Times New Roman"/>
          <w:sz w:val="18"/>
          <w:szCs w:val="18"/>
          <w:color w:val="auto"/>
        </w:rPr>
        <w:t>. The invalidity or unenforceability of any section, paragraph or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Section 20. Governing Law Provisions and Jurisdiction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New York applicable to agreements made and to be performed in such state, except that Swiss law shall govern matters of corporate law to the extent Swiss law mandatorily applies to such matters.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or, if so chosen by the Representatives, acting on behalf of the several Underwriters, in the courts at the place of the registered office of the Company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w:t>
      </w:r>
    </w:p>
    <w:p>
      <w:pPr>
        <w:spacing w:after="0" w:line="6"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auto"/>
        </w:rPr>
        <w:t>in the United States has irrevocably appointed Cogency Global Inc., which currently maintains a New York City office at 10 E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10016, United States of America, as its agent to receive service of process or other legal summons for purposes of any such suit, action or proceeding that may be instituted in any state or federal court in the Borough of Manhattan in the City of New York.</w:t>
      </w:r>
    </w:p>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ind w:right="540"/>
        <w:spacing w:after="0" w:line="282" w:lineRule="auto"/>
        <w:rPr>
          <w:sz w:val="20"/>
          <w:szCs w:val="20"/>
          <w:color w:val="auto"/>
        </w:rPr>
      </w:pPr>
      <w:r>
        <w:rPr>
          <w:rFonts w:ascii="Times New Roman" w:cs="Times New Roman" w:eastAsia="Times New Roman" w:hAnsi="Times New Roman"/>
          <w:sz w:val="18"/>
          <w:szCs w:val="18"/>
          <w:color w:val="auto"/>
        </w:rPr>
        <w:t>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Section 21. Judgment Currency</w:t>
      </w:r>
      <w:r>
        <w:rPr>
          <w:rFonts w:ascii="Times New Roman" w:cs="Times New Roman" w:eastAsia="Times New Roman" w:hAnsi="Times New Roman"/>
          <w:sz w:val="18"/>
          <w:szCs w:val="18"/>
          <w:color w:val="auto"/>
        </w:rPr>
        <w:t>. The obligations of the Company pursuant to this Agreement in respect of any sum due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w:t>
      </w:r>
    </w:p>
    <w:p>
      <w:pPr>
        <w:spacing w:after="0" w:line="18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General Provisions. </w:t>
      </w:r>
      <w:r>
        <w:rPr>
          <w:rFonts w:ascii="Times New Roman" w:cs="Times New Roman" w:eastAsia="Times New Roman" w:hAnsi="Times New Roman"/>
          <w:sz w:val="18"/>
          <w:szCs w:val="18"/>
          <w:color w:val="auto"/>
        </w:rPr>
        <w:t>This Agreement constitutes the entire agreement of the parties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11 and the contribution provisions of Section 12, and is fully informed regarding said provisions. Each of the parties hereto further acknowledges that the provisions of Section 11 and Section 12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4" w:name="page35"/>
    <w:bookmarkEnd w:id="34"/>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5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Andrea Pfeifer</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Roberts</w:t>
            </w:r>
          </w:p>
        </w:tc>
      </w:tr>
      <w:tr>
        <w:trPr>
          <w:trHeight w:val="191"/>
        </w:trPr>
        <w:tc>
          <w:tcPr>
            <w:tcW w:w="5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Christopher Roberts</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Finance and Interim Chief Financial Officer</w:t>
            </w:r>
          </w:p>
        </w:tc>
      </w:tr>
    </w:tbl>
    <w:p>
      <w:pPr>
        <w:spacing w:after="0" w:line="21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Charlie Glazer</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Charlie Glazer</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5620" w:type="dxa"/>
            <w:vAlign w:val="bottom"/>
          </w:tcPr>
          <w:p>
            <w:pPr>
              <w:spacing w:after="0"/>
              <w:rPr>
                <w:sz w:val="20"/>
                <w:szCs w:val="20"/>
                <w:color w:val="auto"/>
              </w:rPr>
            </w:pPr>
          </w:p>
        </w:tc>
      </w:tr>
      <w:tr>
        <w:trPr>
          <w:trHeight w:val="70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LEERINK PARTNERS LLC</w:t>
            </w:r>
          </w:p>
        </w:tc>
        <w:tc>
          <w:tcPr>
            <w:tcW w:w="5620" w:type="dxa"/>
            <w:vAlign w:val="bottom"/>
          </w:tcPr>
          <w:p>
            <w:pPr>
              <w:spacing w:after="0"/>
              <w:rPr>
                <w:sz w:val="24"/>
                <w:szCs w:val="24"/>
                <w:color w:val="auto"/>
              </w:rPr>
            </w:pP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Gabriel P. Cavazos</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Gabriel P. Cavazos</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Managing Director</w:t>
            </w:r>
          </w:p>
        </w:tc>
        <w:tc>
          <w:tcPr>
            <w:tcW w:w="5620" w:type="dxa"/>
            <w:vAlign w:val="bottom"/>
          </w:tcPr>
          <w:p>
            <w:pPr>
              <w:spacing w:after="0"/>
              <w:rPr>
                <w:sz w:val="20"/>
                <w:szCs w:val="20"/>
                <w:color w:val="auto"/>
              </w:rPr>
            </w:pPr>
          </w:p>
        </w:tc>
      </w:tr>
      <w:tr>
        <w:trPr>
          <w:trHeight w:val="310"/>
        </w:trPr>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5" w:name="page36"/>
    <w:bookmarkEnd w:id="35"/>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156845</wp:posOffset>
            </wp:positionV>
            <wp:extent cx="4277360" cy="1002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7736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u w:val="single" w:color="auto"/>
          <w:color w:val="auto"/>
        </w:rPr>
        <w:t>Underwriters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Jefferies LLC</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499"/>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Offered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Purchased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7,150,000</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6,435,000</w:t>
      </w:r>
    </w:p>
    <w:p>
      <w:pPr>
        <w:spacing w:after="0" w:line="9" w:lineRule="exact"/>
        <w:rPr>
          <w:sz w:val="20"/>
          <w:szCs w:val="20"/>
          <w:color w:val="auto"/>
        </w:rPr>
      </w:pPr>
    </w:p>
    <w:p>
      <w:pPr>
        <w:jc w:val="center"/>
        <w:ind w:right="1479"/>
        <w:spacing w:after="0"/>
        <w:rPr>
          <w:sz w:val="20"/>
          <w:szCs w:val="20"/>
          <w:color w:val="auto"/>
        </w:rPr>
      </w:pPr>
      <w:r>
        <w:rPr>
          <w:rFonts w:ascii="Times New Roman" w:cs="Times New Roman" w:eastAsia="Times New Roman" w:hAnsi="Times New Roman"/>
          <w:sz w:val="18"/>
          <w:szCs w:val="18"/>
          <w:color w:val="auto"/>
        </w:rPr>
        <w:t>715,000</w:t>
      </w:r>
    </w:p>
    <w:p>
      <w:pPr>
        <w:spacing w:after="0" w:line="31" w:lineRule="exact"/>
        <w:rPr>
          <w:sz w:val="20"/>
          <w:szCs w:val="20"/>
          <w:color w:val="auto"/>
        </w:rPr>
      </w:pPr>
    </w:p>
    <w:p>
      <w:pPr>
        <w:jc w:val="center"/>
        <w:ind w:right="1479"/>
        <w:spacing w:after="0"/>
        <w:rPr>
          <w:sz w:val="20"/>
          <w:szCs w:val="20"/>
          <w:color w:val="auto"/>
        </w:rPr>
      </w:pPr>
      <w:r>
        <w:rPr>
          <w:rFonts w:ascii="Times New Roman" w:cs="Times New Roman" w:eastAsia="Times New Roman" w:hAnsi="Times New Roman"/>
          <w:sz w:val="18"/>
          <w:szCs w:val="18"/>
          <w:color w:val="auto"/>
        </w:rPr>
        <w:t>14,300,000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34290</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2">
            <w:col w:w="5560" w:space="720"/>
            <w:col w:w="2739"/>
          </w:cols>
          <w:pgMar w:left="1440" w:top="536"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Schedule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Time of Sale 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Schedule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per share: $3.50 per share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Offered Shares: 14,300,000 shares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discount: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05"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AC Immune SA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undersigned is an owner of common shares, par value CHF 0.02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and Leerink Partners LLC will act as the representatives of the underwriters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The undersigned recognizes that the Offering will benefit each of the Company and the undersigned. The undersigned acknowledges that the underwriters are relying on the representations and agreements of the undersigned contained in this letter agreement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other underwriting arrangements with the Company with respect to the Offering.</w:t>
      </w:r>
    </w:p>
    <w:p>
      <w:pPr>
        <w:spacing w:after="0" w:line="1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Lockup Agreement that are not defined in the body of this Lockup Agreement. Those definitions are a part of this Lockup Agreement.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its consent in its sole discretion:</w:t>
      </w:r>
    </w:p>
    <w:p>
      <w:pPr>
        <w:spacing w:after="0" w:line="176" w:lineRule="exact"/>
        <w:rPr>
          <w:sz w:val="20"/>
          <w:szCs w:val="20"/>
          <w:color w:val="auto"/>
        </w:rPr>
      </w:pPr>
    </w:p>
    <w:p>
      <w:pPr>
        <w:ind w:left="980" w:right="26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9" w:name="page40"/>
    <w:bookmarkEnd w:id="39"/>
    <w:p>
      <w:pPr>
        <w:ind w:left="648"/>
        <w:spacing w:after="0"/>
        <w:rPr>
          <w:sz w:val="20"/>
          <w:szCs w:val="20"/>
          <w:color w:val="auto"/>
        </w:rPr>
      </w:pPr>
      <w:r>
        <w:rPr>
          <w:rFonts w:ascii="Times New Roman" w:cs="Times New Roman" w:eastAsia="Times New Roman" w:hAnsi="Times New Roman"/>
          <w:sz w:val="18"/>
          <w:szCs w:val="18"/>
          <w:color w:val="auto"/>
        </w:rPr>
        <w:t>registration statement, prospectus or prospectus supplement (or an amendment or supplement thereto) with respect to any such registration, or</w:t>
      </w:r>
    </w:p>
    <w:p>
      <w:pPr>
        <w:spacing w:after="0" w:line="225" w:lineRule="exact"/>
        <w:rPr>
          <w:sz w:val="20"/>
          <w:szCs w:val="20"/>
          <w:color w:val="auto"/>
        </w:rPr>
      </w:pPr>
    </w:p>
    <w:p>
      <w:pPr>
        <w:ind w:left="-332" w:right="5980" w:firstLine="656"/>
        <w:spacing w:after="0" w:line="500" w:lineRule="auto"/>
        <w:tabs>
          <w:tab w:leader="none" w:pos="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 The foregoing will not apply to:</w:t>
      </w:r>
    </w:p>
    <w:p>
      <w:pPr>
        <w:spacing w:after="0" w:line="1" w:lineRule="exact"/>
        <w:rPr>
          <w:rFonts w:ascii="Times New Roman" w:cs="Times New Roman" w:eastAsia="Times New Roman" w:hAnsi="Times New Roman"/>
          <w:sz w:val="18"/>
          <w:szCs w:val="18"/>
          <w:color w:val="auto"/>
        </w:rPr>
      </w:pPr>
    </w:p>
    <w:p>
      <w:pPr>
        <w:ind w:left="328" w:right="80" w:hanging="328"/>
        <w:spacing w:after="0" w:line="254"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exercise of stock options or other similar awards granted pursuant to the Company’s equity incentive plans or the vesting or settlement of awards granted pursuant to the Company’s equity incentive plans (including the delivery and receipt of Shares or Related Securities in connection with such vesting or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(a), the foregoing restrictions shall apply to any of the undersigned’s Shares issued upon such exercise, vesting or settlement; or (b) the transfer of Shares or any Related Securities from the undersigned to the Company (or the purchase and cancellation of same by the Company) upon a vesting event of the Company’s securities or upon the exercise of options to purchase Shares by the undersigned, in each case on a “cashless” or “net exercise” basis, or to cover income or withholding and other tax obligations of the undersigned in connection with such vesting or exercise of options for Shares of the Company, whether by means of a “net settlement” or otherwise;</w:t>
      </w:r>
    </w:p>
    <w:p>
      <w:pPr>
        <w:spacing w:after="0" w:line="19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or Related Securities:</w:t>
      </w:r>
    </w:p>
    <w:p>
      <w:pPr>
        <w:spacing w:after="0" w:line="225" w:lineRule="exact"/>
        <w:rPr>
          <w:rFonts w:ascii="Times New Roman" w:cs="Times New Roman" w:eastAsia="Times New Roman" w:hAnsi="Times New Roman"/>
          <w:sz w:val="18"/>
          <w:szCs w:val="18"/>
          <w:color w:val="auto"/>
        </w:rPr>
      </w:pPr>
    </w:p>
    <w:p>
      <w:pPr>
        <w:ind w:left="968" w:right="420" w:hanging="320"/>
        <w:spacing w:after="0" w:line="282"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including as a result of the operation of law or estate or intestate succession, or pursuant to a will or other testamentary document;</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to a member of the immediate family member of the undersigned;</w:t>
      </w:r>
    </w:p>
    <w:p>
      <w:pPr>
        <w:spacing w:after="0" w:line="225" w:lineRule="exact"/>
        <w:rPr>
          <w:rFonts w:ascii="Times New Roman" w:cs="Times New Roman" w:eastAsia="Times New Roman" w:hAnsi="Times New Roman"/>
          <w:sz w:val="18"/>
          <w:szCs w:val="18"/>
          <w:color w:val="auto"/>
        </w:rPr>
      </w:pPr>
    </w:p>
    <w:p>
      <w:pPr>
        <w:ind w:left="968" w:right="40" w:hanging="320"/>
        <w:spacing w:after="0" w:line="282"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to any trust or other like entity for the direct or indirect benefit of the undersigned or the immediate family member of the undersigned;</w:t>
      </w:r>
    </w:p>
    <w:p>
      <w:pPr>
        <w:spacing w:after="0" w:line="161" w:lineRule="exact"/>
        <w:rPr>
          <w:rFonts w:ascii="Times New Roman" w:cs="Times New Roman" w:eastAsia="Times New Roman" w:hAnsi="Times New Roman"/>
          <w:sz w:val="18"/>
          <w:szCs w:val="18"/>
          <w:color w:val="auto"/>
        </w:rPr>
      </w:pPr>
    </w:p>
    <w:p>
      <w:pPr>
        <w:ind w:left="968" w:right="700" w:hanging="320"/>
        <w:spacing w:after="0" w:line="282"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by operation of law or by order of a court of competent jurisdiction pursuant to a qualified domestic order or in connection with a divorce settlement;</w:t>
      </w:r>
    </w:p>
    <w:p>
      <w:pPr>
        <w:spacing w:after="0" w:line="161"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to a corporation, partnership, limited liability company or other entity of which the undersigned and the immediate family member of the undersigned are the direct or indirect legal and beneficial owners of all the outstanding equity securities or similar interests of such corporation, partnership, limited liability company or other entity;</w:t>
      </w:r>
    </w:p>
    <w:p>
      <w:pPr>
        <w:spacing w:after="0" w:line="175" w:lineRule="exact"/>
        <w:rPr>
          <w:rFonts w:ascii="Times New Roman" w:cs="Times New Roman" w:eastAsia="Times New Roman" w:hAnsi="Times New Roman"/>
          <w:sz w:val="18"/>
          <w:szCs w:val="18"/>
          <w:color w:val="auto"/>
        </w:rPr>
      </w:pPr>
    </w:p>
    <w:p>
      <w:pPr>
        <w:ind w:left="968" w:right="120" w:hanging="320"/>
        <w:spacing w:after="0" w:line="312" w:lineRule="auto"/>
        <w:tabs>
          <w:tab w:leader="none" w:pos="968"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139" w:lineRule="exact"/>
        <w:rPr>
          <w:rFonts w:ascii="Times New Roman" w:cs="Times New Roman" w:eastAsia="Times New Roman" w:hAnsi="Times New Roman"/>
          <w:sz w:val="17"/>
          <w:szCs w:val="17"/>
          <w:color w:val="auto"/>
        </w:rPr>
      </w:pPr>
    </w:p>
    <w:p>
      <w:pPr>
        <w:ind w:left="968" w:hanging="320"/>
        <w:spacing w:after="0"/>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entity, to any affiliate thereof;</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entity, to any investment fund or other entity controlled or managed by the undersigned;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311150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40" w:right="339" w:bottom="1440" w:gutter="0" w:footer="0" w:header="0"/>
        </w:sectPr>
      </w:pPr>
    </w:p>
    <w:bookmarkStart w:id="40" w:name="page41"/>
    <w:bookmarkEnd w:id="40"/>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any affiliate, wholly-owned subsidiary, limited partner, member or stockholder of the undersigned;</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 (ii) above, (i) each donee, distributee or transferee executes and delivers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an agreement in form and substance satisfactory to the Representatives stating that such transferee is receiving and holding such Shares and/or Related Securities subject to the provisions of this Lockup Agreement, (ii) agrees not to Sell or Offer to Sell such Shares and/or Related Securities, engage in any Swap or engage in any other activities restricted under this Lockup Agreement except in accordance with this Lockup Agreement (as if such transferee had been an original signatory hereto);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transfer or distribution pursuant to clause (ii) above, no filing under the Exchange Act shall be required except in the case of transfers pursuant to subclause (A);</w:t>
      </w:r>
    </w:p>
    <w:p>
      <w:pPr>
        <w:spacing w:after="0" w:line="184" w:lineRule="exact"/>
        <w:rPr>
          <w:sz w:val="20"/>
          <w:szCs w:val="20"/>
          <w:color w:val="auto"/>
        </w:rPr>
      </w:pPr>
    </w:p>
    <w:p>
      <w:pPr>
        <w:ind w:left="660" w:hanging="328"/>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modification of any contract, instruction or trading plan intended to comply with Rule 10b5-1 under the Exchange Act for the transfer of Shares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Shares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Shares may be made under such plan during the Lock-Up Period;</w:t>
      </w:r>
    </w:p>
    <w:p>
      <w:pPr>
        <w:spacing w:after="0" w:line="185" w:lineRule="exact"/>
        <w:rPr>
          <w:rFonts w:ascii="Times New Roman" w:cs="Times New Roman" w:eastAsia="Times New Roman" w:hAnsi="Times New Roman"/>
          <w:sz w:val="18"/>
          <w:szCs w:val="18"/>
          <w:color w:val="auto"/>
        </w:rPr>
      </w:pPr>
    </w:p>
    <w:p>
      <w:pPr>
        <w:ind w:left="660" w:right="580" w:hanging="328"/>
        <w:spacing w:after="0" w:line="315"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sale or transfer of Shares or Related Securities in transactions pursuant to a 10b5-1 Plan, entered into prior to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any required filings under the Exchange Act shall disclose by footnote that such transaction was pursuant to a 10b5-1 Plan;</w:t>
      </w:r>
    </w:p>
    <w:p>
      <w:pPr>
        <w:spacing w:after="0" w:line="13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or Related Securities to the Company, pursuant to agreements or rights in existence on the date of the Underwriting Agreement under which the Company has the option to repurchase such shares or a right of first refusal with respect to transfers of such shares or in connection with the termination of the undersigned’s employment with the Company;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or Related Securities that occurs by any order or settlement resulting from any legal proceeding;</w:t>
      </w:r>
    </w:p>
    <w:p>
      <w:pPr>
        <w:spacing w:after="0" w:line="225" w:lineRule="exact"/>
        <w:rPr>
          <w:sz w:val="20"/>
          <w:szCs w:val="20"/>
          <w:color w:val="auto"/>
        </w:rPr>
      </w:pPr>
    </w:p>
    <w:p>
      <w:pPr>
        <w:ind w:left="660" w:right="20" w:hanging="323"/>
        <w:spacing w:after="0" w:line="261" w:lineRule="auto"/>
        <w:rPr>
          <w:sz w:val="20"/>
          <w:szCs w:val="20"/>
          <w:color w:val="auto"/>
        </w:rPr>
      </w:pPr>
      <w:r>
        <w:rPr>
          <w:rFonts w:ascii="Times New Roman" w:cs="Times New Roman" w:eastAsia="Times New Roman" w:hAnsi="Times New Roman"/>
          <w:sz w:val="18"/>
          <w:szCs w:val="18"/>
          <w:color w:val="auto"/>
        </w:rPr>
        <w:t xml:space="preserve">(vii)the transfer of Shares or Related Securities pursuant to a bona fide third-party tender offer, merger, consolidation or other similar transaction made to all holders of the Shares or Related Securities involving a change of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amalgamation, consolidation or other such transaction is not completed, the Shares owned by the undersigned shall remain subject to the restrictions contained in this Lockup Agreement;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6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ind w:right="480"/>
        <w:spacing w:after="0" w:line="266"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Shares at the price determined in the Offering, and nothing set forth in such disclosures or documentation is intended to suggest that any underwriter is making such a recommendation.</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This Lockup Agreement may be delivered via facsimile, electronic mail (including pdf or any electronic signature complying with the U.S. federal ESIGN Act of 2000, e.g. </w:t>
      </w:r>
      <w:r>
        <w:rPr>
          <w:rFonts w:ascii="Times New Roman" w:cs="Times New Roman" w:eastAsia="Times New Roman" w:hAnsi="Times New Roman"/>
          <w:sz w:val="18"/>
          <w:szCs w:val="18"/>
          <w:u w:val="single" w:color="auto"/>
          <w:color w:val="0563C1"/>
        </w:rPr>
        <w:t>www.docusign.com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563C1"/>
        </w:rPr>
        <w:t>www.echosign.com</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2"/>
          <w:szCs w:val="12"/>
          <w:b w:val="1"/>
          <w:bCs w:val="1"/>
          <w:u w:val="single" w:color="auto"/>
          <w:color w:val="auto"/>
        </w:rPr>
        <w:t>sed in</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2"/>
          <w:szCs w:val="12"/>
          <w:b w:val="1"/>
          <w:bCs w:val="1"/>
          <w:u w:val="single" w:color="auto"/>
          <w:color w:val="auto"/>
        </w:rPr>
        <w:t>ock</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up</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1"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60 days after the date of the Prospectus (as defined in the Underwriting Agreement).</w:t>
      </w: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sell, offer to sell, contract to sell or lend,</w:t>
      </w:r>
    </w:p>
    <w:p>
      <w:pPr>
        <w:spacing w:after="0" w:line="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effect any short sale or establish or increase a Put Equivalent Position or liquidate or decrease any Call Equivalent Position</w:t>
      </w:r>
    </w:p>
    <w:p>
      <w:pPr>
        <w:spacing w:after="0" w:line="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pledge, hypothecate or grant any security interest in, or</w:t>
      </w:r>
    </w:p>
    <w:p>
      <w:pPr>
        <w:spacing w:after="0" w:line="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any other way transfer or dispose of,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9" w:lineRule="exact"/>
        <w:rPr>
          <w:sz w:val="20"/>
          <w:szCs w:val="20"/>
          <w:color w:val="auto"/>
        </w:rPr>
      </w:pPr>
    </w:p>
    <w:p>
      <w:pPr>
        <w:ind w:left="980" w:right="140" w:hanging="324"/>
        <w:spacing w:after="0" w:line="26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Signing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-19050</wp:posOffset>
            </wp:positionV>
            <wp:extent cx="2003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034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 E. Twyman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E. Williams, Ph.D.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Werner Lanthaler, Ph.D.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June, M.D.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Monika Bütler, Ph.D.</w:t>
      </w:r>
    </w:p>
    <w:p>
      <w:pPr>
        <w:spacing w:after="0" w:line="225" w:lineRule="exact"/>
        <w:rPr>
          <w:rFonts w:ascii="Times New Roman" w:cs="Times New Roman" w:eastAsia="Times New Roman" w:hAnsi="Times New Roman"/>
          <w:sz w:val="18"/>
          <w:szCs w:val="18"/>
          <w:color w:val="auto"/>
        </w:rPr>
      </w:pPr>
    </w:p>
    <w:p>
      <w:pPr>
        <w:ind w:right="9140" w:firstLine="332"/>
        <w:spacing w:after="0" w:line="500"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Monica Shaw, M.D. Executive Officers: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Andrea Pfeifer, Ph.D.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Marie Kosco-Vilbois, Ph.D.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Roberts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Jean-Fabien Monin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Nuno Mendonca,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167640</wp:posOffset>
            </wp:positionV>
            <wp:extent cx="951230" cy="960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Postfach 1548 | CH-8002 Zürich</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 Immune SA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EPFL Innovation Park, bâtiment B</w:t>
      </w:r>
    </w:p>
    <w:p>
      <w:pPr>
        <w:ind w:left="660"/>
        <w:spacing w:after="0" w:line="234" w:lineRule="auto"/>
        <w:rPr>
          <w:sz w:val="20"/>
          <w:szCs w:val="20"/>
          <w:color w:val="auto"/>
        </w:rPr>
      </w:pPr>
      <w:r>
        <w:rPr>
          <w:rFonts w:ascii="Arial" w:cs="Arial" w:eastAsia="Arial" w:hAnsi="Arial"/>
          <w:sz w:val="18"/>
          <w:szCs w:val="18"/>
          <w:color w:val="auto"/>
        </w:rPr>
        <w:t>1015 Lausanne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Switzerland</w:t>
      </w: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Zurich, 19 December 2023</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 Immune SA – Prospectus Supplement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Gentlemen</w:t>
      </w:r>
    </w:p>
    <w:p>
      <w:pPr>
        <w:spacing w:after="0" w:line="198"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We have acted as Swiss legal counsel to AC Immune SA, Ecublens (VD) (the "</w:t>
      </w:r>
      <w:r>
        <w:rPr>
          <w:rFonts w:ascii="Arial" w:cs="Arial" w:eastAsia="Arial" w:hAnsi="Arial"/>
          <w:sz w:val="18"/>
          <w:szCs w:val="18"/>
          <w:b w:val="1"/>
          <w:bCs w:val="1"/>
          <w:color w:val="auto"/>
        </w:rPr>
        <w:t>Issuer</w:t>
      </w:r>
      <w:r>
        <w:rPr>
          <w:rFonts w:ascii="Arial" w:cs="Arial" w:eastAsia="Arial" w:hAnsi="Arial"/>
          <w:sz w:val="18"/>
          <w:szCs w:val="18"/>
          <w:color w:val="auto"/>
        </w:rPr>
        <w:t>") in connection with a prospectus supplement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December 15, 2023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public offering of 14,300,000 common shares, each with a nominal value of CHF 0.02, of the Issuer (each a "</w:t>
      </w:r>
      <w:r>
        <w:rPr>
          <w:rFonts w:ascii="Arial" w:cs="Arial" w:eastAsia="Arial" w:hAnsi="Arial"/>
          <w:sz w:val="18"/>
          <w:szCs w:val="18"/>
          <w:b w:val="1"/>
          <w:bCs w:val="1"/>
          <w:color w:val="auto"/>
        </w:rPr>
        <w:t>Share</w:t>
      </w:r>
      <w:r>
        <w:rPr>
          <w:rFonts w:ascii="Arial" w:cs="Arial" w:eastAsia="Arial" w:hAnsi="Arial"/>
          <w:sz w:val="18"/>
          <w:szCs w:val="18"/>
          <w:color w:val="auto"/>
        </w:rPr>
        <w:t>" and together the "</w:t>
      </w:r>
      <w:r>
        <w:rPr>
          <w:rFonts w:ascii="Arial" w:cs="Arial" w:eastAsia="Arial" w:hAnsi="Arial"/>
          <w:sz w:val="18"/>
          <w:szCs w:val="18"/>
          <w:b w:val="1"/>
          <w:bCs w:val="1"/>
          <w:color w:val="auto"/>
        </w:rPr>
        <w:t>Shares</w:t>
      </w:r>
      <w:r>
        <w:rPr>
          <w:rFonts w:ascii="Arial" w:cs="Arial" w:eastAsia="Arial" w:hAnsi="Arial"/>
          <w:sz w:val="18"/>
          <w:szCs w:val="18"/>
          <w:color w:val="auto"/>
        </w:rPr>
        <w:t>"), we have been requested to give our opinion as to certain legal matters of Swiss law.</w:t>
      </w:r>
    </w:p>
    <w:p>
      <w:pPr>
        <w:spacing w:after="0" w:line="16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Limitation of Opinion</w:t>
      </w:r>
    </w:p>
    <w:p>
      <w:pPr>
        <w:spacing w:after="0" w:line="198" w:lineRule="exact"/>
        <w:rPr>
          <w:rFonts w:ascii="Arial" w:cs="Arial" w:eastAsia="Arial" w:hAnsi="Arial"/>
          <w:sz w:val="18"/>
          <w:szCs w:val="18"/>
          <w:b w:val="1"/>
          <w:bCs w:val="1"/>
          <w:color w:val="auto"/>
        </w:rPr>
      </w:pPr>
    </w:p>
    <w:p>
      <w:pPr>
        <w:jc w:val="both"/>
        <w:ind w:lef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This opinion is strictly confined to matters of Swiss law as in force at the date hereof. Such law and its interpretation are subject to change. In the absence of explicit statutory law, we base our opinion solely on our independent professional judgment. This opinion is strictly limited to the Documents (as defined below) and the matters stated herein and is not to be read as extending, by implication or otherwise, to any agreement or document referred to in any of the Documents (including in the case of the Prospectus Supplement, any document incorporated by reference therein or exhibit thereto) or any other matter. For purposes of this opinion, we have not conducted any due diligence or similar investigation or verification as to any matters stated herein, which are or may be referred to in the Documents, and we express no opinion as to the accuracy of representations and warranties of facts set out in the Documents or the factual background assumed therein. In this opinion, Swiss legal concepts are expressed in English terms and not in their original language. These concepts may not be identical to the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1294130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248285</wp:posOffset>
            </wp:positionV>
            <wp:extent cx="6840855" cy="796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40855" cy="79692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color w:val="auto"/>
              </w:rPr>
              <w:t>Bär &amp; Karrer</w:t>
            </w:r>
          </w:p>
        </w:tc>
        <w:tc>
          <w:tcPr>
            <w:tcW w:w="52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described by the same English language terms as they exist under the laws of other ,jurisdictions.</w:t>
      </w:r>
    </w:p>
    <w:p>
      <w:pPr>
        <w:spacing w:after="0" w:line="19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98" w:lineRule="exact"/>
        <w:rPr>
          <w:rFonts w:ascii="Arial" w:cs="Arial" w:eastAsia="Arial" w:hAnsi="Arial"/>
          <w:sz w:val="18"/>
          <w:szCs w:val="18"/>
          <w:b w:val="1"/>
          <w:bCs w:val="1"/>
          <w:color w:val="auto"/>
        </w:rPr>
      </w:pPr>
    </w:p>
    <w:p>
      <w:pPr>
        <w:ind w:left="660" w:right="20"/>
        <w:spacing w:after="0" w:line="281" w:lineRule="auto"/>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3 below, we have exclusively examined and relied on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22" w:lineRule="exact"/>
        <w:rPr>
          <w:rFonts w:ascii="Arial" w:cs="Arial" w:eastAsia="Arial" w:hAnsi="Arial"/>
          <w:sz w:val="18"/>
          <w:szCs w:val="18"/>
          <w:b w:val="1"/>
          <w:bCs w:val="1"/>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pdf copy of the Prospectus Supplement;</w:t>
      </w:r>
    </w:p>
    <w:p>
      <w:pPr>
        <w:spacing w:after="0" w:line="198" w:lineRule="exact"/>
        <w:rPr>
          <w:rFonts w:ascii="Arial" w:cs="Arial" w:eastAsia="Arial" w:hAnsi="Arial"/>
          <w:sz w:val="18"/>
          <w:szCs w:val="18"/>
          <w:color w:val="auto"/>
        </w:rPr>
      </w:pPr>
    </w:p>
    <w:p>
      <w:pPr>
        <w:ind w:left="980" w:hanging="324"/>
        <w:spacing w:after="0" w:line="281"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pdf copy of an extract from the Commercial Register of the Canton of Vaud in respect of the Issuer, certified by such Commercial Register as of 18 December 2023 (the "</w:t>
      </w:r>
      <w:r>
        <w:rPr>
          <w:rFonts w:ascii="Arial" w:cs="Arial" w:eastAsia="Arial" w:hAnsi="Arial"/>
          <w:sz w:val="18"/>
          <w:szCs w:val="18"/>
          <w:b w:val="1"/>
          <w:bCs w:val="1"/>
          <w:color w:val="auto"/>
        </w:rPr>
        <w:t>Extract</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980" w:right="20" w:hanging="324"/>
        <w:spacing w:after="0" w:line="281"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certified copy of the articles of association of the Issuer dated 18 December 2023, certified by the Commercial Register of the Canton of Vaud as per 18 December 2023 (the "</w:t>
      </w:r>
      <w:r>
        <w:rPr>
          <w:rFonts w:ascii="Arial" w:cs="Arial" w:eastAsia="Arial" w:hAnsi="Arial"/>
          <w:sz w:val="18"/>
          <w:szCs w:val="18"/>
          <w:b w:val="1"/>
          <w:bCs w:val="1"/>
          <w:color w:val="auto"/>
        </w:rPr>
        <w:t>Articles</w:t>
      </w:r>
      <w:r>
        <w:rPr>
          <w:rFonts w:ascii="Arial" w:cs="Arial" w:eastAsia="Arial" w:hAnsi="Arial"/>
          <w:sz w:val="18"/>
          <w:szCs w:val="18"/>
          <w:color w:val="auto"/>
        </w:rPr>
        <w:t>"); and</w:t>
      </w:r>
    </w:p>
    <w:p>
      <w:pPr>
        <w:spacing w:after="0" w:line="122" w:lineRule="exact"/>
        <w:rPr>
          <w:rFonts w:ascii="Arial" w:cs="Arial" w:eastAsia="Arial" w:hAnsi="Arial"/>
          <w:sz w:val="18"/>
          <w:szCs w:val="18"/>
          <w:color w:val="auto"/>
        </w:rPr>
      </w:pPr>
    </w:p>
    <w:p>
      <w:pPr>
        <w:ind w:left="980" w:hanging="324"/>
        <w:spacing w:after="0" w:line="281"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pdf copy of the organizational regulations of the Issuers' board of directors, dated as of 06 October 2023 (the "</w:t>
      </w:r>
      <w:r>
        <w:rPr>
          <w:rFonts w:ascii="Arial" w:cs="Arial" w:eastAsia="Arial" w:hAnsi="Arial"/>
          <w:sz w:val="18"/>
          <w:szCs w:val="18"/>
          <w:b w:val="1"/>
          <w:bCs w:val="1"/>
          <w:color w:val="auto"/>
        </w:rPr>
        <w:t>Organizational</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Regulations</w:t>
      </w:r>
      <w:r>
        <w:rPr>
          <w:rFonts w:ascii="Arial" w:cs="Arial" w:eastAsia="Arial" w:hAnsi="Arial"/>
          <w:sz w:val="18"/>
          <w:szCs w:val="18"/>
          <w:color w:val="auto"/>
        </w:rPr>
        <w:t>").</w:t>
      </w:r>
    </w:p>
    <w:p>
      <w:pPr>
        <w:spacing w:after="0" w:line="12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4 below, we have assumed (without verification) each of the following:</w:t>
      </w:r>
    </w:p>
    <w:p>
      <w:pPr>
        <w:spacing w:after="0" w:line="198" w:lineRule="exact"/>
        <w:rPr>
          <w:rFonts w:ascii="Arial" w:cs="Arial" w:eastAsia="Arial" w:hAnsi="Arial"/>
          <w:sz w:val="18"/>
          <w:szCs w:val="18"/>
          <w:b w:val="1"/>
          <w:bCs w:val="1"/>
          <w:color w:val="auto"/>
        </w:rPr>
      </w:pPr>
    </w:p>
    <w:p>
      <w:pPr>
        <w:ind w:left="980" w:hanging="324"/>
        <w:spacing w:after="0"/>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all documents submitted to us in a form other than an original conform to authentic and complete originals;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all signatures on documents examined are genuine;</w:t>
      </w:r>
    </w:p>
    <w:p>
      <w:pPr>
        <w:spacing w:after="0" w:line="198" w:lineRule="exact"/>
        <w:rPr>
          <w:rFonts w:ascii="Arial" w:cs="Arial" w:eastAsia="Arial" w:hAnsi="Arial"/>
          <w:sz w:val="18"/>
          <w:szCs w:val="18"/>
          <w:color w:val="auto"/>
        </w:rPr>
      </w:pPr>
    </w:p>
    <w:p>
      <w:pPr>
        <w:ind w:left="980" w:right="20" w:hanging="324"/>
        <w:spacing w:after="0" w:line="271"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any and all information contained in the Documents is and will be true, complete and accurate at all relevant times;</w:t>
      </w:r>
    </w:p>
    <w:p>
      <w:pPr>
        <w:spacing w:after="0" w:line="140" w:lineRule="exact"/>
        <w:rPr>
          <w:rFonts w:ascii="Arial" w:cs="Arial" w:eastAsia="Arial" w:hAnsi="Arial"/>
          <w:sz w:val="18"/>
          <w:szCs w:val="18"/>
          <w:color w:val="auto"/>
        </w:rPr>
      </w:pPr>
    </w:p>
    <w:p>
      <w:pPr>
        <w:ind w:left="980" w:hanging="324"/>
        <w:spacing w:after="0" w:line="271"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the Extract, the Articles and the Organizational Regulations are correct, up-to-date and in full force and effect as of the date hereof and no changes have been made in such documents;</w:t>
      </w:r>
    </w:p>
    <w:p>
      <w:pPr>
        <w:spacing w:after="0" w:line="140" w:lineRule="exact"/>
        <w:rPr>
          <w:rFonts w:ascii="Arial" w:cs="Arial" w:eastAsia="Arial" w:hAnsi="Arial"/>
          <w:sz w:val="18"/>
          <w:szCs w:val="18"/>
          <w:color w:val="auto"/>
        </w:rPr>
      </w:pPr>
    </w:p>
    <w:p>
      <w:pPr>
        <w:jc w:val="both"/>
        <w:ind w:left="980" w:hanging="324"/>
        <w:spacing w:after="0" w:line="244"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the Issuer, as of the date hereof, is neither insolvent or over-indebted (in the sense of articles 725 et seqq.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has not passed a resolution for its dissolution, winding-up or liquidation, no petition has been presented or order made by a court or other competent authority for the dissolution, winding-up, liquidation, bankruptcy, moratorium, composition with creditors or administration of any party and no receiver, trustee in bankruptcy, administrator or similar officer has been appointed in relation to any of the parties or any of their assets or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20"/>
                <w:szCs w:val="20"/>
                <w:color w:val="auto"/>
              </w:rPr>
            </w:pPr>
            <w:r>
              <w:rPr>
                <w:rFonts w:ascii="Arial" w:cs="Arial" w:eastAsia="Arial" w:hAnsi="Arial"/>
                <w:sz w:val="16"/>
                <w:szCs w:val="16"/>
                <w:color w:val="auto"/>
              </w:rPr>
              <w:t>Bär &amp; Karrer</w:t>
            </w:r>
          </w:p>
        </w:tc>
        <w:tc>
          <w:tcPr>
            <w:tcW w:w="52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78" w:lineRule="exact"/>
        <w:rPr>
          <w:sz w:val="20"/>
          <w:szCs w:val="20"/>
          <w:color w:val="auto"/>
        </w:rPr>
      </w:pPr>
    </w:p>
    <w:p>
      <w:pPr>
        <w:jc w:val="both"/>
        <w:ind w:left="980" w:hanging="324"/>
        <w:spacing w:after="0" w:line="24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all authorizations, consents, licenses, exemptions, notices, filings, publications or registrations which may be necessary under any applicable laws or regulations, other than the laws of Switzerland, in connection the issuance of the Shares have been or will be duly obtained or made in time, remain in full force and effect at the date of this letter and, where relevant, will be obtained and maintained in the future, and that any related conditions have been fulfilled and any related covenants will be complied with;</w:t>
      </w:r>
    </w:p>
    <w:p>
      <w:pPr>
        <w:spacing w:after="0" w:line="16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Prospectus Supplement has been duly filed with the Commission by the Issuer;</w:t>
      </w:r>
    </w:p>
    <w:p>
      <w:pPr>
        <w:spacing w:after="0" w:line="198" w:lineRule="exact"/>
        <w:rPr>
          <w:rFonts w:ascii="Arial" w:cs="Arial" w:eastAsia="Arial" w:hAnsi="Arial"/>
          <w:sz w:val="18"/>
          <w:szCs w:val="18"/>
          <w:color w:val="auto"/>
        </w:rPr>
      </w:pPr>
    </w:p>
    <w:p>
      <w:pPr>
        <w:ind w:left="980" w:right="20" w:hanging="324"/>
        <w:spacing w:after="0" w:line="271"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Issuer has not entered and will not enter into any transaction which could be construed as repayment of share capital and has not undertaken and will not undertake an acquisition in kind or intended acquisition in kind;</w:t>
      </w:r>
    </w:p>
    <w:p>
      <w:pPr>
        <w:spacing w:after="0" w:line="140" w:lineRule="exact"/>
        <w:rPr>
          <w:rFonts w:ascii="Arial" w:cs="Arial" w:eastAsia="Arial" w:hAnsi="Arial"/>
          <w:sz w:val="18"/>
          <w:szCs w:val="18"/>
          <w:color w:val="auto"/>
        </w:rPr>
      </w:pPr>
    </w:p>
    <w:p>
      <w:pPr>
        <w:ind w:left="980" w:right="20" w:hanging="324"/>
        <w:spacing w:after="0" w:line="271"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the considerations received by the Issuer for the issuance of the Shares are fully paid and are not less than the nominal value of such Shares; and</w:t>
      </w:r>
    </w:p>
    <w:p>
      <w:pPr>
        <w:spacing w:after="0" w:line="140"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any Swiss federal stamp duties due in connection with the issuance of the Shares will be remitted to the Swiss tax authorities.</w:t>
      </w:r>
    </w:p>
    <w:p>
      <w:pPr>
        <w:spacing w:after="0" w:line="14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98"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Based upon and subject to the foregoing assumptions, and subject to the qualifications and limitations set out in Section 5 below, we are of the opinion that</w:t>
      </w:r>
    </w:p>
    <w:p>
      <w:pPr>
        <w:spacing w:after="0" w:line="140" w:lineRule="exact"/>
        <w:rPr>
          <w:rFonts w:ascii="Arial" w:cs="Arial" w:eastAsia="Arial" w:hAnsi="Arial"/>
          <w:sz w:val="18"/>
          <w:szCs w:val="18"/>
          <w:b w:val="1"/>
          <w:bCs w:val="1"/>
          <w:color w:val="auto"/>
        </w:rPr>
      </w:pPr>
    </w:p>
    <w:p>
      <w:pPr>
        <w:ind w:left="980" w:hanging="324"/>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Issuer is a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validly existing under the laws of Switzerland;</w:t>
      </w:r>
    </w:p>
    <w:p>
      <w:pPr>
        <w:spacing w:after="0" w:line="198" w:lineRule="exact"/>
        <w:rPr>
          <w:rFonts w:ascii="Arial" w:cs="Arial" w:eastAsia="Arial" w:hAnsi="Arial"/>
          <w:sz w:val="18"/>
          <w:szCs w:val="18"/>
          <w:color w:val="auto"/>
        </w:rPr>
      </w:pPr>
    </w:p>
    <w:p>
      <w:pPr>
        <w:ind w:left="980" w:hanging="324"/>
        <w:spacing w:after="0" w:line="271"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Shares are validly issued, fully paid as to their nominal value and non-assessable (i.e., no further contributions in respect thereof will be required to be made to the Issuer by the holders thereof, by the sole reason of their being a holder of the Shares).</w:t>
      </w:r>
    </w:p>
    <w:p>
      <w:pPr>
        <w:spacing w:after="0" w:line="14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and Limitations</w:t>
      </w:r>
    </w:p>
    <w:p>
      <w:pPr>
        <w:spacing w:after="0" w:line="198"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opinions expressed herein are limited to questions arising under the laws of Switzerland, and we express no opinion as to the laws of any other jurisdiction. We express no opinion herein as to any matter of accounting or taxation, or as to any regulatory or commercial matter. Our opinions expressed in Section 4 above are further subject to the following qualifications and limitations:</w:t>
      </w:r>
    </w:p>
    <w:p>
      <w:pPr>
        <w:spacing w:after="0" w:line="155" w:lineRule="exact"/>
        <w:rPr>
          <w:rFonts w:ascii="Arial" w:cs="Arial" w:eastAsia="Arial" w:hAnsi="Arial"/>
          <w:sz w:val="18"/>
          <w:szCs w:val="18"/>
          <w:b w:val="1"/>
          <w:bCs w:val="1"/>
          <w:color w:val="auto"/>
        </w:rPr>
      </w:pPr>
    </w:p>
    <w:p>
      <w:pPr>
        <w:jc w:val="both"/>
        <w:ind w:left="980" w:hanging="324"/>
        <w:spacing w:after="0" w:line="253"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Shares is only permissible after registration in the Issuer's share register as a shareholder with voting rights in accordance with the provisions of, and subject to the limitations provided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20"/>
                <w:szCs w:val="20"/>
                <w:color w:val="auto"/>
              </w:rPr>
            </w:pPr>
            <w:r>
              <w:rPr>
                <w:rFonts w:ascii="Arial" w:cs="Arial" w:eastAsia="Arial" w:hAnsi="Arial"/>
                <w:sz w:val="16"/>
                <w:szCs w:val="16"/>
                <w:color w:val="auto"/>
              </w:rPr>
              <w:t>Bär &amp; Karrer</w:t>
            </w:r>
          </w:p>
        </w:tc>
        <w:tc>
          <w:tcPr>
            <w:tcW w:w="52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78" w:lineRule="exact"/>
        <w:rPr>
          <w:sz w:val="20"/>
          <w:szCs w:val="20"/>
          <w:color w:val="auto"/>
        </w:rPr>
      </w:pPr>
    </w:p>
    <w:p>
      <w:pPr>
        <w:jc w:val="both"/>
        <w:ind w:left="980" w:hanging="324"/>
        <w:spacing w:after="0" w:line="25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express no opinion on the accuracy, correctness or completeness of the Prospectus Supplement; in particular, we express no opinion on whether the Prospectus Supplement provides sufficient information for knowledgeable investors to reach an informed assessment of the Issuer and its securities; and</w:t>
      </w:r>
    </w:p>
    <w:p>
      <w:pPr>
        <w:spacing w:after="0" w:line="15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express no opinion as regards the exclusion of shareholders' subscription rights (</w:t>
      </w:r>
      <w:r>
        <w:rPr>
          <w:rFonts w:ascii="Arial" w:cs="Arial" w:eastAsia="Arial" w:hAnsi="Arial"/>
          <w:sz w:val="18"/>
          <w:szCs w:val="18"/>
          <w:i w:val="1"/>
          <w:iCs w:val="1"/>
          <w:color w:val="auto"/>
        </w:rPr>
        <w:t>Bezugsrechte</w:t>
      </w:r>
      <w:r>
        <w:rPr>
          <w:rFonts w:ascii="Arial" w:cs="Arial" w:eastAsia="Arial" w:hAnsi="Arial"/>
          <w:sz w:val="18"/>
          <w:szCs w:val="18"/>
          <w:color w:val="auto"/>
        </w:rPr>
        <w:t>).</w:t>
      </w:r>
    </w:p>
    <w:p>
      <w:pPr>
        <w:spacing w:after="0" w:line="198"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We hereby consent to the filing of this opinion as an exhibit to a report on Form 6-K to be filed by the Issuer on the date hereof and its incorporation by reference into the Registration Statement and and further consent to the reference to our name under the caption “Legal Matters” in the Prospectus Supplement. In giving such consent, we do not thereby admit that we are in the category of persons whose consent is required under Section 7 of the Act, as amended.</w:t>
      </w:r>
    </w:p>
    <w:p>
      <w:pPr>
        <w:spacing w:after="0" w:line="16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Bär &amp; Karrer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Roman"/>
      <w:start w:val="1"/>
    </w:lvl>
  </w:abstractNum>
  <w:abstractNum w:abstractNumId="1">
    <w:nsid w:val="B03E0C6"/>
    <w:multiLevelType w:val="hybridMultilevel"/>
    <w:lvl w:ilvl="0">
      <w:lvlJc w:val="left"/>
      <w:lvlText w:val="(%1)"/>
      <w:numFmt w:val="lowerRoman"/>
      <w:start w:val="3"/>
    </w:lvl>
  </w:abstractNum>
  <w:abstractNum w:abstractNumId="2">
    <w:nsid w:val="189A769B"/>
    <w:multiLevelType w:val="hybridMultilevel"/>
    <w:lvl w:ilvl="0">
      <w:lvlJc w:val="left"/>
      <w:lvlText w:val="(%1)"/>
      <w:numFmt w:val="lowerRoman"/>
      <w:start w:val="7"/>
    </w:lvl>
  </w:abstractNum>
  <w:abstractNum w:abstractNumId="3">
    <w:nsid w:val="54E49EB4"/>
    <w:multiLevelType w:val="hybridMultilevel"/>
    <w:lvl w:ilvl="0">
      <w:lvlJc w:val="left"/>
      <w:lvlText w:val="(%1)"/>
      <w:numFmt w:val="lowerRoman"/>
      <w:start w:val="12"/>
    </w:lvl>
  </w:abstractNum>
  <w:abstractNum w:abstractNumId="4">
    <w:nsid w:val="71F32454"/>
    <w:multiLevelType w:val="hybridMultilevel"/>
    <w:lvl w:ilvl="0">
      <w:lvlJc w:val="left"/>
      <w:lvlText w:val="(%1)"/>
      <w:numFmt w:val="lowerRoman"/>
      <w:start w:val="16"/>
    </w:lvl>
  </w:abstractNum>
  <w:abstractNum w:abstractNumId="5">
    <w:nsid w:val="2CA88611"/>
    <w:multiLevelType w:val="hybridMultilevel"/>
    <w:lvl w:ilvl="0">
      <w:lvlJc w:val="left"/>
      <w:lvlText w:val="%1"/>
      <w:numFmt w:val="lowerRoman"/>
      <w:start w:val="1"/>
    </w:lvl>
    <w:lvl w:ilvl="1">
      <w:lvlJc w:val="left"/>
      <w:lvlText w:val="(%2)"/>
      <w:numFmt w:val="lowerRoman"/>
      <w:start w:val="21"/>
    </w:lvl>
  </w:abstractNum>
  <w:abstractNum w:abstractNumId="6">
    <w:nsid w:val="836C40E"/>
    <w:multiLevelType w:val="hybridMultilevel"/>
    <w:lvl w:ilvl="0">
      <w:lvlJc w:val="left"/>
      <w:lvlText w:val="(%1)"/>
      <w:numFmt w:val="lowerRoman"/>
      <w:start w:val="2"/>
    </w:lvl>
    <w:lvl w:ilvl="1">
      <w:lvlJc w:val="left"/>
      <w:lvlText w:val="(%2)"/>
      <w:numFmt w:val="lowerRoman"/>
      <w:start w:val="23"/>
    </w:lvl>
  </w:abstractNum>
  <w:abstractNum w:abstractNumId="7">
    <w:nsid w:val="2901D82"/>
    <w:multiLevelType w:val="hybridMultilevel"/>
    <w:lvl w:ilvl="0">
      <w:lvlJc w:val="left"/>
      <w:lvlText w:val="(%1)"/>
      <w:numFmt w:val="lowerRoman"/>
      <w:start w:val="26"/>
    </w:lvl>
  </w:abstractNum>
  <w:abstractNum w:abstractNumId="8">
    <w:nsid w:val="3A95F874"/>
    <w:multiLevelType w:val="hybridMultilevel"/>
    <w:lvl w:ilvl="0">
      <w:lvlJc w:val="left"/>
      <w:lvlText w:val="(%1)"/>
      <w:numFmt w:val="lowerRoman"/>
      <w:start w:val="32"/>
    </w:lvl>
  </w:abstractNum>
  <w:abstractNum w:abstractNumId="9">
    <w:nsid w:val="8138641"/>
    <w:multiLevelType w:val="hybridMultilevel"/>
    <w:lvl w:ilvl="0">
      <w:lvlJc w:val="left"/>
      <w:lvlText w:val="(%1)"/>
      <w:numFmt w:val="lowerRoman"/>
      <w:start w:val="38"/>
    </w:lvl>
  </w:abstractNum>
  <w:abstractNum w:abstractNumId="10">
    <w:nsid w:val="1E7FF521"/>
    <w:multiLevelType w:val="hybridMultilevel"/>
    <w:lvl w:ilvl="0">
      <w:lvlJc w:val="left"/>
      <w:lvlText w:val="(%1)"/>
      <w:numFmt w:val="lowerRoman"/>
      <w:start w:val="39"/>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4"/>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1)"/>
      <w:numFmt w:val="lowerLetter"/>
      <w:start w:val="2"/>
    </w:lvl>
  </w:abstractNum>
  <w:abstractNum w:abstractNumId="17">
    <w:nsid w:val="614FD4A1"/>
    <w:multiLevelType w:val="hybridMultilevel"/>
    <w:lvl w:ilvl="0">
      <w:lvlJc w:val="left"/>
      <w:lvlText w:val="(%1)"/>
      <w:numFmt w:val="lowerRoman"/>
      <w:start w:val="1"/>
    </w:lvl>
  </w:abstractNum>
  <w:abstractNum w:abstractNumId="18">
    <w:nsid w:val="419AC241"/>
    <w:multiLevelType w:val="hybridMultilevel"/>
    <w:lvl w:ilvl="0">
      <w:lvlJc w:val="left"/>
      <w:lvlText w:val="(%1)"/>
      <w:numFmt w:val="lowerLetter"/>
      <w:start w:val="3"/>
    </w:lvl>
  </w:abstractNum>
  <w:abstractNum w:abstractNumId="19">
    <w:nsid w:val="5577F8E1"/>
    <w:multiLevelType w:val="hybridMultilevel"/>
    <w:lvl w:ilvl="0">
      <w:lvlJc w:val="left"/>
      <w:lvlText w:val="(%1)"/>
      <w:numFmt w:val="lowerRoman"/>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3"/>
    </w:lvl>
  </w:abstractNum>
  <w:abstractNum w:abstractNumId="23">
    <w:nsid w:val="77465F01"/>
    <w:multiLevelType w:val="hybridMultilevel"/>
    <w:lvl w:ilvl="0">
      <w:lvlJc w:val="left"/>
      <w:lvlText w:val="(%1)"/>
      <w:numFmt w:val="lowerLetter"/>
      <w:start w:val="6"/>
    </w:lvl>
  </w:abstractNum>
  <w:abstractNum w:abstractNumId="24">
    <w:nsid w:val="7724C67E"/>
    <w:multiLevelType w:val="hybridMultilevel"/>
    <w:lvl w:ilvl="0">
      <w:lvlJc w:val="left"/>
      <w:lvlText w:val="%1"/>
      <w:numFmt w:val="lowerLetter"/>
      <w:start w:val="1"/>
    </w:lvl>
    <w:lvl w:ilvl="1">
      <w:lvlJc w:val="left"/>
      <w:lvlText w:val="(%2)"/>
      <w:numFmt w:val="lowerLetter"/>
      <w:start w:val="9"/>
    </w:lvl>
  </w:abstractNum>
  <w:abstractNum w:abstractNumId="25">
    <w:nsid w:val="5C482A97"/>
    <w:multiLevelType w:val="hybridMultilevel"/>
    <w:lvl w:ilvl="0">
      <w:lvlJc w:val="left"/>
      <w:lvlText w:val="(%1)"/>
      <w:numFmt w:val="lowerLetter"/>
      <w:start w:val="61"/>
    </w:lvl>
    <w:lvl w:ilvl="1">
      <w:lvlJc w:val="left"/>
      <w:lvlText w:val="%2"/>
      <w:numFmt w:val="lowerLetter"/>
      <w:start w:val="1"/>
    </w:lvl>
  </w:abstractNum>
  <w:abstractNum w:abstractNumId="26">
    <w:nsid w:val="2463B9EA"/>
    <w:multiLevelType w:val="hybridMultilevel"/>
    <w:lvl w:ilvl="0">
      <w:lvlJc w:val="left"/>
      <w:lvlText w:val="(%1)"/>
      <w:numFmt w:val="lowerLetter"/>
      <w:start w:val="15"/>
    </w:lvl>
  </w:abstractNum>
  <w:abstractNum w:abstractNumId="27">
    <w:nsid w:val="5E884ADC"/>
    <w:multiLevelType w:val="hybridMultilevel"/>
    <w:lvl w:ilvl="0">
      <w:lvlJc w:val="left"/>
      <w:lvlText w:val="(%1)"/>
      <w:numFmt w:val="lowerLetter"/>
      <w:start w:val="17"/>
    </w:lvl>
  </w:abstractNum>
  <w:abstractNum w:abstractNumId="28">
    <w:nsid w:val="51EAD36B"/>
    <w:multiLevelType w:val="hybridMultilevel"/>
    <w:lvl w:ilvl="0">
      <w:lvlJc w:val="left"/>
      <w:lvlText w:val="(%1)"/>
      <w:numFmt w:val="lowerLetter"/>
      <w:start w:val="9"/>
    </w:lvl>
    <w:lvl w:ilvl="1">
      <w:lvlJc w:val="left"/>
      <w:lvlText w:val="(%2)"/>
      <w:numFmt w:val="lowerLetter"/>
      <w:start w:val="18"/>
    </w:lvl>
  </w:abstractNum>
  <w:abstractNum w:abstractNumId="29">
    <w:nsid w:val="2D517796"/>
    <w:multiLevelType w:val="hybridMultilevel"/>
    <w:lvl w:ilvl="0">
      <w:lvlJc w:val="left"/>
      <w:lvlText w:val="(%1)"/>
      <w:numFmt w:val="lowerLetter"/>
      <w:start w:val="1"/>
    </w:lvl>
    <w:lvl w:ilvl="1">
      <w:lvlJc w:val="left"/>
      <w:lvlText w:val="(%2)"/>
      <w:numFmt w:val="lowerRoman"/>
      <w:start w:val="1"/>
    </w:lvl>
  </w:abstractNum>
  <w:abstractNum w:abstractNumId="30">
    <w:nsid w:val="580BD78F"/>
    <w:multiLevelType w:val="hybridMultilevel"/>
    <w:lvl w:ilvl="0">
      <w:lvlJc w:val="left"/>
      <w:lvlText w:val="(%1)"/>
      <w:numFmt w:val="lowerLetter"/>
      <w:start w:val="4"/>
    </w:lvl>
  </w:abstractNum>
  <w:abstractNum w:abstractNumId="31">
    <w:nsid w:val="153EA438"/>
    <w:multiLevelType w:val="hybridMultilevel"/>
    <w:lvl w:ilvl="0">
      <w:lvlJc w:val="left"/>
      <w:lvlText w:val="(%1)"/>
      <w:numFmt w:val="lowerLetter"/>
      <w:start w:val="10"/>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35"/>
    </w:lvl>
    <w:lvl w:ilvl="1">
      <w:lvlJc w:val="left"/>
      <w:lvlText w:val="(%2)"/>
      <w:numFmt w:val="lowerLetter"/>
      <w:start w:val="4"/>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Roman"/>
    </w:lvl>
    <w:lvl w:ilvl="1">
      <w:lvlJc w:val="left"/>
      <w:lvlText w:val="·"/>
      <w:numFmt w:val="bullet"/>
      <w:start w:val="1"/>
    </w:lvl>
    <w:lvl w:ilvl="2">
      <w:lvlJc w:val="left"/>
      <w:lvlText w:val="%3."/>
      <w:numFmt w:val="upperLetter"/>
      <w:start w:val="1"/>
    </w:lvl>
  </w:abstractNum>
  <w:abstractNum w:abstractNumId="38">
    <w:nsid w:val="2CD89A32"/>
    <w:multiLevelType w:val="hybridMultilevel"/>
    <w:lvl w:ilvl="0">
      <w:lvlJc w:val="left"/>
      <w:lvlText w:val="%1."/>
      <w:numFmt w:val="upperLetter"/>
      <w:start w:val="9"/>
    </w:lvl>
  </w:abstractNum>
  <w:abstractNum w:abstractNumId="39">
    <w:nsid w:val="57E4CCAF"/>
    <w:multiLevelType w:val="hybridMultilevel"/>
    <w:lvl w:ilvl="0">
      <w:lvlJc w:val="left"/>
      <w:lvlText w:val="(%1)"/>
      <w:numFmt w:val="lowerRoman"/>
      <w:start w:val="3"/>
    </w:lvl>
  </w:abstractNum>
  <w:abstractNum w:abstractNumId="40">
    <w:nsid w:val="7A6D8D3C"/>
    <w:multiLevelType w:val="hybridMultilevel"/>
    <w:lvl w:ilvl="0">
      <w:lvlJc w:val="left"/>
      <w:lvlText w:val="·"/>
      <w:numFmt w:val="bullet"/>
      <w:start w:val="1"/>
    </w:lvl>
    <w:lvl w:ilvl="1">
      <w:lvlJc w:val="left"/>
      <w:lvlText w:val="%2."/>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bullet"/>
      <w:start w:val="1"/>
    </w:lvl>
  </w:abstractNum>
  <w:abstractNum w:abstractNumId="44">
    <w:nsid w:val="38437FDB"/>
    <w:multiLevelType w:val="hybridMultilevel"/>
    <w:lvl w:ilvl="0">
      <w:lvlJc w:val="left"/>
      <w:lvlText w:val="2"/>
      <w:numFmt w:val="bullet"/>
      <w:start w:val="1"/>
    </w:lvl>
    <w:lvl w:ilvl="1">
      <w:lvlJc w:val="left"/>
      <w:lvlText w:val="%2)"/>
      <w:numFmt w:val="lowerLetter"/>
      <w:start w:val="1"/>
    </w:lvl>
  </w:abstractNum>
  <w:abstractNum w:abstractNumId="45">
    <w:nsid w:val="7644A45C"/>
    <w:multiLevelType w:val="hybridMultilevel"/>
    <w:lvl w:ilvl="0">
      <w:lvlJc w:val="left"/>
      <w:lvlText w:val="3"/>
      <w:numFmt w:val="bullet"/>
      <w:start w:val="1"/>
    </w:lvl>
    <w:lvl w:ilvl="1">
      <w:lvlJc w:val="left"/>
      <w:lvlText w:val="%2)"/>
      <w:numFmt w:val="lowerLetter"/>
      <w:start w:val="1"/>
    </w:lvl>
  </w:abstractNum>
  <w:abstractNum w:abstractNumId="46">
    <w:nsid w:val="32FFF902"/>
    <w:multiLevelType w:val="hybridMultilevel"/>
    <w:lvl w:ilvl="0">
      <w:lvlJc w:val="left"/>
      <w:lvlText w:val="%1)"/>
      <w:numFmt w:val="lowerLetter"/>
      <w:start w:val="6"/>
    </w:lvl>
  </w:abstractNum>
  <w:abstractNum w:abstractNumId="47">
    <w:nsid w:val="684A481A"/>
    <w:multiLevelType w:val="hybridMultilevel"/>
    <w:lvl w:ilvl="0">
      <w:lvlJc w:val="left"/>
      <w:lvlText w:val="4"/>
      <w:numFmt w:val="bullet"/>
      <w:start w:val="1"/>
    </w:lvl>
    <w:lvl w:ilvl="1">
      <w:lvlJc w:val="left"/>
      <w:lvlText w:val="%2)"/>
      <w:numFmt w:val="lowerRoman"/>
      <w:start w:val="1"/>
    </w:lvl>
  </w:abstractNum>
  <w:abstractNum w:abstractNumId="48">
    <w:nsid w:val="579478FE"/>
    <w:multiLevelType w:val="hybridMultilevel"/>
    <w:lvl w:ilvl="0">
      <w:lvlJc w:val="left"/>
      <w:lvlText w:val="5"/>
      <w:numFmt w:val="bullet"/>
      <w:start w:val="1"/>
    </w:lvl>
    <w:lvl w:ilvl="1">
      <w:lvlJc w:val="left"/>
      <w:lvlText w:val="%2)"/>
      <w:numFmt w:val="lowerLetter"/>
      <w:start w:val="1"/>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2023-12-19T07:57:18Z</dcterms:created>
  <dcterms:modified xsi:type="dcterms:W3CDTF">2023-12-19T07:57:18Z</dcterms:modified>
</cp:coreProperties>
</file>